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23CDA7" w14:textId="33AD720D" w:rsidR="005A1B5A" w:rsidRDefault="00856D4D">
      <w:pPr>
        <w:pBdr>
          <w:bottom w:val="single" w:sz="8" w:space="1" w:color="006852"/>
        </w:pBdr>
        <w:spacing w:after="120"/>
        <w:jc w:val="center"/>
        <w:rPr>
          <w:rFonts w:ascii="Verdana" w:eastAsia="Verdana" w:hAnsi="Verdana" w:cs="Verdana"/>
          <w:b/>
          <w:color w:val="006852"/>
          <w:sz w:val="24"/>
          <w:szCs w:val="24"/>
        </w:rPr>
      </w:pPr>
      <w:r w:rsidRPr="00856D4D">
        <w:rPr>
          <w:rFonts w:ascii="Verdana" w:eastAsia="Verdana" w:hAnsi="Verdana" w:cs="Verdana"/>
          <w:b/>
          <w:color w:val="006852"/>
          <w:sz w:val="24"/>
          <w:szCs w:val="24"/>
        </w:rPr>
        <w:t xml:space="preserve">AEB’s </w:t>
      </w:r>
      <w:r w:rsidR="00292146" w:rsidRPr="00856D4D">
        <w:rPr>
          <w:rFonts w:ascii="Verdana" w:eastAsia="Verdana" w:hAnsi="Verdana" w:cs="Verdana"/>
          <w:b/>
          <w:color w:val="006852"/>
          <w:sz w:val="24"/>
          <w:szCs w:val="24"/>
        </w:rPr>
        <w:t>position</w:t>
      </w:r>
      <w:r w:rsidRPr="00856D4D">
        <w:rPr>
          <w:rFonts w:ascii="Verdana" w:eastAsia="Verdana" w:hAnsi="Verdana" w:cs="Verdana"/>
          <w:b/>
          <w:color w:val="006852"/>
          <w:sz w:val="24"/>
          <w:szCs w:val="24"/>
        </w:rPr>
        <w:t xml:space="preserve"> </w:t>
      </w:r>
      <w:r w:rsidR="005A1B5A">
        <w:rPr>
          <w:rFonts w:ascii="Verdana" w:eastAsia="Verdana" w:hAnsi="Verdana" w:cs="Verdana"/>
          <w:b/>
          <w:color w:val="006852"/>
          <w:sz w:val="24"/>
          <w:szCs w:val="24"/>
        </w:rPr>
        <w:t xml:space="preserve">on </w:t>
      </w:r>
      <w:r w:rsidR="006B14C6">
        <w:rPr>
          <w:rFonts w:ascii="Verdana" w:eastAsia="Verdana" w:hAnsi="Verdana" w:cs="Verdana"/>
          <w:b/>
          <w:color w:val="006852"/>
          <w:sz w:val="24"/>
          <w:szCs w:val="24"/>
        </w:rPr>
        <w:t xml:space="preserve">the </w:t>
      </w:r>
      <w:r w:rsidR="00080A39">
        <w:rPr>
          <w:rFonts w:ascii="Verdana" w:eastAsia="Verdana" w:hAnsi="Verdana" w:cs="Verdana"/>
          <w:b/>
          <w:color w:val="006852"/>
          <w:sz w:val="24"/>
          <w:szCs w:val="24"/>
        </w:rPr>
        <w:t xml:space="preserve">Targeted </w:t>
      </w:r>
      <w:r w:rsidR="005A1B5A">
        <w:rPr>
          <w:rFonts w:ascii="Verdana" w:eastAsia="Verdana" w:hAnsi="Verdana" w:cs="Verdana"/>
          <w:b/>
          <w:color w:val="006852"/>
          <w:sz w:val="24"/>
          <w:szCs w:val="24"/>
        </w:rPr>
        <w:t>Consultation</w:t>
      </w:r>
      <w:r w:rsidR="00080A39">
        <w:rPr>
          <w:rFonts w:ascii="Verdana" w:eastAsia="Verdana" w:hAnsi="Verdana" w:cs="Verdana"/>
          <w:b/>
          <w:color w:val="006852"/>
          <w:sz w:val="24"/>
          <w:szCs w:val="24"/>
        </w:rPr>
        <w:t xml:space="preserve"> on Open Finance</w:t>
      </w:r>
    </w:p>
    <w:p w14:paraId="59A6646C" w14:textId="0E3C5F61" w:rsidR="00C139CC" w:rsidRPr="00856D4D" w:rsidRDefault="00856D4D">
      <w:pPr>
        <w:pBdr>
          <w:bottom w:val="single" w:sz="8" w:space="1" w:color="006852"/>
        </w:pBdr>
        <w:spacing w:after="120"/>
        <w:jc w:val="center"/>
        <w:rPr>
          <w:sz w:val="19"/>
          <w:szCs w:val="19"/>
        </w:rPr>
      </w:pPr>
      <w:r w:rsidRPr="00856D4D">
        <w:rPr>
          <w:rFonts w:ascii="Verdana" w:eastAsia="Verdana" w:hAnsi="Verdana" w:cs="Verdana"/>
          <w:b/>
          <w:color w:val="006852"/>
          <w:sz w:val="24"/>
          <w:szCs w:val="24"/>
        </w:rPr>
        <w:t xml:space="preserve"> </w:t>
      </w:r>
    </w:p>
    <w:p w14:paraId="5F6759A0" w14:textId="2CBF712E" w:rsidR="00C139CC" w:rsidRPr="005A1B5A" w:rsidRDefault="00C139CC">
      <w:pPr>
        <w:spacing w:before="120" w:after="120"/>
        <w:jc w:val="both"/>
        <w:rPr>
          <w:rFonts w:ascii="Verdana" w:eastAsia="Verdana" w:hAnsi="Verdana" w:cs="Verdana"/>
          <w:bCs/>
          <w:color w:val="000000" w:themeColor="text1"/>
          <w:sz w:val="19"/>
          <w:szCs w:val="19"/>
        </w:rPr>
      </w:pPr>
    </w:p>
    <w:p w14:paraId="23DBEDEA" w14:textId="7AE1C603" w:rsidR="005A1B5A" w:rsidRPr="00774F3E" w:rsidRDefault="005A1B5A" w:rsidP="005A1B5A">
      <w:pPr>
        <w:spacing w:before="120" w:after="120" w:line="259" w:lineRule="auto"/>
        <w:jc w:val="both"/>
        <w:rPr>
          <w:rFonts w:ascii="Verdana" w:hAnsi="Verdana"/>
          <w:sz w:val="19"/>
          <w:szCs w:val="19"/>
        </w:rPr>
      </w:pPr>
      <w:r w:rsidRPr="00774F3E">
        <w:rPr>
          <w:rFonts w:ascii="Verdana" w:hAnsi="Verdana"/>
          <w:sz w:val="19"/>
          <w:szCs w:val="19"/>
        </w:rPr>
        <w:t xml:space="preserve">The Spanish Banking Association welcomes the opportunity to respond to this targeted consultation on Open finance, having coordinated its response in the </w:t>
      </w:r>
      <w:r w:rsidR="0008385E">
        <w:rPr>
          <w:rFonts w:ascii="Verdana" w:hAnsi="Verdana"/>
          <w:sz w:val="19"/>
          <w:szCs w:val="19"/>
        </w:rPr>
        <w:t>D</w:t>
      </w:r>
      <w:r w:rsidRPr="00774F3E">
        <w:rPr>
          <w:rFonts w:ascii="Verdana" w:hAnsi="Verdana"/>
          <w:sz w:val="19"/>
          <w:szCs w:val="19"/>
        </w:rPr>
        <w:t xml:space="preserve">ata </w:t>
      </w:r>
      <w:r w:rsidR="0008385E">
        <w:rPr>
          <w:rFonts w:ascii="Verdana" w:hAnsi="Verdana"/>
          <w:sz w:val="19"/>
          <w:szCs w:val="19"/>
        </w:rPr>
        <w:t>E</w:t>
      </w:r>
      <w:r w:rsidRPr="00774F3E">
        <w:rPr>
          <w:rFonts w:ascii="Verdana" w:hAnsi="Verdana"/>
          <w:sz w:val="19"/>
          <w:szCs w:val="19"/>
        </w:rPr>
        <w:t>xpert working group of the European Banking Federation.</w:t>
      </w:r>
    </w:p>
    <w:p w14:paraId="4742EA4C" w14:textId="33FAD528" w:rsidR="005A1B5A" w:rsidRPr="00774F3E" w:rsidRDefault="005A1B5A" w:rsidP="005A1B5A">
      <w:pPr>
        <w:spacing w:before="120" w:after="120" w:line="259" w:lineRule="auto"/>
        <w:jc w:val="both"/>
        <w:rPr>
          <w:rFonts w:ascii="Verdana" w:hAnsi="Verdana"/>
          <w:sz w:val="19"/>
          <w:szCs w:val="19"/>
        </w:rPr>
      </w:pPr>
      <w:r w:rsidRPr="00774F3E">
        <w:rPr>
          <w:rFonts w:ascii="Verdana" w:hAnsi="Verdana"/>
          <w:sz w:val="19"/>
          <w:szCs w:val="19"/>
        </w:rPr>
        <w:t xml:space="preserve">Data have always been an intrinsic part of banking and their importance for banks is not a new phenomenon. </w:t>
      </w:r>
      <w:r w:rsidR="00296489">
        <w:rPr>
          <w:rFonts w:ascii="Verdana" w:hAnsi="Verdana"/>
          <w:sz w:val="19"/>
          <w:szCs w:val="19"/>
        </w:rPr>
        <w:t>I</w:t>
      </w:r>
      <w:r w:rsidRPr="00774F3E">
        <w:rPr>
          <w:rFonts w:ascii="Verdana" w:hAnsi="Verdana"/>
          <w:sz w:val="19"/>
          <w:szCs w:val="19"/>
        </w:rPr>
        <w:t xml:space="preserve">n the accelerating process of digitisation </w:t>
      </w:r>
      <w:r w:rsidR="00DA40D0">
        <w:rPr>
          <w:rFonts w:ascii="Verdana" w:hAnsi="Verdana"/>
          <w:sz w:val="19"/>
          <w:szCs w:val="19"/>
        </w:rPr>
        <w:t>of</w:t>
      </w:r>
      <w:r w:rsidR="00DA40D0" w:rsidRPr="00774F3E">
        <w:rPr>
          <w:rFonts w:ascii="Verdana" w:hAnsi="Verdana"/>
          <w:sz w:val="19"/>
          <w:szCs w:val="19"/>
        </w:rPr>
        <w:t xml:space="preserve"> </w:t>
      </w:r>
      <w:r w:rsidRPr="00774F3E">
        <w:rPr>
          <w:rFonts w:ascii="Verdana" w:hAnsi="Verdana"/>
          <w:sz w:val="19"/>
          <w:szCs w:val="19"/>
        </w:rPr>
        <w:t xml:space="preserve">recent years, the greatest opportunities for data-driven innovation come from using and combining financial and non-financial data from other sectors. </w:t>
      </w:r>
    </w:p>
    <w:p w14:paraId="6D23399A" w14:textId="245E83E8" w:rsidR="005A1B5A" w:rsidRPr="00774F3E" w:rsidRDefault="00E37C4F" w:rsidP="005A1B5A">
      <w:pPr>
        <w:spacing w:before="120" w:after="120" w:line="259" w:lineRule="auto"/>
        <w:jc w:val="both"/>
        <w:rPr>
          <w:rFonts w:ascii="Verdana" w:hAnsi="Verdana"/>
          <w:sz w:val="19"/>
          <w:szCs w:val="19"/>
        </w:rPr>
      </w:pPr>
      <w:r>
        <w:rPr>
          <w:rFonts w:ascii="Verdana" w:hAnsi="Verdana"/>
          <w:sz w:val="19"/>
          <w:szCs w:val="19"/>
        </w:rPr>
        <w:t xml:space="preserve">In this context where the value of data has been proved as critical, customers must benefit from their data being accessed and used across sectors. In particular, </w:t>
      </w:r>
      <w:r w:rsidR="00DA40D0">
        <w:rPr>
          <w:rFonts w:ascii="Verdana" w:hAnsi="Verdana"/>
          <w:sz w:val="19"/>
          <w:szCs w:val="19"/>
        </w:rPr>
        <w:t>b</w:t>
      </w:r>
      <w:r w:rsidR="005A1B5A" w:rsidRPr="00774F3E">
        <w:rPr>
          <w:rFonts w:ascii="Verdana" w:hAnsi="Verdana"/>
          <w:sz w:val="19"/>
          <w:szCs w:val="19"/>
        </w:rPr>
        <w:t xml:space="preserve">anks' access to customer data generated in other economic sectors (telecommunications, energy, retail, mobility, social platforms, public sector, etc.) can lead to greater personalisation and improvement of products and services for customers and also generate many </w:t>
      </w:r>
      <w:r w:rsidR="005A1B5A" w:rsidRPr="004E498A">
        <w:rPr>
          <w:rFonts w:ascii="Verdana" w:hAnsi="Verdana"/>
          <w:b/>
          <w:bCs/>
          <w:sz w:val="19"/>
          <w:szCs w:val="19"/>
        </w:rPr>
        <w:t>new applications and use cases</w:t>
      </w:r>
      <w:r w:rsidR="005A1B5A" w:rsidRPr="00774F3E">
        <w:rPr>
          <w:rFonts w:ascii="Verdana" w:hAnsi="Verdana"/>
          <w:sz w:val="19"/>
          <w:szCs w:val="19"/>
        </w:rPr>
        <w:t>, some of which are starting to emerge (e.g., those related to sustainable finance).</w:t>
      </w:r>
      <w:r w:rsidR="00F03478">
        <w:rPr>
          <w:rFonts w:ascii="Verdana" w:hAnsi="Verdana"/>
          <w:sz w:val="19"/>
          <w:szCs w:val="19"/>
        </w:rPr>
        <w:t xml:space="preserve"> Hence, a</w:t>
      </w:r>
      <w:r w:rsidR="00F03478" w:rsidRPr="00F03478">
        <w:rPr>
          <w:rFonts w:ascii="Verdana" w:hAnsi="Verdana"/>
          <w:sz w:val="19"/>
          <w:szCs w:val="19"/>
        </w:rPr>
        <w:t>ny initiative to foster a data-driven financial sector needs to consider the non-financial and financial data generated in other sectors.</w:t>
      </w:r>
    </w:p>
    <w:p w14:paraId="7B65BA89" w14:textId="6B0CEF3C" w:rsidR="005A1B5A" w:rsidRPr="00774F3E" w:rsidRDefault="00F03478" w:rsidP="005A1B5A">
      <w:pPr>
        <w:spacing w:before="120" w:after="120" w:line="259" w:lineRule="auto"/>
        <w:jc w:val="both"/>
        <w:rPr>
          <w:rFonts w:ascii="Verdana" w:hAnsi="Verdana"/>
          <w:sz w:val="19"/>
          <w:szCs w:val="19"/>
        </w:rPr>
      </w:pPr>
      <w:r>
        <w:rPr>
          <w:rFonts w:ascii="Verdana" w:hAnsi="Verdana"/>
          <w:sz w:val="19"/>
          <w:szCs w:val="19"/>
        </w:rPr>
        <w:t xml:space="preserve">On the other hand, </w:t>
      </w:r>
      <w:r w:rsidRPr="00F03478">
        <w:rPr>
          <w:rFonts w:ascii="Verdana" w:hAnsi="Verdana"/>
          <w:sz w:val="19"/>
          <w:szCs w:val="19"/>
        </w:rPr>
        <w:t>the financial industry also needs a level playing field in data sharing, as this plays a crucial role in conducting business under fair competition.</w:t>
      </w:r>
      <w:r w:rsidR="005A1B5A" w:rsidRPr="00774F3E">
        <w:rPr>
          <w:rFonts w:ascii="Verdana" w:hAnsi="Verdana"/>
          <w:sz w:val="19"/>
          <w:szCs w:val="19"/>
        </w:rPr>
        <w:t xml:space="preserve"> </w:t>
      </w:r>
    </w:p>
    <w:p w14:paraId="52343CC6" w14:textId="77777777" w:rsidR="00F03478" w:rsidRDefault="00F03478" w:rsidP="00537B90">
      <w:pPr>
        <w:spacing w:after="160" w:line="259" w:lineRule="auto"/>
        <w:jc w:val="both"/>
        <w:rPr>
          <w:rFonts w:ascii="Verdana" w:hAnsi="Verdana"/>
          <w:sz w:val="19"/>
          <w:szCs w:val="19"/>
        </w:rPr>
      </w:pPr>
      <w:r w:rsidRPr="00492E9D">
        <w:rPr>
          <w:rFonts w:ascii="Verdana" w:hAnsi="Verdana"/>
          <w:sz w:val="19"/>
          <w:szCs w:val="19"/>
        </w:rPr>
        <w:t>PSD2’s open banking requirements created a competitive asymmetry in the accessibility of customers’ data between different players</w:t>
      </w:r>
      <w:r>
        <w:rPr>
          <w:rFonts w:ascii="Verdana" w:hAnsi="Verdana"/>
          <w:sz w:val="19"/>
          <w:szCs w:val="19"/>
        </w:rPr>
        <w:t>. But in addition,</w:t>
      </w:r>
      <w:r w:rsidRPr="00F03478">
        <w:rPr>
          <w:rFonts w:ascii="Verdana" w:hAnsi="Verdana"/>
          <w:sz w:val="19"/>
          <w:szCs w:val="19"/>
        </w:rPr>
        <w:t xml:space="preserve"> </w:t>
      </w:r>
      <w:r>
        <w:rPr>
          <w:rFonts w:ascii="Verdana" w:hAnsi="Verdana"/>
          <w:sz w:val="19"/>
          <w:szCs w:val="19"/>
        </w:rPr>
        <w:t>after several years of</w:t>
      </w:r>
      <w:r w:rsidR="00537B90" w:rsidRPr="00C04303">
        <w:rPr>
          <w:rFonts w:ascii="Verdana" w:hAnsi="Verdana"/>
          <w:sz w:val="19"/>
          <w:szCs w:val="19"/>
        </w:rPr>
        <w:t xml:space="preserve"> experience, </w:t>
      </w:r>
      <w:r>
        <w:rPr>
          <w:rFonts w:ascii="Verdana" w:hAnsi="Verdana"/>
          <w:sz w:val="19"/>
          <w:szCs w:val="19"/>
        </w:rPr>
        <w:t xml:space="preserve">we observe that </w:t>
      </w:r>
      <w:r w:rsidR="00537B90" w:rsidRPr="00C04303">
        <w:rPr>
          <w:rFonts w:ascii="Verdana" w:hAnsi="Verdana"/>
          <w:sz w:val="19"/>
          <w:szCs w:val="19"/>
        </w:rPr>
        <w:t xml:space="preserve">the open banking requirements required large investments by financial </w:t>
      </w:r>
      <w:r w:rsidR="00341BB3" w:rsidRPr="00C04303">
        <w:rPr>
          <w:rFonts w:ascii="Verdana" w:hAnsi="Verdana"/>
          <w:sz w:val="19"/>
          <w:szCs w:val="19"/>
        </w:rPr>
        <w:t>institutions but</w:t>
      </w:r>
      <w:r w:rsidR="00537B90" w:rsidRPr="00C04303">
        <w:rPr>
          <w:rFonts w:ascii="Verdana" w:hAnsi="Verdana"/>
          <w:sz w:val="19"/>
          <w:szCs w:val="19"/>
        </w:rPr>
        <w:t xml:space="preserve"> have led to limited market adoption.  </w:t>
      </w:r>
    </w:p>
    <w:p w14:paraId="1111C35F" w14:textId="1338418F" w:rsidR="00537B90" w:rsidRPr="00C04303" w:rsidRDefault="00537B90" w:rsidP="00537B90">
      <w:pPr>
        <w:spacing w:after="160" w:line="259" w:lineRule="auto"/>
        <w:jc w:val="both"/>
        <w:rPr>
          <w:rFonts w:ascii="Verdana" w:hAnsi="Verdana"/>
          <w:sz w:val="19"/>
          <w:szCs w:val="19"/>
        </w:rPr>
      </w:pPr>
      <w:r w:rsidRPr="00C04303">
        <w:rPr>
          <w:rFonts w:ascii="Verdana" w:hAnsi="Verdana"/>
          <w:sz w:val="19"/>
          <w:szCs w:val="19"/>
        </w:rPr>
        <w:t xml:space="preserve">In our view, this is </w:t>
      </w:r>
      <w:r w:rsidR="00341BB3" w:rsidRPr="00C04303">
        <w:rPr>
          <w:rFonts w:ascii="Verdana" w:hAnsi="Verdana"/>
          <w:sz w:val="19"/>
          <w:szCs w:val="19"/>
        </w:rPr>
        <w:t>due to</w:t>
      </w:r>
      <w:r w:rsidRPr="00C04303">
        <w:rPr>
          <w:rFonts w:ascii="Verdana" w:hAnsi="Verdana"/>
          <w:sz w:val="19"/>
          <w:szCs w:val="19"/>
        </w:rPr>
        <w:t xml:space="preserve"> the lack of market incentives for all players to develop innovative functionalities and value propositions that cater to and evolve along clients' needs, which should be the </w:t>
      </w:r>
      <w:proofErr w:type="gramStart"/>
      <w:r w:rsidRPr="00C04303">
        <w:rPr>
          <w:rFonts w:ascii="Verdana" w:hAnsi="Verdana"/>
          <w:sz w:val="19"/>
          <w:szCs w:val="19"/>
        </w:rPr>
        <w:t>ultimate goal</w:t>
      </w:r>
      <w:proofErr w:type="gramEnd"/>
      <w:r w:rsidRPr="00C04303">
        <w:rPr>
          <w:rFonts w:ascii="Verdana" w:hAnsi="Verdana"/>
          <w:sz w:val="19"/>
          <w:szCs w:val="19"/>
        </w:rPr>
        <w:t xml:space="preserve"> of any open banking initiative. </w:t>
      </w:r>
    </w:p>
    <w:p w14:paraId="7180C004" w14:textId="77777777" w:rsidR="00537B90" w:rsidRPr="00C04303" w:rsidRDefault="00537B90" w:rsidP="00537B90">
      <w:pPr>
        <w:spacing w:after="160" w:line="259" w:lineRule="auto"/>
        <w:jc w:val="both"/>
        <w:rPr>
          <w:rFonts w:ascii="Verdana" w:hAnsi="Verdana"/>
          <w:sz w:val="19"/>
          <w:szCs w:val="19"/>
        </w:rPr>
      </w:pPr>
      <w:r w:rsidRPr="00C04303">
        <w:rPr>
          <w:rFonts w:ascii="Verdana" w:hAnsi="Verdana"/>
          <w:sz w:val="19"/>
          <w:szCs w:val="19"/>
        </w:rPr>
        <w:t>Therefore, the future open finance framework should not impose new data sharing obligations, which could lead to a similar outcome as PSD2, but rather take a market-driven approach that focuses on creating the right incentives for players to invest in new services and the necessary advanced data sharing technologies.</w:t>
      </w:r>
    </w:p>
    <w:p w14:paraId="2FF7E11B" w14:textId="6D3B030B" w:rsidR="005A1B5A" w:rsidRPr="00774F3E" w:rsidRDefault="005A1B5A" w:rsidP="005A1B5A">
      <w:pPr>
        <w:spacing w:before="120" w:after="120" w:line="259" w:lineRule="auto"/>
        <w:jc w:val="both"/>
        <w:rPr>
          <w:rFonts w:ascii="Verdana" w:hAnsi="Verdana"/>
          <w:sz w:val="19"/>
          <w:szCs w:val="19"/>
        </w:rPr>
      </w:pPr>
      <w:r w:rsidRPr="00774F3E">
        <w:rPr>
          <w:rFonts w:ascii="Verdana" w:hAnsi="Verdana"/>
          <w:sz w:val="19"/>
          <w:szCs w:val="19"/>
        </w:rPr>
        <w:t xml:space="preserve">In our view, the open finance framework should support a </w:t>
      </w:r>
      <w:r w:rsidRPr="00F13E68">
        <w:rPr>
          <w:rFonts w:ascii="Verdana" w:hAnsi="Verdana"/>
          <w:sz w:val="19"/>
          <w:szCs w:val="19"/>
          <w:u w:val="single"/>
        </w:rPr>
        <w:t xml:space="preserve">voluntary data sharing and </w:t>
      </w:r>
      <w:r w:rsidR="004E498A" w:rsidRPr="00F13E68">
        <w:rPr>
          <w:rFonts w:ascii="Verdana" w:hAnsi="Verdana"/>
          <w:sz w:val="19"/>
          <w:szCs w:val="19"/>
          <w:u w:val="single"/>
        </w:rPr>
        <w:t>promoting</w:t>
      </w:r>
      <w:r w:rsidRPr="00F13E68">
        <w:rPr>
          <w:rFonts w:ascii="Verdana" w:hAnsi="Verdana"/>
          <w:sz w:val="19"/>
          <w:szCs w:val="19"/>
          <w:u w:val="single"/>
        </w:rPr>
        <w:t xml:space="preserve"> market-driven standardisation</w:t>
      </w:r>
      <w:r w:rsidRPr="00774F3E">
        <w:rPr>
          <w:rFonts w:ascii="Verdana" w:hAnsi="Verdana"/>
          <w:sz w:val="19"/>
          <w:szCs w:val="19"/>
        </w:rPr>
        <w:t xml:space="preserve"> to</w:t>
      </w:r>
      <w:r w:rsidR="00DA40D0" w:rsidRPr="00DA40D0">
        <w:rPr>
          <w:rFonts w:ascii="Verdana" w:hAnsi="Verdana"/>
          <w:sz w:val="19"/>
          <w:szCs w:val="19"/>
        </w:rPr>
        <w:t xml:space="preserve"> facilitate data flow across</w:t>
      </w:r>
      <w:r w:rsidR="00DA40D0">
        <w:rPr>
          <w:rFonts w:ascii="Verdana" w:hAnsi="Verdana"/>
          <w:sz w:val="19"/>
          <w:szCs w:val="19"/>
        </w:rPr>
        <w:t xml:space="preserve"> </w:t>
      </w:r>
      <w:r w:rsidR="00DA40D0" w:rsidRPr="00706762">
        <w:rPr>
          <w:rFonts w:ascii="Verdana" w:hAnsi="Verdana"/>
          <w:sz w:val="19"/>
          <w:szCs w:val="19"/>
        </w:rPr>
        <w:t>sectors and countries</w:t>
      </w:r>
      <w:r w:rsidRPr="00774F3E">
        <w:rPr>
          <w:rFonts w:ascii="Verdana" w:hAnsi="Verdana"/>
          <w:sz w:val="19"/>
          <w:szCs w:val="19"/>
        </w:rPr>
        <w:t xml:space="preserve">, without introducing any new rights of access to data. </w:t>
      </w:r>
    </w:p>
    <w:p w14:paraId="5383A1AC" w14:textId="5A8532F9" w:rsidR="005A1B5A" w:rsidRPr="00774F3E" w:rsidRDefault="005A1B5A" w:rsidP="005A1B5A">
      <w:pPr>
        <w:spacing w:before="120" w:after="120" w:line="259" w:lineRule="auto"/>
        <w:jc w:val="both"/>
        <w:rPr>
          <w:rFonts w:ascii="Verdana" w:hAnsi="Verdana"/>
          <w:color w:val="4472C4"/>
          <w:sz w:val="19"/>
          <w:szCs w:val="19"/>
        </w:rPr>
      </w:pPr>
      <w:r w:rsidRPr="00774F3E">
        <w:rPr>
          <w:rFonts w:ascii="Verdana" w:hAnsi="Verdana"/>
          <w:sz w:val="19"/>
          <w:szCs w:val="19"/>
        </w:rPr>
        <w:t xml:space="preserve">This flexible approach would help to respond to market demand and support innovation. It would also allow different market participants to define their participation in the future framework, </w:t>
      </w:r>
      <w:r w:rsidRPr="00774F3E">
        <w:rPr>
          <w:rFonts w:ascii="Verdana" w:hAnsi="Verdana"/>
          <w:sz w:val="19"/>
          <w:szCs w:val="19"/>
          <w:u w:val="single"/>
        </w:rPr>
        <w:t>including third parties</w:t>
      </w:r>
      <w:r w:rsidRPr="00774F3E">
        <w:rPr>
          <w:rFonts w:ascii="Verdana" w:hAnsi="Verdana"/>
          <w:sz w:val="19"/>
          <w:szCs w:val="19"/>
        </w:rPr>
        <w:t>. The potential focus of a data sharing framework in finance should not be only the data from banking and financial entities but should include data from all sectors participating in the economy (e.g., healthcare, transport, energy, public sector), ensuring the potential use cases fulfil the needs of customers. Access to non-financial data would help providing better financial products and services.</w:t>
      </w:r>
    </w:p>
    <w:p w14:paraId="7BDE2DA8" w14:textId="459EEB85" w:rsidR="005A1B5A" w:rsidRDefault="005A1B5A" w:rsidP="005A1B5A">
      <w:pPr>
        <w:spacing w:before="120" w:after="120" w:line="259" w:lineRule="auto"/>
        <w:jc w:val="both"/>
        <w:rPr>
          <w:rFonts w:ascii="Verdana" w:hAnsi="Verdana"/>
          <w:sz w:val="19"/>
          <w:szCs w:val="19"/>
        </w:rPr>
      </w:pPr>
      <w:r w:rsidRPr="00774F3E">
        <w:rPr>
          <w:rFonts w:ascii="Verdana" w:hAnsi="Verdana"/>
          <w:sz w:val="19"/>
          <w:szCs w:val="19"/>
        </w:rPr>
        <w:t xml:space="preserve">This policy option also allows for better interaction with data spaces being developed in other sectors to enable the development of cross-sectoral use cases and would not create </w:t>
      </w:r>
      <w:r w:rsidR="00D65583">
        <w:rPr>
          <w:rFonts w:ascii="Verdana" w:hAnsi="Verdana"/>
          <w:sz w:val="19"/>
          <w:szCs w:val="19"/>
        </w:rPr>
        <w:t>an uneven level playing field.</w:t>
      </w:r>
    </w:p>
    <w:p w14:paraId="7AC30634" w14:textId="7CBE2D99" w:rsidR="005A1B5A" w:rsidRPr="00774F3E" w:rsidRDefault="00537B90" w:rsidP="005A1B5A">
      <w:pPr>
        <w:spacing w:before="120" w:after="120" w:line="259" w:lineRule="auto"/>
        <w:jc w:val="both"/>
        <w:rPr>
          <w:rFonts w:ascii="Verdana" w:hAnsi="Verdana"/>
          <w:b/>
          <w:bCs/>
          <w:sz w:val="19"/>
          <w:szCs w:val="19"/>
        </w:rPr>
      </w:pPr>
      <w:r>
        <w:rPr>
          <w:rFonts w:ascii="Verdana" w:hAnsi="Verdana"/>
          <w:b/>
          <w:bCs/>
          <w:sz w:val="19"/>
          <w:szCs w:val="19"/>
        </w:rPr>
        <w:t xml:space="preserve">Some key elements that </w:t>
      </w:r>
      <w:r w:rsidR="009B5BCE">
        <w:rPr>
          <w:rFonts w:ascii="Verdana" w:hAnsi="Verdana"/>
          <w:b/>
          <w:bCs/>
          <w:sz w:val="19"/>
          <w:szCs w:val="19"/>
        </w:rPr>
        <w:t>sh</w:t>
      </w:r>
      <w:r>
        <w:rPr>
          <w:rFonts w:ascii="Verdana" w:hAnsi="Verdana"/>
          <w:b/>
          <w:bCs/>
          <w:sz w:val="19"/>
          <w:szCs w:val="19"/>
        </w:rPr>
        <w:t>ould be considered when designing the future framework or scheme are:</w:t>
      </w:r>
    </w:p>
    <w:p w14:paraId="24E6C9E3" w14:textId="317C8F7C" w:rsidR="00537B90" w:rsidRDefault="00537B90" w:rsidP="005A1B5A">
      <w:pPr>
        <w:pStyle w:val="Prrafodelista"/>
        <w:widowControl w:val="0"/>
        <w:numPr>
          <w:ilvl w:val="0"/>
          <w:numId w:val="5"/>
        </w:numPr>
        <w:pBdr>
          <w:top w:val="nil"/>
          <w:left w:val="nil"/>
          <w:bottom w:val="nil"/>
          <w:right w:val="nil"/>
          <w:between w:val="nil"/>
        </w:pBdr>
        <w:spacing w:before="120" w:after="120" w:line="259" w:lineRule="auto"/>
        <w:jc w:val="both"/>
        <w:rPr>
          <w:rFonts w:ascii="Verdana" w:hAnsi="Verdana"/>
          <w:sz w:val="19"/>
          <w:szCs w:val="19"/>
        </w:rPr>
      </w:pPr>
      <w:r>
        <w:rPr>
          <w:rFonts w:ascii="Verdana" w:hAnsi="Verdana"/>
          <w:sz w:val="19"/>
          <w:szCs w:val="19"/>
        </w:rPr>
        <w:lastRenderedPageBreak/>
        <w:t xml:space="preserve">The promotion of </w:t>
      </w:r>
      <w:r w:rsidR="00341BB3">
        <w:rPr>
          <w:rFonts w:ascii="Verdana" w:hAnsi="Verdana"/>
          <w:sz w:val="19"/>
          <w:szCs w:val="19"/>
        </w:rPr>
        <w:t xml:space="preserve">a </w:t>
      </w:r>
      <w:r w:rsidRPr="00C04303">
        <w:rPr>
          <w:rFonts w:ascii="Verdana" w:hAnsi="Verdana"/>
          <w:b/>
          <w:bCs/>
          <w:sz w:val="19"/>
          <w:szCs w:val="19"/>
        </w:rPr>
        <w:t>level playing field</w:t>
      </w:r>
      <w:r w:rsidRPr="00774F3E">
        <w:rPr>
          <w:rFonts w:ascii="Verdana" w:hAnsi="Verdana"/>
          <w:sz w:val="19"/>
          <w:szCs w:val="19"/>
        </w:rPr>
        <w:t xml:space="preserve"> between all the financial firms and third parties involved in the framework.</w:t>
      </w:r>
      <w:r w:rsidR="00341BB3" w:rsidRPr="00341BB3">
        <w:rPr>
          <w:rFonts w:ascii="Verdana" w:hAnsi="Verdana"/>
          <w:b/>
          <w:bCs/>
          <w:sz w:val="19"/>
          <w:szCs w:val="19"/>
        </w:rPr>
        <w:t xml:space="preserve"> </w:t>
      </w:r>
      <w:r w:rsidR="00341BB3" w:rsidRPr="00774F3E">
        <w:rPr>
          <w:rFonts w:ascii="Verdana" w:hAnsi="Verdana"/>
          <w:b/>
          <w:bCs/>
          <w:sz w:val="19"/>
          <w:szCs w:val="19"/>
        </w:rPr>
        <w:t>Reciprocity</w:t>
      </w:r>
      <w:r w:rsidR="00341BB3" w:rsidRPr="00774F3E">
        <w:rPr>
          <w:rFonts w:ascii="Verdana" w:hAnsi="Verdana"/>
          <w:sz w:val="19"/>
          <w:szCs w:val="19"/>
        </w:rPr>
        <w:t xml:space="preserve"> on data accessibility should also be ensured, as a necessary condition for a level playing field. Only firms participating in the framework providing access to their own relevant data should be able to access data held by third parties.</w:t>
      </w:r>
    </w:p>
    <w:p w14:paraId="5F4E0B0D" w14:textId="616C953D" w:rsidR="005A1B5A" w:rsidRPr="00774F3E" w:rsidRDefault="00341BB3" w:rsidP="005A1B5A">
      <w:pPr>
        <w:pStyle w:val="Prrafodelista"/>
        <w:widowControl w:val="0"/>
        <w:numPr>
          <w:ilvl w:val="0"/>
          <w:numId w:val="5"/>
        </w:numPr>
        <w:pBdr>
          <w:top w:val="nil"/>
          <w:left w:val="nil"/>
          <w:bottom w:val="nil"/>
          <w:right w:val="nil"/>
          <w:between w:val="nil"/>
        </w:pBdr>
        <w:spacing w:before="120" w:after="120" w:line="259" w:lineRule="auto"/>
        <w:jc w:val="both"/>
        <w:rPr>
          <w:rFonts w:ascii="Verdana" w:hAnsi="Verdana"/>
          <w:sz w:val="19"/>
          <w:szCs w:val="19"/>
        </w:rPr>
      </w:pPr>
      <w:r>
        <w:rPr>
          <w:rFonts w:ascii="Verdana" w:hAnsi="Verdana"/>
          <w:sz w:val="19"/>
          <w:szCs w:val="19"/>
        </w:rPr>
        <w:t>E</w:t>
      </w:r>
      <w:r w:rsidR="00537B90">
        <w:rPr>
          <w:rFonts w:ascii="Verdana" w:hAnsi="Verdana"/>
          <w:sz w:val="19"/>
          <w:szCs w:val="19"/>
        </w:rPr>
        <w:t>nsure</w:t>
      </w:r>
      <w:r w:rsidR="005A1B5A" w:rsidRPr="00774F3E">
        <w:rPr>
          <w:rFonts w:ascii="Verdana" w:hAnsi="Verdana"/>
          <w:sz w:val="19"/>
          <w:szCs w:val="19"/>
        </w:rPr>
        <w:t xml:space="preserve"> </w:t>
      </w:r>
      <w:r w:rsidR="005A1B5A" w:rsidRPr="001176F2">
        <w:rPr>
          <w:rFonts w:ascii="Verdana" w:hAnsi="Verdana"/>
          <w:b/>
          <w:bCs/>
          <w:sz w:val="19"/>
          <w:szCs w:val="19"/>
        </w:rPr>
        <w:t>users’ trust</w:t>
      </w:r>
      <w:r w:rsidR="005A1B5A" w:rsidRPr="00774F3E">
        <w:rPr>
          <w:rFonts w:ascii="Verdana" w:hAnsi="Verdana"/>
          <w:sz w:val="19"/>
          <w:szCs w:val="19"/>
        </w:rPr>
        <w:t xml:space="preserve"> through a strong consent management framework, in line with the GDPR. It is important to ensure that the customer understands what they are consenting to and to whom and receives all the necessary information on how to manage this consent. Any provider should adhere to the same rules and there should be a clear delineation of the roles and responsibilities of each participant. Trust must be the foundation of any data sharing. </w:t>
      </w:r>
    </w:p>
    <w:p w14:paraId="500AC830" w14:textId="77777777" w:rsidR="005A1B5A" w:rsidRPr="00774F3E" w:rsidRDefault="005A1B5A" w:rsidP="005A1B5A">
      <w:pPr>
        <w:widowControl w:val="0"/>
        <w:numPr>
          <w:ilvl w:val="0"/>
          <w:numId w:val="5"/>
        </w:numPr>
        <w:pBdr>
          <w:top w:val="nil"/>
          <w:left w:val="nil"/>
          <w:bottom w:val="nil"/>
          <w:right w:val="nil"/>
          <w:between w:val="nil"/>
        </w:pBdr>
        <w:spacing w:before="120" w:after="120" w:line="259" w:lineRule="auto"/>
        <w:jc w:val="both"/>
        <w:rPr>
          <w:rFonts w:ascii="Verdana" w:hAnsi="Verdana"/>
          <w:sz w:val="19"/>
          <w:szCs w:val="19"/>
        </w:rPr>
      </w:pPr>
      <w:r w:rsidRPr="00774F3E">
        <w:rPr>
          <w:rFonts w:ascii="Verdana" w:hAnsi="Verdana"/>
          <w:sz w:val="19"/>
          <w:szCs w:val="19"/>
        </w:rPr>
        <w:t xml:space="preserve">Include </w:t>
      </w:r>
      <w:r w:rsidRPr="001176F2">
        <w:rPr>
          <w:rFonts w:ascii="Verdana" w:hAnsi="Verdana"/>
          <w:b/>
          <w:bCs/>
          <w:sz w:val="19"/>
          <w:szCs w:val="19"/>
        </w:rPr>
        <w:t>measures to address risks</w:t>
      </w:r>
      <w:r w:rsidRPr="00774F3E">
        <w:rPr>
          <w:rFonts w:ascii="Verdana" w:hAnsi="Verdana"/>
          <w:sz w:val="19"/>
          <w:szCs w:val="19"/>
        </w:rPr>
        <w:t xml:space="preserve"> such as fraud, ID theft, privacy and data breaches, cyber and information security risks, also in line with relevant legislation such as the GDPR. </w:t>
      </w:r>
    </w:p>
    <w:p w14:paraId="74A713DB" w14:textId="1DA63807" w:rsidR="005A1B5A" w:rsidRPr="00B225F9" w:rsidRDefault="005A1B5A" w:rsidP="00C04303">
      <w:pPr>
        <w:widowControl w:val="0"/>
        <w:numPr>
          <w:ilvl w:val="0"/>
          <w:numId w:val="5"/>
        </w:numPr>
        <w:pBdr>
          <w:top w:val="nil"/>
          <w:left w:val="nil"/>
          <w:bottom w:val="nil"/>
          <w:right w:val="nil"/>
          <w:between w:val="nil"/>
        </w:pBdr>
        <w:spacing w:before="120" w:after="120" w:line="259" w:lineRule="auto"/>
        <w:jc w:val="both"/>
        <w:rPr>
          <w:rFonts w:ascii="Verdana" w:hAnsi="Verdana"/>
          <w:sz w:val="19"/>
          <w:szCs w:val="19"/>
        </w:rPr>
      </w:pPr>
      <w:r w:rsidRPr="00B225F9">
        <w:rPr>
          <w:rFonts w:ascii="Verdana" w:hAnsi="Verdana"/>
          <w:sz w:val="19"/>
          <w:szCs w:val="19"/>
        </w:rPr>
        <w:t xml:space="preserve">Addressing issues related to </w:t>
      </w:r>
      <w:r w:rsidRPr="001176F2">
        <w:rPr>
          <w:rFonts w:ascii="Verdana" w:hAnsi="Verdana"/>
          <w:b/>
          <w:bCs/>
          <w:sz w:val="19"/>
          <w:szCs w:val="19"/>
        </w:rPr>
        <w:t>liability</w:t>
      </w:r>
      <w:r w:rsidRPr="00B225F9">
        <w:rPr>
          <w:rFonts w:ascii="Verdana" w:hAnsi="Verdana"/>
          <w:sz w:val="19"/>
          <w:szCs w:val="19"/>
        </w:rPr>
        <w:t xml:space="preserve">. The PSD2 experience created difficulties on this aspect. Clearly specifying the responsibilities of all actors is essential.  </w:t>
      </w:r>
    </w:p>
    <w:p w14:paraId="48B19C4A" w14:textId="4DE013E6" w:rsidR="005A1B5A" w:rsidRPr="00774F3E" w:rsidRDefault="005A1B5A" w:rsidP="005A1B5A">
      <w:pPr>
        <w:pStyle w:val="Prrafodelista"/>
        <w:numPr>
          <w:ilvl w:val="0"/>
          <w:numId w:val="5"/>
        </w:numPr>
        <w:spacing w:before="120" w:after="120" w:line="259" w:lineRule="auto"/>
        <w:jc w:val="both"/>
        <w:rPr>
          <w:rFonts w:ascii="Verdana" w:hAnsi="Verdana"/>
          <w:sz w:val="19"/>
          <w:szCs w:val="19"/>
        </w:rPr>
      </w:pPr>
      <w:r w:rsidRPr="00774F3E">
        <w:rPr>
          <w:rFonts w:ascii="Verdana" w:hAnsi="Verdana"/>
          <w:sz w:val="19"/>
          <w:szCs w:val="19"/>
        </w:rPr>
        <w:t xml:space="preserve">The inclusion of a </w:t>
      </w:r>
      <w:r w:rsidRPr="00774F3E">
        <w:rPr>
          <w:rFonts w:ascii="Verdana" w:hAnsi="Verdana"/>
          <w:b/>
          <w:bCs/>
          <w:sz w:val="19"/>
          <w:szCs w:val="19"/>
        </w:rPr>
        <w:t>fair compensation</w:t>
      </w:r>
      <w:r w:rsidRPr="00774F3E">
        <w:rPr>
          <w:rFonts w:ascii="Verdana" w:hAnsi="Verdana"/>
          <w:sz w:val="19"/>
          <w:szCs w:val="19"/>
        </w:rPr>
        <w:t xml:space="preserve"> is essential</w:t>
      </w:r>
      <w:r w:rsidR="00341BB3">
        <w:rPr>
          <w:rFonts w:ascii="Verdana" w:hAnsi="Verdana"/>
          <w:sz w:val="19"/>
          <w:szCs w:val="19"/>
        </w:rPr>
        <w:t xml:space="preserve"> </w:t>
      </w:r>
      <w:r w:rsidR="00341BB3" w:rsidRPr="00774F3E">
        <w:rPr>
          <w:rFonts w:ascii="Verdana" w:hAnsi="Verdana"/>
          <w:sz w:val="19"/>
          <w:szCs w:val="19"/>
        </w:rPr>
        <w:t>to generate the incentives to invest and share data</w:t>
      </w:r>
      <w:r w:rsidRPr="00774F3E">
        <w:rPr>
          <w:rFonts w:ascii="Verdana" w:hAnsi="Verdana"/>
          <w:sz w:val="19"/>
          <w:szCs w:val="19"/>
        </w:rPr>
        <w:t xml:space="preserve">. </w:t>
      </w:r>
      <w:r w:rsidR="00D65583">
        <w:rPr>
          <w:rFonts w:ascii="Verdana" w:hAnsi="Verdana"/>
          <w:sz w:val="19"/>
          <w:szCs w:val="19"/>
        </w:rPr>
        <w:t>P</w:t>
      </w:r>
      <w:r w:rsidRPr="00774F3E">
        <w:rPr>
          <w:rFonts w:ascii="Verdana" w:hAnsi="Verdana"/>
          <w:sz w:val="19"/>
          <w:szCs w:val="19"/>
        </w:rPr>
        <w:t>arties providing data</w:t>
      </w:r>
      <w:r w:rsidR="00D65583">
        <w:rPr>
          <w:rFonts w:ascii="Verdana" w:hAnsi="Verdana"/>
          <w:sz w:val="19"/>
          <w:szCs w:val="19"/>
        </w:rPr>
        <w:t xml:space="preserve"> need</w:t>
      </w:r>
      <w:r w:rsidRPr="00774F3E">
        <w:rPr>
          <w:rFonts w:ascii="Verdana" w:hAnsi="Verdana"/>
          <w:sz w:val="19"/>
          <w:szCs w:val="19"/>
        </w:rPr>
        <w:t xml:space="preserve"> to recover the investment and the cost of the data sharing infrastructure.</w:t>
      </w:r>
    </w:p>
    <w:p w14:paraId="60C593BB" w14:textId="26E83015" w:rsidR="005A1B5A" w:rsidRPr="00774F3E" w:rsidRDefault="005A1B5A" w:rsidP="005A1B5A">
      <w:pPr>
        <w:spacing w:before="120" w:after="120" w:line="259" w:lineRule="auto"/>
        <w:jc w:val="both"/>
        <w:rPr>
          <w:rFonts w:ascii="Verdana" w:hAnsi="Verdana"/>
          <w:sz w:val="19"/>
          <w:szCs w:val="19"/>
        </w:rPr>
      </w:pPr>
      <w:r w:rsidRPr="00774F3E">
        <w:rPr>
          <w:rFonts w:ascii="Verdana" w:hAnsi="Verdana"/>
          <w:sz w:val="19"/>
          <w:szCs w:val="19"/>
        </w:rPr>
        <w:t>Therefore, in conclusion, th</w:t>
      </w:r>
      <w:r w:rsidR="00DA40D0">
        <w:rPr>
          <w:rFonts w:ascii="Verdana" w:hAnsi="Verdana"/>
          <w:sz w:val="19"/>
          <w:szCs w:val="19"/>
        </w:rPr>
        <w:t>e future</w:t>
      </w:r>
      <w:r w:rsidRPr="00774F3E">
        <w:rPr>
          <w:rFonts w:ascii="Verdana" w:hAnsi="Verdana"/>
          <w:sz w:val="19"/>
          <w:szCs w:val="19"/>
        </w:rPr>
        <w:t xml:space="preserve"> O</w:t>
      </w:r>
      <w:r w:rsidR="004E498A">
        <w:rPr>
          <w:rFonts w:ascii="Verdana" w:hAnsi="Verdana"/>
          <w:sz w:val="19"/>
          <w:szCs w:val="19"/>
        </w:rPr>
        <w:t xml:space="preserve">pen </w:t>
      </w:r>
      <w:r w:rsidRPr="00774F3E">
        <w:rPr>
          <w:rFonts w:ascii="Verdana" w:hAnsi="Verdana"/>
          <w:sz w:val="19"/>
          <w:szCs w:val="19"/>
        </w:rPr>
        <w:t>F</w:t>
      </w:r>
      <w:r w:rsidR="004E498A">
        <w:rPr>
          <w:rFonts w:ascii="Verdana" w:hAnsi="Verdana"/>
          <w:sz w:val="19"/>
          <w:szCs w:val="19"/>
        </w:rPr>
        <w:t>inance</w:t>
      </w:r>
      <w:r w:rsidRPr="00774F3E">
        <w:rPr>
          <w:rFonts w:ascii="Verdana" w:hAnsi="Verdana"/>
          <w:sz w:val="19"/>
          <w:szCs w:val="19"/>
        </w:rPr>
        <w:t xml:space="preserve"> framework could set out how data </w:t>
      </w:r>
      <w:r w:rsidR="00D65583">
        <w:rPr>
          <w:rFonts w:ascii="Verdana" w:hAnsi="Verdana"/>
          <w:sz w:val="19"/>
          <w:szCs w:val="19"/>
        </w:rPr>
        <w:t>c</w:t>
      </w:r>
      <w:r w:rsidRPr="00774F3E">
        <w:rPr>
          <w:rFonts w:ascii="Verdana" w:hAnsi="Verdana"/>
          <w:sz w:val="19"/>
          <w:szCs w:val="19"/>
        </w:rPr>
        <w:t>ould be shared, addressing issues such as consumer protection, liability, and compensation</w:t>
      </w:r>
      <w:r w:rsidR="004E498A">
        <w:rPr>
          <w:rFonts w:ascii="Verdana" w:hAnsi="Verdana"/>
          <w:sz w:val="19"/>
          <w:szCs w:val="19"/>
        </w:rPr>
        <w:t>,</w:t>
      </w:r>
      <w:r w:rsidRPr="00774F3E">
        <w:rPr>
          <w:rFonts w:ascii="Verdana" w:hAnsi="Verdana"/>
          <w:sz w:val="19"/>
          <w:szCs w:val="19"/>
        </w:rPr>
        <w:t xml:space="preserve"> while technical obstacles to data sharing could be addressed by market driven initiatives with the support of authorities. </w:t>
      </w:r>
    </w:p>
    <w:p w14:paraId="4B8AB6D4" w14:textId="4AD89203" w:rsidR="007C3B00" w:rsidRDefault="005A1B5A" w:rsidP="005A1B5A">
      <w:pPr>
        <w:spacing w:before="120" w:after="120" w:line="259" w:lineRule="auto"/>
        <w:jc w:val="both"/>
        <w:rPr>
          <w:rFonts w:ascii="Verdana" w:hAnsi="Verdana"/>
          <w:sz w:val="19"/>
          <w:szCs w:val="19"/>
        </w:rPr>
      </w:pPr>
      <w:r w:rsidRPr="00774F3E">
        <w:rPr>
          <w:rFonts w:ascii="Verdana" w:hAnsi="Verdana"/>
          <w:sz w:val="19"/>
          <w:szCs w:val="19"/>
        </w:rPr>
        <w:t xml:space="preserve">Data would be shared </w:t>
      </w:r>
      <w:r w:rsidRPr="00C04303">
        <w:rPr>
          <w:rFonts w:ascii="Verdana" w:hAnsi="Verdana"/>
          <w:b/>
          <w:bCs/>
          <w:sz w:val="19"/>
          <w:szCs w:val="19"/>
        </w:rPr>
        <w:t>on a voluntary basis, based on market need</w:t>
      </w:r>
      <w:r w:rsidR="004E498A" w:rsidRPr="00C04303">
        <w:rPr>
          <w:rFonts w:ascii="Verdana" w:hAnsi="Verdana"/>
          <w:b/>
          <w:bCs/>
          <w:sz w:val="19"/>
          <w:szCs w:val="19"/>
        </w:rPr>
        <w:t>s</w:t>
      </w:r>
      <w:r w:rsidR="009B5BCE">
        <w:rPr>
          <w:rFonts w:ascii="Verdana" w:hAnsi="Verdana"/>
          <w:b/>
          <w:bCs/>
          <w:sz w:val="19"/>
          <w:szCs w:val="19"/>
        </w:rPr>
        <w:t xml:space="preserve"> and use cases</w:t>
      </w:r>
      <w:r w:rsidRPr="00774F3E">
        <w:rPr>
          <w:rFonts w:ascii="Verdana" w:hAnsi="Verdana"/>
          <w:sz w:val="19"/>
          <w:szCs w:val="19"/>
        </w:rPr>
        <w:t xml:space="preserve">. This would keep the financial sector moving towards an open data economy, </w:t>
      </w:r>
      <w:r w:rsidR="007C3B00" w:rsidRPr="007C3B00">
        <w:rPr>
          <w:rFonts w:ascii="Verdana" w:hAnsi="Verdana"/>
          <w:sz w:val="19"/>
          <w:szCs w:val="19"/>
        </w:rPr>
        <w:t xml:space="preserve">without creating further asymmetries with other sectors, and would also be consistent with the recent EU regulatory proposals on data sharing, which, except for very specific actors or datasets, </w:t>
      </w:r>
      <w:r w:rsidR="007C3B00" w:rsidRPr="00C04303">
        <w:rPr>
          <w:rFonts w:ascii="Verdana" w:hAnsi="Verdana"/>
          <w:b/>
          <w:bCs/>
          <w:sz w:val="19"/>
          <w:szCs w:val="19"/>
        </w:rPr>
        <w:t>aim to facilitate voluntary data sharing between firms</w:t>
      </w:r>
      <w:r w:rsidR="007C3B00" w:rsidRPr="007C3B00">
        <w:rPr>
          <w:rFonts w:ascii="Verdana" w:hAnsi="Verdana"/>
          <w:sz w:val="19"/>
          <w:szCs w:val="19"/>
        </w:rPr>
        <w:t xml:space="preserve">. The open finance framework should follow a similar approach, thus being a </w:t>
      </w:r>
      <w:r w:rsidR="007C3B00" w:rsidRPr="00C04303">
        <w:rPr>
          <w:rFonts w:ascii="Verdana" w:hAnsi="Verdana"/>
          <w:b/>
          <w:bCs/>
          <w:sz w:val="19"/>
          <w:szCs w:val="19"/>
        </w:rPr>
        <w:t>voluntary and facili</w:t>
      </w:r>
      <w:r w:rsidR="002E3A89" w:rsidRPr="00C04303">
        <w:rPr>
          <w:rFonts w:ascii="Verdana" w:hAnsi="Verdana"/>
          <w:b/>
          <w:bCs/>
          <w:sz w:val="19"/>
          <w:szCs w:val="19"/>
        </w:rPr>
        <w:t>tator</w:t>
      </w:r>
      <w:r w:rsidR="007C3B00" w:rsidRPr="00C04303">
        <w:rPr>
          <w:rFonts w:ascii="Verdana" w:hAnsi="Verdana"/>
          <w:b/>
          <w:bCs/>
          <w:sz w:val="19"/>
          <w:szCs w:val="19"/>
        </w:rPr>
        <w:t xml:space="preserve"> framework</w:t>
      </w:r>
      <w:r w:rsidR="007C3B00" w:rsidRPr="007C3B00">
        <w:rPr>
          <w:rFonts w:ascii="Verdana" w:hAnsi="Verdana"/>
          <w:sz w:val="19"/>
          <w:szCs w:val="19"/>
        </w:rPr>
        <w:t xml:space="preserve">, allowing </w:t>
      </w:r>
      <w:r w:rsidR="00AD278A">
        <w:rPr>
          <w:rFonts w:ascii="Verdana" w:hAnsi="Verdana"/>
          <w:sz w:val="19"/>
          <w:szCs w:val="19"/>
        </w:rPr>
        <w:t xml:space="preserve">and stimulating </w:t>
      </w:r>
      <w:r w:rsidR="007C3B00" w:rsidRPr="007C3B00">
        <w:rPr>
          <w:rFonts w:ascii="Verdana" w:hAnsi="Verdana"/>
          <w:sz w:val="19"/>
          <w:szCs w:val="19"/>
        </w:rPr>
        <w:t>innovation to emerge from the market itself.</w:t>
      </w:r>
    </w:p>
    <w:p w14:paraId="16D1B3EF" w14:textId="77777777" w:rsidR="005A1B5A" w:rsidRPr="00774F3E" w:rsidRDefault="005A1B5A" w:rsidP="005A1B5A">
      <w:pPr>
        <w:spacing w:before="120" w:after="120" w:line="259" w:lineRule="auto"/>
        <w:jc w:val="both"/>
        <w:rPr>
          <w:rFonts w:ascii="Verdana" w:hAnsi="Verdana"/>
          <w:sz w:val="19"/>
          <w:szCs w:val="19"/>
        </w:rPr>
      </w:pPr>
    </w:p>
    <w:sectPr w:rsidR="005A1B5A" w:rsidRPr="00774F3E">
      <w:headerReference w:type="default" r:id="rId9"/>
      <w:footerReference w:type="default" r:id="rId10"/>
      <w:headerReference w:type="first" r:id="rId11"/>
      <w:pgSz w:w="11906" w:h="16838"/>
      <w:pgMar w:top="1417" w:right="1416" w:bottom="1134" w:left="1701" w:header="708" w:footer="22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8A385E" w14:textId="77777777" w:rsidR="00EC0C20" w:rsidRDefault="00EC0C20">
      <w:r>
        <w:separator/>
      </w:r>
    </w:p>
  </w:endnote>
  <w:endnote w:type="continuationSeparator" w:id="0">
    <w:p w14:paraId="2A626878" w14:textId="77777777" w:rsidR="00EC0C20" w:rsidRDefault="00EC0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35D97" w14:textId="77777777" w:rsidR="00A1572C" w:rsidRDefault="00A1572C">
    <w:pPr>
      <w:pBdr>
        <w:top w:val="nil"/>
        <w:left w:val="nil"/>
        <w:bottom w:val="nil"/>
        <w:right w:val="nil"/>
        <w:between w:val="nil"/>
      </w:pBdr>
      <w:tabs>
        <w:tab w:val="center" w:pos="4252"/>
        <w:tab w:val="right" w:pos="8504"/>
      </w:tabs>
      <w:jc w:val="center"/>
      <w:rPr>
        <w:color w:val="000000"/>
      </w:rPr>
    </w:pPr>
    <w:r>
      <w:rPr>
        <w:color w:val="000000"/>
      </w:rPr>
      <w:fldChar w:fldCharType="begin"/>
    </w:r>
    <w:r>
      <w:rPr>
        <w:color w:val="000000"/>
      </w:rPr>
      <w:instrText>PAGE</w:instrText>
    </w:r>
    <w:r>
      <w:rPr>
        <w:color w:val="000000"/>
      </w:rPr>
      <w:fldChar w:fldCharType="separate"/>
    </w:r>
    <w:r w:rsidR="009B5BCE">
      <w:rPr>
        <w:noProof/>
        <w:color w:val="000000"/>
      </w:rPr>
      <w:t>2</w:t>
    </w:r>
    <w:r>
      <w:rPr>
        <w:color w:val="000000"/>
      </w:rPr>
      <w:fldChar w:fldCharType="end"/>
    </w:r>
  </w:p>
  <w:p w14:paraId="1CCA46B2" w14:textId="77777777" w:rsidR="00A1572C" w:rsidRDefault="00A1572C">
    <w:pPr>
      <w:pBdr>
        <w:top w:val="nil"/>
        <w:left w:val="nil"/>
        <w:bottom w:val="nil"/>
        <w:right w:val="nil"/>
        <w:between w:val="nil"/>
      </w:pBdr>
      <w:tabs>
        <w:tab w:val="center" w:pos="4252"/>
        <w:tab w:val="right" w:pos="8504"/>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9AD505" w14:textId="77777777" w:rsidR="00EC0C20" w:rsidRDefault="00EC0C20">
      <w:r>
        <w:separator/>
      </w:r>
    </w:p>
  </w:footnote>
  <w:footnote w:type="continuationSeparator" w:id="0">
    <w:p w14:paraId="2F261623" w14:textId="77777777" w:rsidR="00EC0C20" w:rsidRDefault="00EC0C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A532E" w14:textId="77777777" w:rsidR="00A1572C" w:rsidRDefault="00A1572C">
    <w:pPr>
      <w:pBdr>
        <w:top w:val="nil"/>
        <w:left w:val="nil"/>
        <w:bottom w:val="nil"/>
        <w:right w:val="nil"/>
        <w:between w:val="nil"/>
      </w:pBdr>
      <w:tabs>
        <w:tab w:val="center" w:pos="4252"/>
        <w:tab w:val="right" w:pos="8504"/>
      </w:tabs>
      <w:rPr>
        <w:color w:val="000000"/>
      </w:rPr>
    </w:pPr>
    <w:r>
      <w:rPr>
        <w:noProof/>
        <w:lang w:val="es-ES"/>
      </w:rPr>
      <w:drawing>
        <wp:anchor distT="0" distB="0" distL="114300" distR="114300" simplePos="0" relativeHeight="251658240" behindDoc="0" locked="0" layoutInCell="1" hidden="0" allowOverlap="1" wp14:anchorId="3F91059B" wp14:editId="3990ED17">
          <wp:simplePos x="0" y="0"/>
          <wp:positionH relativeFrom="column">
            <wp:posOffset>4594225</wp:posOffset>
          </wp:positionH>
          <wp:positionV relativeFrom="paragraph">
            <wp:posOffset>6985</wp:posOffset>
          </wp:positionV>
          <wp:extent cx="792000" cy="306000"/>
          <wp:effectExtent l="0" t="0" r="0" b="0"/>
          <wp:wrapSquare wrapText="bothSides" distT="0" distB="0" distL="114300" distR="114300"/>
          <wp:docPr id="6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92000" cy="306000"/>
                  </a:xfrm>
                  <a:prstGeom prst="rect">
                    <a:avLst/>
                  </a:prstGeom>
                  <a:ln/>
                </pic:spPr>
              </pic:pic>
            </a:graphicData>
          </a:graphic>
        </wp:anchor>
      </w:drawing>
    </w:r>
  </w:p>
  <w:p w14:paraId="3D85ECBE" w14:textId="77777777" w:rsidR="00A1572C" w:rsidRDefault="00A1572C">
    <w:pPr>
      <w:pBdr>
        <w:top w:val="nil"/>
        <w:left w:val="nil"/>
        <w:bottom w:val="nil"/>
        <w:right w:val="nil"/>
        <w:between w:val="nil"/>
      </w:pBdr>
      <w:tabs>
        <w:tab w:val="center" w:pos="4252"/>
        <w:tab w:val="right" w:pos="8504"/>
      </w:tabs>
      <w:rPr>
        <w:color w:val="000000"/>
      </w:rPr>
    </w:pPr>
  </w:p>
  <w:p w14:paraId="55D8177A" w14:textId="77777777" w:rsidR="00A1572C" w:rsidRDefault="00A1572C">
    <w:pPr>
      <w:pBdr>
        <w:top w:val="nil"/>
        <w:left w:val="nil"/>
        <w:bottom w:val="nil"/>
        <w:right w:val="nil"/>
        <w:between w:val="nil"/>
      </w:pBdr>
      <w:tabs>
        <w:tab w:val="center" w:pos="4252"/>
        <w:tab w:val="right" w:pos="8504"/>
      </w:tabs>
      <w:rPr>
        <w:color w:val="000000"/>
      </w:rPr>
    </w:pPr>
  </w:p>
  <w:p w14:paraId="5E099715" w14:textId="77777777" w:rsidR="00A1572C" w:rsidRDefault="00A1572C">
    <w:pPr>
      <w:pBdr>
        <w:top w:val="nil"/>
        <w:left w:val="nil"/>
        <w:bottom w:val="nil"/>
        <w:right w:val="nil"/>
        <w:between w:val="nil"/>
      </w:pBdr>
      <w:tabs>
        <w:tab w:val="center" w:pos="4252"/>
        <w:tab w:val="right" w:pos="8504"/>
      </w:tabs>
      <w:rPr>
        <w:color w:val="000000"/>
      </w:rPr>
    </w:pPr>
  </w:p>
  <w:p w14:paraId="30F5F2D2" w14:textId="77777777" w:rsidR="00A1572C" w:rsidRDefault="00A1572C">
    <w:pPr>
      <w:pBdr>
        <w:top w:val="nil"/>
        <w:left w:val="nil"/>
        <w:bottom w:val="nil"/>
        <w:right w:val="nil"/>
        <w:between w:val="nil"/>
      </w:pBdr>
      <w:tabs>
        <w:tab w:val="center" w:pos="4252"/>
        <w:tab w:val="right" w:pos="8504"/>
      </w:tabs>
      <w:rPr>
        <w:color w:val="000000"/>
      </w:rPr>
    </w:pPr>
  </w:p>
  <w:p w14:paraId="6671353C" w14:textId="77777777" w:rsidR="00A1572C" w:rsidRDefault="00A1572C">
    <w:pPr>
      <w:pBdr>
        <w:top w:val="nil"/>
        <w:left w:val="nil"/>
        <w:bottom w:val="nil"/>
        <w:right w:val="nil"/>
        <w:between w:val="nil"/>
      </w:pBdr>
      <w:tabs>
        <w:tab w:val="center" w:pos="4252"/>
        <w:tab w:val="right" w:pos="8504"/>
      </w:tabs>
      <w:rPr>
        <w:color w:val="000000"/>
      </w:rPr>
    </w:pPr>
  </w:p>
  <w:p w14:paraId="20141B8F" w14:textId="77777777" w:rsidR="00A1572C" w:rsidRDefault="00A1572C" w:rsidP="00637D24">
    <w:pPr>
      <w:pBdr>
        <w:top w:val="nil"/>
        <w:left w:val="nil"/>
        <w:bottom w:val="nil"/>
        <w:right w:val="nil"/>
        <w:between w:val="nil"/>
      </w:pBdr>
      <w:tabs>
        <w:tab w:val="center" w:pos="4252"/>
        <w:tab w:val="right" w:pos="8504"/>
      </w:tabs>
      <w:jc w:val="right"/>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CA941" w14:textId="77777777" w:rsidR="00A1572C" w:rsidRDefault="00A1572C">
    <w:pPr>
      <w:pBdr>
        <w:top w:val="nil"/>
        <w:left w:val="nil"/>
        <w:bottom w:val="nil"/>
        <w:right w:val="nil"/>
        <w:between w:val="nil"/>
      </w:pBdr>
      <w:tabs>
        <w:tab w:val="center" w:pos="4252"/>
        <w:tab w:val="right" w:pos="8504"/>
      </w:tabs>
      <w:rPr>
        <w:color w:val="000000"/>
      </w:rPr>
    </w:pPr>
    <w:r>
      <w:rPr>
        <w:noProof/>
        <w:color w:val="000000"/>
        <w:lang w:val="es-ES"/>
      </w:rPr>
      <w:drawing>
        <wp:inline distT="0" distB="0" distL="0" distR="0" wp14:anchorId="07E466C6" wp14:editId="60475E1E">
          <wp:extent cx="1907540" cy="434975"/>
          <wp:effectExtent l="0" t="0" r="0" b="0"/>
          <wp:docPr id="6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907540" cy="434975"/>
                  </a:xfrm>
                  <a:prstGeom prst="rect">
                    <a:avLst/>
                  </a:prstGeom>
                  <a:ln/>
                </pic:spPr>
              </pic:pic>
            </a:graphicData>
          </a:graphic>
        </wp:inline>
      </w:drawing>
    </w:r>
    <w:r>
      <w:rPr>
        <w:noProof/>
        <w:lang w:val="es-ES"/>
      </w:rPr>
      <w:drawing>
        <wp:anchor distT="0" distB="0" distL="114300" distR="114300" simplePos="0" relativeHeight="251659264" behindDoc="0" locked="0" layoutInCell="1" hidden="0" allowOverlap="1" wp14:anchorId="2CF29AD6" wp14:editId="722AD9D5">
          <wp:simplePos x="0" y="0"/>
          <wp:positionH relativeFrom="column">
            <wp:posOffset>4595400</wp:posOffset>
          </wp:positionH>
          <wp:positionV relativeFrom="paragraph">
            <wp:posOffset>9131</wp:posOffset>
          </wp:positionV>
          <wp:extent cx="792000" cy="306000"/>
          <wp:effectExtent l="0" t="0" r="0" b="0"/>
          <wp:wrapSquare wrapText="bothSides" distT="0" distB="0" distL="114300" distR="114300"/>
          <wp:docPr id="6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792000" cy="306000"/>
                  </a:xfrm>
                  <a:prstGeom prst="rect">
                    <a:avLst/>
                  </a:prstGeom>
                  <a:ln/>
                </pic:spPr>
              </pic:pic>
            </a:graphicData>
          </a:graphic>
        </wp:anchor>
      </w:drawing>
    </w:r>
  </w:p>
  <w:p w14:paraId="12A62631" w14:textId="77777777" w:rsidR="00A1572C" w:rsidRDefault="00A1572C">
    <w:pPr>
      <w:pBdr>
        <w:top w:val="nil"/>
        <w:left w:val="nil"/>
        <w:bottom w:val="nil"/>
        <w:right w:val="nil"/>
        <w:between w:val="nil"/>
      </w:pBdr>
      <w:tabs>
        <w:tab w:val="center" w:pos="4252"/>
        <w:tab w:val="right" w:pos="8504"/>
      </w:tabs>
      <w:jc w:val="right"/>
      <w:rPr>
        <w:color w:val="000000"/>
        <w:sz w:val="20"/>
        <w:szCs w:val="20"/>
      </w:rPr>
    </w:pPr>
  </w:p>
  <w:p w14:paraId="0B13D7C8" w14:textId="02525CD1" w:rsidR="00A1572C" w:rsidRDefault="005A1B5A">
    <w:pPr>
      <w:pBdr>
        <w:top w:val="nil"/>
        <w:left w:val="nil"/>
        <w:bottom w:val="nil"/>
        <w:right w:val="nil"/>
        <w:between w:val="nil"/>
      </w:pBdr>
      <w:tabs>
        <w:tab w:val="center" w:pos="4252"/>
        <w:tab w:val="right" w:pos="8504"/>
      </w:tabs>
      <w:jc w:val="right"/>
      <w:rPr>
        <w:color w:val="000000"/>
        <w:sz w:val="20"/>
        <w:szCs w:val="20"/>
      </w:rPr>
    </w:pPr>
    <w:r>
      <w:rPr>
        <w:color w:val="000000"/>
        <w:sz w:val="20"/>
        <w:szCs w:val="20"/>
      </w:rPr>
      <w:t>July</w:t>
    </w:r>
    <w:r w:rsidR="00292146">
      <w:rPr>
        <w:color w:val="000000"/>
        <w:sz w:val="20"/>
        <w:szCs w:val="20"/>
      </w:rPr>
      <w:t xml:space="preserve"> </w:t>
    </w:r>
    <w:r w:rsidR="00A1572C">
      <w:rPr>
        <w:color w:val="000000"/>
        <w:sz w:val="20"/>
        <w:szCs w:val="20"/>
      </w:rPr>
      <w:t>202</w:t>
    </w:r>
    <w:r w:rsidR="00535356">
      <w:rPr>
        <w:color w:val="000000"/>
        <w:sz w:val="20"/>
        <w:szCs w:val="20"/>
      </w:rPr>
      <w:t>2</w:t>
    </w:r>
  </w:p>
  <w:p w14:paraId="1349CD0E" w14:textId="77777777" w:rsidR="00A1572C" w:rsidRDefault="00A1572C">
    <w:pPr>
      <w:pBdr>
        <w:top w:val="nil"/>
        <w:left w:val="nil"/>
        <w:bottom w:val="nil"/>
        <w:right w:val="nil"/>
        <w:between w:val="nil"/>
      </w:pBdr>
      <w:tabs>
        <w:tab w:val="center" w:pos="4252"/>
        <w:tab w:val="right" w:pos="8504"/>
      </w:tabs>
      <w:jc w:val="right"/>
      <w:rPr>
        <w:color w:val="000000"/>
        <w:sz w:val="20"/>
        <w:szCs w:val="20"/>
      </w:rPr>
    </w:pPr>
  </w:p>
  <w:p w14:paraId="114C4ACF" w14:textId="77777777" w:rsidR="00A1572C" w:rsidRDefault="00A1572C">
    <w:pPr>
      <w:pBdr>
        <w:top w:val="nil"/>
        <w:left w:val="nil"/>
        <w:bottom w:val="nil"/>
        <w:right w:val="nil"/>
        <w:between w:val="nil"/>
      </w:pBdr>
      <w:tabs>
        <w:tab w:val="center" w:pos="4252"/>
        <w:tab w:val="right" w:pos="8504"/>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D48AD"/>
    <w:multiLevelType w:val="multilevel"/>
    <w:tmpl w:val="D696C348"/>
    <w:lvl w:ilvl="0">
      <w:start w:val="17"/>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D645C13"/>
    <w:multiLevelType w:val="multilevel"/>
    <w:tmpl w:val="FDF8CC80"/>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2" w15:restartNumberingAfterBreak="0">
    <w:nsid w:val="122E2E3A"/>
    <w:multiLevelType w:val="multilevel"/>
    <w:tmpl w:val="4998B324"/>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3" w15:restartNumberingAfterBreak="0">
    <w:nsid w:val="31875338"/>
    <w:multiLevelType w:val="multilevel"/>
    <w:tmpl w:val="BDF0301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5DB707D9"/>
    <w:multiLevelType w:val="multilevel"/>
    <w:tmpl w:val="9E96826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871601144">
    <w:abstractNumId w:val="4"/>
  </w:num>
  <w:num w:numId="2" w16cid:durableId="259873867">
    <w:abstractNumId w:val="2"/>
  </w:num>
  <w:num w:numId="3" w16cid:durableId="2022586394">
    <w:abstractNumId w:val="0"/>
  </w:num>
  <w:num w:numId="4" w16cid:durableId="997464439">
    <w:abstractNumId w:val="1"/>
  </w:num>
  <w:num w:numId="5" w16cid:durableId="52109065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39CC"/>
    <w:rsid w:val="00001A4A"/>
    <w:rsid w:val="00080A39"/>
    <w:rsid w:val="0008385E"/>
    <w:rsid w:val="000B7715"/>
    <w:rsid w:val="000D2827"/>
    <w:rsid w:val="001176F2"/>
    <w:rsid w:val="00143BDC"/>
    <w:rsid w:val="00147ADA"/>
    <w:rsid w:val="00180577"/>
    <w:rsid w:val="0019707B"/>
    <w:rsid w:val="001E0C0F"/>
    <w:rsid w:val="001E2F3B"/>
    <w:rsid w:val="001E627A"/>
    <w:rsid w:val="00203D41"/>
    <w:rsid w:val="002114C2"/>
    <w:rsid w:val="00292146"/>
    <w:rsid w:val="00296489"/>
    <w:rsid w:val="002E3A89"/>
    <w:rsid w:val="002E6085"/>
    <w:rsid w:val="00341BB3"/>
    <w:rsid w:val="003435F6"/>
    <w:rsid w:val="00392294"/>
    <w:rsid w:val="003D1EF6"/>
    <w:rsid w:val="003E716F"/>
    <w:rsid w:val="004542A8"/>
    <w:rsid w:val="00485182"/>
    <w:rsid w:val="004C4BBE"/>
    <w:rsid w:val="004E498A"/>
    <w:rsid w:val="005059FA"/>
    <w:rsid w:val="00535356"/>
    <w:rsid w:val="00537B90"/>
    <w:rsid w:val="005A1B5A"/>
    <w:rsid w:val="00637D24"/>
    <w:rsid w:val="00663944"/>
    <w:rsid w:val="006659CB"/>
    <w:rsid w:val="006B14C6"/>
    <w:rsid w:val="006E2675"/>
    <w:rsid w:val="00706762"/>
    <w:rsid w:val="00712C00"/>
    <w:rsid w:val="007A38C3"/>
    <w:rsid w:val="007C3B00"/>
    <w:rsid w:val="00805DD4"/>
    <w:rsid w:val="00834666"/>
    <w:rsid w:val="00835A7F"/>
    <w:rsid w:val="00856D4D"/>
    <w:rsid w:val="0086673A"/>
    <w:rsid w:val="008733D8"/>
    <w:rsid w:val="008A21A9"/>
    <w:rsid w:val="008A55CC"/>
    <w:rsid w:val="008D5F2A"/>
    <w:rsid w:val="008F2490"/>
    <w:rsid w:val="00933E72"/>
    <w:rsid w:val="009704E4"/>
    <w:rsid w:val="009B5BCE"/>
    <w:rsid w:val="009D6695"/>
    <w:rsid w:val="00A1572C"/>
    <w:rsid w:val="00A221F0"/>
    <w:rsid w:val="00AD278A"/>
    <w:rsid w:val="00B039B7"/>
    <w:rsid w:val="00B225F9"/>
    <w:rsid w:val="00B60583"/>
    <w:rsid w:val="00C04303"/>
    <w:rsid w:val="00C139CC"/>
    <w:rsid w:val="00C27FA4"/>
    <w:rsid w:val="00C7175A"/>
    <w:rsid w:val="00CC199B"/>
    <w:rsid w:val="00D2701B"/>
    <w:rsid w:val="00D337D7"/>
    <w:rsid w:val="00D65583"/>
    <w:rsid w:val="00D90824"/>
    <w:rsid w:val="00DA2079"/>
    <w:rsid w:val="00DA40D0"/>
    <w:rsid w:val="00DA422E"/>
    <w:rsid w:val="00DA6439"/>
    <w:rsid w:val="00DB6903"/>
    <w:rsid w:val="00E37C4F"/>
    <w:rsid w:val="00E96D62"/>
    <w:rsid w:val="00EC0C20"/>
    <w:rsid w:val="00F03478"/>
    <w:rsid w:val="00F05708"/>
    <w:rsid w:val="00F13E68"/>
    <w:rsid w:val="00FD623C"/>
    <w:rsid w:val="00FF3A5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457DC84"/>
  <w15:docId w15:val="{5CAB9D55-4565-4AFB-8E89-DC5108813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3771"/>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Prrafodelista">
    <w:name w:val="List Paragraph"/>
    <w:basedOn w:val="Normal"/>
    <w:uiPriority w:val="34"/>
    <w:qFormat/>
    <w:rsid w:val="00A83771"/>
    <w:pPr>
      <w:ind w:left="720"/>
    </w:pPr>
  </w:style>
  <w:style w:type="paragraph" w:styleId="Encabezado">
    <w:name w:val="header"/>
    <w:basedOn w:val="Normal"/>
    <w:link w:val="EncabezadoCar"/>
    <w:uiPriority w:val="99"/>
    <w:unhideWhenUsed/>
    <w:rsid w:val="00B514D6"/>
    <w:pPr>
      <w:tabs>
        <w:tab w:val="center" w:pos="4252"/>
        <w:tab w:val="right" w:pos="8504"/>
      </w:tabs>
    </w:pPr>
  </w:style>
  <w:style w:type="character" w:customStyle="1" w:styleId="EncabezadoCar">
    <w:name w:val="Encabezado Car"/>
    <w:basedOn w:val="Fuentedeprrafopredeter"/>
    <w:link w:val="Encabezado"/>
    <w:uiPriority w:val="99"/>
    <w:rsid w:val="00B514D6"/>
    <w:rPr>
      <w:rFonts w:ascii="Calibri" w:hAnsi="Calibri" w:cs="Calibri"/>
    </w:rPr>
  </w:style>
  <w:style w:type="paragraph" w:styleId="Piedepgina">
    <w:name w:val="footer"/>
    <w:basedOn w:val="Normal"/>
    <w:link w:val="PiedepginaCar"/>
    <w:uiPriority w:val="99"/>
    <w:unhideWhenUsed/>
    <w:rsid w:val="00B514D6"/>
    <w:pPr>
      <w:tabs>
        <w:tab w:val="center" w:pos="4252"/>
        <w:tab w:val="right" w:pos="8504"/>
      </w:tabs>
    </w:pPr>
  </w:style>
  <w:style w:type="character" w:customStyle="1" w:styleId="PiedepginaCar">
    <w:name w:val="Pie de página Car"/>
    <w:basedOn w:val="Fuentedeprrafopredeter"/>
    <w:link w:val="Piedepgina"/>
    <w:uiPriority w:val="99"/>
    <w:rsid w:val="00B514D6"/>
    <w:rPr>
      <w:rFonts w:ascii="Calibri" w:hAnsi="Calibri" w:cs="Calibri"/>
    </w:rPr>
  </w:style>
  <w:style w:type="paragraph" w:styleId="Textonotapie">
    <w:name w:val="footnote text"/>
    <w:basedOn w:val="Normal"/>
    <w:link w:val="TextonotapieCar"/>
    <w:uiPriority w:val="99"/>
    <w:semiHidden/>
    <w:unhideWhenUsed/>
    <w:rsid w:val="00134B6B"/>
    <w:rPr>
      <w:sz w:val="20"/>
      <w:szCs w:val="20"/>
    </w:rPr>
  </w:style>
  <w:style w:type="character" w:customStyle="1" w:styleId="TextonotapieCar">
    <w:name w:val="Texto nota pie Car"/>
    <w:basedOn w:val="Fuentedeprrafopredeter"/>
    <w:link w:val="Textonotapie"/>
    <w:uiPriority w:val="99"/>
    <w:semiHidden/>
    <w:rsid w:val="00134B6B"/>
    <w:rPr>
      <w:rFonts w:ascii="Calibri" w:hAnsi="Calibri" w:cs="Calibri"/>
      <w:sz w:val="20"/>
      <w:szCs w:val="20"/>
    </w:rPr>
  </w:style>
  <w:style w:type="character" w:styleId="Refdenotaalpie">
    <w:name w:val="footnote reference"/>
    <w:basedOn w:val="Fuentedeprrafopredeter"/>
    <w:uiPriority w:val="99"/>
    <w:semiHidden/>
    <w:unhideWhenUsed/>
    <w:rsid w:val="00134B6B"/>
    <w:rPr>
      <w:vertAlign w:val="superscript"/>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Textodeglobo">
    <w:name w:val="Balloon Text"/>
    <w:basedOn w:val="Normal"/>
    <w:link w:val="TextodegloboCar"/>
    <w:uiPriority w:val="99"/>
    <w:semiHidden/>
    <w:unhideWhenUsed/>
    <w:rsid w:val="00D337D7"/>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337D7"/>
    <w:rPr>
      <w:rFonts w:ascii="Segoe UI" w:hAnsi="Segoe UI" w:cs="Segoe UI"/>
      <w:sz w:val="18"/>
      <w:szCs w:val="18"/>
    </w:rPr>
  </w:style>
  <w:style w:type="paragraph" w:styleId="Revisin">
    <w:name w:val="Revision"/>
    <w:hidden/>
    <w:uiPriority w:val="99"/>
    <w:semiHidden/>
    <w:rsid w:val="00537B90"/>
  </w:style>
  <w:style w:type="character" w:styleId="Refdecomentario">
    <w:name w:val="annotation reference"/>
    <w:basedOn w:val="Fuentedeprrafopredeter"/>
    <w:uiPriority w:val="99"/>
    <w:semiHidden/>
    <w:unhideWhenUsed/>
    <w:rsid w:val="00296489"/>
    <w:rPr>
      <w:sz w:val="16"/>
      <w:szCs w:val="16"/>
    </w:rPr>
  </w:style>
  <w:style w:type="paragraph" w:styleId="Textocomentario">
    <w:name w:val="annotation text"/>
    <w:basedOn w:val="Normal"/>
    <w:link w:val="TextocomentarioCar"/>
    <w:uiPriority w:val="99"/>
    <w:semiHidden/>
    <w:unhideWhenUsed/>
    <w:rsid w:val="00296489"/>
    <w:rPr>
      <w:sz w:val="20"/>
      <w:szCs w:val="20"/>
    </w:rPr>
  </w:style>
  <w:style w:type="character" w:customStyle="1" w:styleId="TextocomentarioCar">
    <w:name w:val="Texto comentario Car"/>
    <w:basedOn w:val="Fuentedeprrafopredeter"/>
    <w:link w:val="Textocomentario"/>
    <w:uiPriority w:val="99"/>
    <w:semiHidden/>
    <w:rsid w:val="00296489"/>
    <w:rPr>
      <w:sz w:val="20"/>
      <w:szCs w:val="20"/>
    </w:rPr>
  </w:style>
  <w:style w:type="paragraph" w:styleId="Asuntodelcomentario">
    <w:name w:val="annotation subject"/>
    <w:basedOn w:val="Textocomentario"/>
    <w:next w:val="Textocomentario"/>
    <w:link w:val="AsuntodelcomentarioCar"/>
    <w:uiPriority w:val="99"/>
    <w:semiHidden/>
    <w:unhideWhenUsed/>
    <w:rsid w:val="00296489"/>
    <w:rPr>
      <w:b/>
      <w:bCs/>
    </w:rPr>
  </w:style>
  <w:style w:type="character" w:customStyle="1" w:styleId="AsuntodelcomentarioCar">
    <w:name w:val="Asunto del comentario Car"/>
    <w:basedOn w:val="TextocomentarioCar"/>
    <w:link w:val="Asuntodelcomentario"/>
    <w:uiPriority w:val="99"/>
    <w:semiHidden/>
    <w:rsid w:val="0029648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iwCrMjqp+RKkF9QH6xfb1mbkXUaQ==">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</go:docsCustomData>
</go:gDocsCustomXmlDataStorage>
</file>

<file path=customXml/itemProps1.xml><?xml version="1.0" encoding="utf-8"?>
<ds:datastoreItem xmlns:ds="http://schemas.openxmlformats.org/officeDocument/2006/customXml" ds:itemID="{991410AD-DB71-4316-B425-86A62619D24E}">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884</Words>
  <Characters>4868</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Pedro Cadarso Palomeque</dc:creator>
  <cp:lastModifiedBy>Lorena Mullor</cp:lastModifiedBy>
  <cp:revision>4</cp:revision>
  <dcterms:created xsi:type="dcterms:W3CDTF">2022-07-15T09:28:00Z</dcterms:created>
  <dcterms:modified xsi:type="dcterms:W3CDTF">2022-07-15T10:56:00Z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c2abd79-57a9-4473-8700-c843f76a1e37_Enabled">
    <vt:lpwstr>true</vt:lpwstr>
  </property>
  <property fmtid="{D5CDD505-2E9C-101B-9397-08002B2CF9AE}" pid="3" name="MSIP_Label_0c2abd79-57a9-4473-8700-c843f76a1e37_SetDate">
    <vt:lpwstr>2022-07-15T09:01:34Z</vt:lpwstr>
  </property>
  <property fmtid="{D5CDD505-2E9C-101B-9397-08002B2CF9AE}" pid="4" name="MSIP_Label_0c2abd79-57a9-4473-8700-c843f76a1e37_Method">
    <vt:lpwstr>Privileged</vt:lpwstr>
  </property>
  <property fmtid="{D5CDD505-2E9C-101B-9397-08002B2CF9AE}" pid="5" name="MSIP_Label_0c2abd79-57a9-4473-8700-c843f76a1e37_Name">
    <vt:lpwstr>Internal</vt:lpwstr>
  </property>
  <property fmtid="{D5CDD505-2E9C-101B-9397-08002B2CF9AE}" pid="6" name="MSIP_Label_0c2abd79-57a9-4473-8700-c843f76a1e37_SiteId">
    <vt:lpwstr>35595a02-4d6d-44ac-99e1-f9ab4cd872db</vt:lpwstr>
  </property>
  <property fmtid="{D5CDD505-2E9C-101B-9397-08002B2CF9AE}" pid="7" name="MSIP_Label_0c2abd79-57a9-4473-8700-c843f76a1e37_ActionId">
    <vt:lpwstr>8f95da3a-9976-4dac-ace4-9f0fdc665bd5</vt:lpwstr>
  </property>
  <property fmtid="{D5CDD505-2E9C-101B-9397-08002B2CF9AE}" pid="8" name="MSIP_Label_0c2abd79-57a9-4473-8700-c843f76a1e37_ContentBits">
    <vt:lpwstr>0</vt:lpwstr>
  </property>
</Properties>
</file>