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83569E" w14:textId="77777777" w:rsidR="00DF7703" w:rsidRDefault="00B3474C" w:rsidP="00C11D70">
      <w:pPr>
        <w:spacing w:before="1200" w:after="300"/>
        <w:contextualSpacing/>
        <w:jc w:val="right"/>
        <w:rPr>
          <w:rFonts w:ascii="Arial" w:hAnsi="Arial" w:cs="Arial"/>
          <w:b/>
          <w:color w:val="4BBBBD"/>
          <w:spacing w:val="5"/>
          <w:kern w:val="28"/>
          <w:sz w:val="28"/>
          <w:szCs w:val="28"/>
          <w:lang w:eastAsia="en-US"/>
        </w:rPr>
      </w:pPr>
      <w:r>
        <w:rPr>
          <w:noProof/>
          <w:color w:val="4BBBBD"/>
        </w:rPr>
        <w:drawing>
          <wp:anchor distT="0" distB="0" distL="114300" distR="114300" simplePos="0" relativeHeight="251661312" behindDoc="0" locked="0" layoutInCell="1" allowOverlap="1" wp14:anchorId="6222E650" wp14:editId="1EEC3A21">
            <wp:simplePos x="0" y="0"/>
            <wp:positionH relativeFrom="column">
              <wp:posOffset>-304165</wp:posOffset>
            </wp:positionH>
            <wp:positionV relativeFrom="paragraph">
              <wp:posOffset>-615950</wp:posOffset>
            </wp:positionV>
            <wp:extent cx="2051050" cy="744220"/>
            <wp:effectExtent l="0" t="0" r="6350" b="0"/>
            <wp:wrapNone/>
            <wp:docPr id="2" name="Image 2" descr="Logos_FBF_2015_OL_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s_FBF_2015_OL_SC"/>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51050" cy="744220"/>
                    </a:xfrm>
                    <a:prstGeom prst="rect">
                      <a:avLst/>
                    </a:prstGeom>
                    <a:noFill/>
                  </pic:spPr>
                </pic:pic>
              </a:graphicData>
            </a:graphic>
            <wp14:sizeRelH relativeFrom="page">
              <wp14:pctWidth>0</wp14:pctWidth>
            </wp14:sizeRelH>
            <wp14:sizeRelV relativeFrom="page">
              <wp14:pctHeight>0</wp14:pctHeight>
            </wp14:sizeRelV>
          </wp:anchor>
        </w:drawing>
      </w:r>
      <w:r w:rsidR="00DF7703" w:rsidRPr="00DF7703">
        <w:rPr>
          <w:rFonts w:ascii="Arial" w:hAnsi="Arial" w:cs="Arial"/>
          <w:b/>
          <w:color w:val="4BBBBD"/>
          <w:spacing w:val="5"/>
          <w:kern w:val="28"/>
          <w:sz w:val="28"/>
          <w:szCs w:val="28"/>
          <w:lang w:eastAsia="en-US"/>
        </w:rPr>
        <w:t>NOTE DE REPONSE</w:t>
      </w:r>
      <w:r w:rsidR="00A70CEB" w:rsidRPr="00DF7703">
        <w:rPr>
          <w:rFonts w:ascii="Arial" w:hAnsi="Arial" w:cs="Arial"/>
          <w:b/>
          <w:color w:val="4BBBBD"/>
          <w:spacing w:val="5"/>
          <w:kern w:val="28"/>
          <w:sz w:val="28"/>
          <w:szCs w:val="28"/>
          <w:lang w:eastAsia="en-US"/>
        </w:rPr>
        <w:t xml:space="preserve"> </w:t>
      </w:r>
      <w:r w:rsidR="00DF7703" w:rsidRPr="00DF7703">
        <w:rPr>
          <w:rFonts w:ascii="Arial" w:hAnsi="Arial" w:cs="Arial"/>
          <w:b/>
          <w:color w:val="4BBBBD"/>
          <w:spacing w:val="5"/>
          <w:kern w:val="28"/>
          <w:sz w:val="28"/>
          <w:szCs w:val="28"/>
          <w:lang w:eastAsia="en-US"/>
        </w:rPr>
        <w:t xml:space="preserve">A LA </w:t>
      </w:r>
      <w:r w:rsidR="00A70CEB" w:rsidRPr="00DF7703">
        <w:rPr>
          <w:rFonts w:ascii="Arial" w:hAnsi="Arial" w:cs="Arial"/>
          <w:b/>
          <w:color w:val="4BBBBD"/>
          <w:spacing w:val="5"/>
          <w:kern w:val="28"/>
          <w:sz w:val="28"/>
          <w:szCs w:val="28"/>
          <w:lang w:eastAsia="en-US"/>
        </w:rPr>
        <w:t xml:space="preserve">CONSULTATION </w:t>
      </w:r>
      <w:r w:rsidR="00DF7703">
        <w:rPr>
          <w:rFonts w:ascii="Arial" w:hAnsi="Arial" w:cs="Arial"/>
          <w:b/>
          <w:color w:val="4BBBBD"/>
          <w:spacing w:val="5"/>
          <w:kern w:val="28"/>
          <w:sz w:val="28"/>
          <w:szCs w:val="28"/>
          <w:lang w:eastAsia="en-US"/>
        </w:rPr>
        <w:t xml:space="preserve">PUBLIQUE </w:t>
      </w:r>
    </w:p>
    <w:p w14:paraId="2A57333F" w14:textId="6EB95F21" w:rsidR="0090428A" w:rsidRPr="00DF7703" w:rsidRDefault="00DF7703" w:rsidP="00C11D70">
      <w:pPr>
        <w:spacing w:before="1200" w:after="300"/>
        <w:contextualSpacing/>
        <w:jc w:val="right"/>
        <w:rPr>
          <w:rFonts w:ascii="Arial" w:hAnsi="Arial" w:cs="Arial"/>
          <w:b/>
          <w:color w:val="007282"/>
          <w:spacing w:val="5"/>
          <w:kern w:val="28"/>
          <w:sz w:val="28"/>
          <w:szCs w:val="28"/>
          <w:lang w:eastAsia="en-US"/>
        </w:rPr>
      </w:pPr>
      <w:r>
        <w:rPr>
          <w:rFonts w:ascii="Arial" w:hAnsi="Arial" w:cs="Arial"/>
          <w:b/>
          <w:color w:val="4BBBBD"/>
          <w:spacing w:val="5"/>
          <w:kern w:val="28"/>
          <w:sz w:val="28"/>
          <w:szCs w:val="28"/>
          <w:lang w:eastAsia="en-US"/>
        </w:rPr>
        <w:t>SUR</w:t>
      </w:r>
      <w:r w:rsidR="00A70CEB" w:rsidRPr="00DF7703">
        <w:rPr>
          <w:rFonts w:ascii="Arial" w:hAnsi="Arial" w:cs="Arial"/>
          <w:b/>
          <w:color w:val="4BBBBD"/>
          <w:spacing w:val="5"/>
          <w:kern w:val="28"/>
          <w:sz w:val="28"/>
          <w:szCs w:val="28"/>
          <w:lang w:eastAsia="en-US"/>
        </w:rPr>
        <w:t xml:space="preserve"> OPEN FINANCE</w:t>
      </w:r>
    </w:p>
    <w:p w14:paraId="79718405" w14:textId="77777777" w:rsidR="00DF7703" w:rsidRDefault="00DF7703" w:rsidP="00A70CEB">
      <w:pPr>
        <w:pBdr>
          <w:bottom w:val="single" w:sz="8" w:space="1" w:color="4BBBBD"/>
        </w:pBdr>
        <w:spacing w:after="300"/>
        <w:contextualSpacing/>
        <w:jc w:val="right"/>
        <w:rPr>
          <w:rFonts w:ascii="Arial" w:hAnsi="Arial" w:cs="Arial"/>
          <w:color w:val="4BBBBD"/>
          <w:spacing w:val="5"/>
          <w:kern w:val="28"/>
          <w:sz w:val="28"/>
          <w:szCs w:val="28"/>
          <w:lang w:eastAsia="en-US"/>
        </w:rPr>
      </w:pPr>
    </w:p>
    <w:p w14:paraId="6A5F00A4" w14:textId="56C649C9" w:rsidR="00733F42" w:rsidRPr="00DF7703" w:rsidRDefault="00A70CEB" w:rsidP="00A70CEB">
      <w:pPr>
        <w:pBdr>
          <w:bottom w:val="single" w:sz="8" w:space="1" w:color="4BBBBD"/>
        </w:pBdr>
        <w:spacing w:after="300"/>
        <w:contextualSpacing/>
        <w:jc w:val="right"/>
        <w:rPr>
          <w:rFonts w:ascii="Arial" w:hAnsi="Arial" w:cs="Arial"/>
          <w:color w:val="4BBBBD"/>
          <w:spacing w:val="5"/>
          <w:kern w:val="28"/>
          <w:sz w:val="28"/>
          <w:szCs w:val="28"/>
          <w:lang w:eastAsia="en-US"/>
        </w:rPr>
      </w:pPr>
      <w:r w:rsidRPr="00DF7703">
        <w:rPr>
          <w:rFonts w:ascii="Arial" w:hAnsi="Arial" w:cs="Arial"/>
          <w:color w:val="4BBBBD"/>
          <w:spacing w:val="5"/>
          <w:kern w:val="28"/>
          <w:sz w:val="28"/>
          <w:szCs w:val="28"/>
          <w:lang w:eastAsia="en-US"/>
        </w:rPr>
        <w:t>Mardi</w:t>
      </w:r>
      <w:r w:rsidR="00BC5227" w:rsidRPr="00DF7703">
        <w:rPr>
          <w:rFonts w:ascii="Arial" w:hAnsi="Arial" w:cs="Arial"/>
          <w:color w:val="4BBBBD"/>
          <w:spacing w:val="5"/>
          <w:kern w:val="28"/>
          <w:sz w:val="28"/>
          <w:szCs w:val="28"/>
          <w:lang w:eastAsia="en-US"/>
        </w:rPr>
        <w:t xml:space="preserve"> </w:t>
      </w:r>
      <w:r w:rsidRPr="00DF7703">
        <w:rPr>
          <w:rFonts w:ascii="Arial" w:hAnsi="Arial" w:cs="Arial"/>
          <w:color w:val="4BBBBD"/>
          <w:spacing w:val="5"/>
          <w:kern w:val="28"/>
          <w:sz w:val="28"/>
          <w:szCs w:val="28"/>
          <w:lang w:eastAsia="en-US"/>
        </w:rPr>
        <w:t>5</w:t>
      </w:r>
      <w:r w:rsidR="00BC5227" w:rsidRPr="00DF7703">
        <w:rPr>
          <w:rFonts w:ascii="Arial" w:hAnsi="Arial" w:cs="Arial"/>
          <w:color w:val="4BBBBD"/>
          <w:spacing w:val="5"/>
          <w:kern w:val="28"/>
          <w:sz w:val="28"/>
          <w:szCs w:val="28"/>
          <w:lang w:eastAsia="en-US"/>
        </w:rPr>
        <w:t xml:space="preserve"> </w:t>
      </w:r>
      <w:r w:rsidR="00ED39AA" w:rsidRPr="00DF7703">
        <w:rPr>
          <w:rFonts w:ascii="Arial" w:hAnsi="Arial" w:cs="Arial"/>
          <w:color w:val="4BBBBD"/>
          <w:spacing w:val="5"/>
          <w:kern w:val="28"/>
          <w:sz w:val="28"/>
          <w:szCs w:val="28"/>
          <w:lang w:eastAsia="en-US"/>
        </w:rPr>
        <w:t>juillet</w:t>
      </w:r>
      <w:r w:rsidRPr="00DF7703">
        <w:rPr>
          <w:rFonts w:ascii="Arial" w:hAnsi="Arial" w:cs="Arial"/>
          <w:color w:val="4BBBBD"/>
          <w:spacing w:val="5"/>
          <w:kern w:val="28"/>
          <w:sz w:val="28"/>
          <w:szCs w:val="28"/>
          <w:lang w:eastAsia="en-US"/>
        </w:rPr>
        <w:t xml:space="preserve"> 2022</w:t>
      </w:r>
    </w:p>
    <w:tbl>
      <w:tblPr>
        <w:tblStyle w:val="Grilledutableau"/>
        <w:tblW w:w="0" w:type="auto"/>
        <w:tblLook w:val="04A0" w:firstRow="1" w:lastRow="0" w:firstColumn="1" w:lastColumn="0" w:noHBand="0" w:noVBand="1"/>
      </w:tblPr>
      <w:tblGrid>
        <w:gridCol w:w="9060"/>
      </w:tblGrid>
      <w:tr w:rsidR="00C22994" w14:paraId="5C92DCF2" w14:textId="77777777" w:rsidTr="00A70CEB">
        <w:trPr>
          <w:trHeight w:val="4135"/>
        </w:trPr>
        <w:tc>
          <w:tcPr>
            <w:tcW w:w="9060" w:type="dxa"/>
          </w:tcPr>
          <w:p w14:paraId="044EDD1E" w14:textId="0FDBE38C" w:rsidR="00FE31D1" w:rsidRDefault="007A4CC8" w:rsidP="00BD462E">
            <w:pPr>
              <w:pStyle w:val="Sansinterligne"/>
              <w:spacing w:before="120" w:after="120"/>
              <w:jc w:val="both"/>
              <w:rPr>
                <w:rFonts w:ascii="Arial" w:eastAsia="Times New Roman" w:hAnsi="Arial" w:cs="Arial"/>
                <w:lang w:eastAsia="fr-FR"/>
              </w:rPr>
            </w:pPr>
            <w:r w:rsidRPr="006A17C2">
              <w:rPr>
                <w:rFonts w:ascii="Arial" w:hAnsi="Arial" w:cs="Arial"/>
                <w:sz w:val="24"/>
                <w:szCs w:val="24"/>
              </w:rPr>
              <w:t xml:space="preserve">Dans </w:t>
            </w:r>
            <w:bookmarkStart w:id="0" w:name="_Hlk101862801"/>
            <w:r w:rsidR="006A17C2" w:rsidRPr="006A17C2">
              <w:rPr>
                <w:rFonts w:ascii="Arial" w:eastAsia="Times New Roman" w:hAnsi="Arial" w:cs="Arial"/>
                <w:lang w:eastAsia="fr-FR"/>
              </w:rPr>
              <w:t xml:space="preserve">le cadre de la mise en œuvre d’une économie des données équitable </w:t>
            </w:r>
            <w:r w:rsidR="00F065F7">
              <w:rPr>
                <w:rFonts w:ascii="Arial" w:eastAsia="Times New Roman" w:hAnsi="Arial" w:cs="Arial"/>
                <w:lang w:eastAsia="fr-FR"/>
              </w:rPr>
              <w:t xml:space="preserve">et innovante, </w:t>
            </w:r>
            <w:r w:rsidR="006A17C2" w:rsidRPr="006A17C2">
              <w:rPr>
                <w:rFonts w:ascii="Arial" w:eastAsia="Times New Roman" w:hAnsi="Arial" w:cs="Arial"/>
                <w:lang w:eastAsia="fr-FR"/>
              </w:rPr>
              <w:t>définie par la Commission européenne</w:t>
            </w:r>
            <w:r w:rsidR="00FE31D1">
              <w:rPr>
                <w:rFonts w:ascii="Arial" w:eastAsia="Times New Roman" w:hAnsi="Arial" w:cs="Arial"/>
                <w:lang w:eastAsia="fr-FR"/>
              </w:rPr>
              <w:t xml:space="preserve"> et matérialisé par le</w:t>
            </w:r>
            <w:r w:rsidR="00460A1B">
              <w:rPr>
                <w:rFonts w:ascii="Arial" w:eastAsia="Times New Roman" w:hAnsi="Arial" w:cs="Arial"/>
                <w:lang w:eastAsia="fr-FR"/>
              </w:rPr>
              <w:t xml:space="preserve"> Data </w:t>
            </w:r>
            <w:proofErr w:type="spellStart"/>
            <w:r w:rsidR="00460A1B">
              <w:rPr>
                <w:rFonts w:ascii="Arial" w:eastAsia="Times New Roman" w:hAnsi="Arial" w:cs="Arial"/>
                <w:lang w:eastAsia="fr-FR"/>
              </w:rPr>
              <w:t>Governance</w:t>
            </w:r>
            <w:proofErr w:type="spellEnd"/>
            <w:r w:rsidR="00460A1B">
              <w:rPr>
                <w:rFonts w:ascii="Arial" w:eastAsia="Times New Roman" w:hAnsi="Arial" w:cs="Arial"/>
                <w:lang w:eastAsia="fr-FR"/>
              </w:rPr>
              <w:t xml:space="preserve"> </w:t>
            </w:r>
            <w:proofErr w:type="spellStart"/>
            <w:r w:rsidR="00460A1B">
              <w:rPr>
                <w:rFonts w:ascii="Arial" w:eastAsia="Times New Roman" w:hAnsi="Arial" w:cs="Arial"/>
                <w:lang w:eastAsia="fr-FR"/>
              </w:rPr>
              <w:t>Act</w:t>
            </w:r>
            <w:proofErr w:type="spellEnd"/>
            <w:r w:rsidR="00460A1B">
              <w:rPr>
                <w:rFonts w:ascii="Arial" w:eastAsia="Times New Roman" w:hAnsi="Arial" w:cs="Arial"/>
                <w:lang w:eastAsia="fr-FR"/>
              </w:rPr>
              <w:t xml:space="preserve"> et le</w:t>
            </w:r>
            <w:r w:rsidR="00FE31D1">
              <w:rPr>
                <w:rFonts w:ascii="Arial" w:eastAsia="Times New Roman" w:hAnsi="Arial" w:cs="Arial"/>
                <w:lang w:eastAsia="fr-FR"/>
              </w:rPr>
              <w:t xml:space="preserve"> projet de texte </w:t>
            </w:r>
            <w:r w:rsidR="00D575E8">
              <w:rPr>
                <w:rFonts w:ascii="Arial" w:eastAsia="Times New Roman" w:hAnsi="Arial" w:cs="Arial"/>
                <w:lang w:eastAsia="fr-FR"/>
              </w:rPr>
              <w:t xml:space="preserve">Data </w:t>
            </w:r>
            <w:proofErr w:type="spellStart"/>
            <w:r w:rsidR="00D575E8">
              <w:rPr>
                <w:rFonts w:ascii="Arial" w:eastAsia="Times New Roman" w:hAnsi="Arial" w:cs="Arial"/>
                <w:lang w:eastAsia="fr-FR"/>
              </w:rPr>
              <w:t>Act</w:t>
            </w:r>
            <w:proofErr w:type="spellEnd"/>
            <w:r w:rsidR="00FE31D1">
              <w:rPr>
                <w:rFonts w:ascii="Arial" w:eastAsia="Times New Roman" w:hAnsi="Arial" w:cs="Arial"/>
                <w:lang w:eastAsia="fr-FR"/>
              </w:rPr>
              <w:t xml:space="preserve">, </w:t>
            </w:r>
            <w:r w:rsidR="006A17C2" w:rsidRPr="006A17C2">
              <w:rPr>
                <w:rFonts w:ascii="Arial" w:eastAsia="Times New Roman" w:hAnsi="Arial" w:cs="Arial"/>
                <w:lang w:eastAsia="fr-FR"/>
              </w:rPr>
              <w:t xml:space="preserve">les travaux sur le partage des données </w:t>
            </w:r>
            <w:r w:rsidR="00275DF5">
              <w:rPr>
                <w:rFonts w:ascii="Arial" w:eastAsia="Times New Roman" w:hAnsi="Arial" w:cs="Arial"/>
                <w:lang w:eastAsia="fr-FR"/>
              </w:rPr>
              <w:t xml:space="preserve">se poursuivent </w:t>
            </w:r>
            <w:r w:rsidR="00AD5088">
              <w:rPr>
                <w:rFonts w:ascii="Arial" w:eastAsia="Times New Roman" w:hAnsi="Arial" w:cs="Arial"/>
                <w:lang w:eastAsia="fr-FR"/>
              </w:rPr>
              <w:t xml:space="preserve">à un rythme soutenu. Ils se </w:t>
            </w:r>
            <w:r w:rsidR="003E2071">
              <w:rPr>
                <w:rFonts w:ascii="Arial" w:eastAsia="Times New Roman" w:hAnsi="Arial" w:cs="Arial"/>
                <w:lang w:eastAsia="fr-FR"/>
              </w:rPr>
              <w:t>focalis</w:t>
            </w:r>
            <w:r w:rsidR="00AD5088">
              <w:rPr>
                <w:rFonts w:ascii="Arial" w:eastAsia="Times New Roman" w:hAnsi="Arial" w:cs="Arial"/>
                <w:lang w:eastAsia="fr-FR"/>
              </w:rPr>
              <w:t>e</w:t>
            </w:r>
            <w:r w:rsidR="003E2071">
              <w:rPr>
                <w:rFonts w:ascii="Arial" w:eastAsia="Times New Roman" w:hAnsi="Arial" w:cs="Arial"/>
                <w:lang w:eastAsia="fr-FR"/>
              </w:rPr>
              <w:t>nt</w:t>
            </w:r>
            <w:r w:rsidR="001D2253">
              <w:rPr>
                <w:rFonts w:ascii="Arial" w:eastAsia="Times New Roman" w:hAnsi="Arial" w:cs="Arial"/>
                <w:lang w:eastAsia="fr-FR"/>
              </w:rPr>
              <w:t xml:space="preserve"> </w:t>
            </w:r>
            <w:r w:rsidR="0055184E">
              <w:rPr>
                <w:rFonts w:ascii="Arial" w:eastAsia="Times New Roman" w:hAnsi="Arial" w:cs="Arial"/>
                <w:lang w:eastAsia="fr-FR"/>
              </w:rPr>
              <w:t xml:space="preserve">désormais </w:t>
            </w:r>
            <w:r w:rsidR="003E2071">
              <w:rPr>
                <w:rFonts w:ascii="Arial" w:eastAsia="Times New Roman" w:hAnsi="Arial" w:cs="Arial"/>
                <w:lang w:eastAsia="fr-FR"/>
              </w:rPr>
              <w:t xml:space="preserve">sur </w:t>
            </w:r>
            <w:r w:rsidR="00FC73D2">
              <w:rPr>
                <w:rFonts w:ascii="Arial" w:eastAsia="Times New Roman" w:hAnsi="Arial" w:cs="Arial"/>
                <w:lang w:eastAsia="fr-FR"/>
              </w:rPr>
              <w:t xml:space="preserve">le secteur </w:t>
            </w:r>
            <w:r w:rsidR="00C02C3A">
              <w:rPr>
                <w:rFonts w:ascii="Arial" w:eastAsia="Times New Roman" w:hAnsi="Arial" w:cs="Arial"/>
                <w:lang w:eastAsia="fr-FR"/>
              </w:rPr>
              <w:t>financier</w:t>
            </w:r>
            <w:r w:rsidR="00FB068D">
              <w:rPr>
                <w:rFonts w:ascii="Arial" w:eastAsia="Times New Roman" w:hAnsi="Arial" w:cs="Arial"/>
                <w:lang w:eastAsia="fr-FR"/>
              </w:rPr>
              <w:t xml:space="preserve"> via la consultation publique sur l’Open Finance.</w:t>
            </w:r>
          </w:p>
          <w:p w14:paraId="311003B5" w14:textId="42741048" w:rsidR="00F065F7" w:rsidRDefault="00FB068D" w:rsidP="00BD462E">
            <w:pPr>
              <w:pStyle w:val="Sansinterligne"/>
              <w:spacing w:before="120" w:after="120"/>
              <w:jc w:val="both"/>
              <w:rPr>
                <w:rFonts w:ascii="Arial" w:eastAsia="Times New Roman" w:hAnsi="Arial" w:cs="Arial"/>
                <w:lang w:eastAsia="fr-FR"/>
              </w:rPr>
            </w:pPr>
            <w:r>
              <w:rPr>
                <w:rFonts w:ascii="Arial" w:eastAsia="Times New Roman" w:hAnsi="Arial" w:cs="Arial"/>
                <w:lang w:eastAsia="fr-FR"/>
              </w:rPr>
              <w:t xml:space="preserve">Par cette consultation, </w:t>
            </w:r>
            <w:r w:rsidR="00787B03">
              <w:rPr>
                <w:rFonts w:ascii="Arial" w:eastAsia="Times New Roman" w:hAnsi="Arial" w:cs="Arial"/>
                <w:lang w:eastAsia="fr-FR"/>
              </w:rPr>
              <w:t xml:space="preserve">la Commission </w:t>
            </w:r>
            <w:r w:rsidR="000C33CC">
              <w:rPr>
                <w:rFonts w:ascii="Arial" w:eastAsia="Times New Roman" w:hAnsi="Arial" w:cs="Arial"/>
                <w:lang w:eastAsia="fr-FR"/>
              </w:rPr>
              <w:t>réitère</w:t>
            </w:r>
            <w:r w:rsidR="00787B03">
              <w:rPr>
                <w:rFonts w:ascii="Arial" w:eastAsia="Times New Roman" w:hAnsi="Arial" w:cs="Arial"/>
                <w:lang w:eastAsia="fr-FR"/>
              </w:rPr>
              <w:t xml:space="preserve"> ses </w:t>
            </w:r>
            <w:r w:rsidR="000C33CC">
              <w:rPr>
                <w:rFonts w:ascii="Arial" w:eastAsia="Times New Roman" w:hAnsi="Arial" w:cs="Arial"/>
                <w:lang w:eastAsia="fr-FR"/>
              </w:rPr>
              <w:t>ambitions</w:t>
            </w:r>
            <w:r w:rsidR="00293BF1">
              <w:rPr>
                <w:rFonts w:ascii="Arial" w:eastAsia="Times New Roman" w:hAnsi="Arial" w:cs="Arial"/>
                <w:lang w:eastAsia="fr-FR"/>
              </w:rPr>
              <w:t xml:space="preserve"> de garantir</w:t>
            </w:r>
            <w:r w:rsidR="0055184E" w:rsidRPr="00F065F7">
              <w:rPr>
                <w:rFonts w:ascii="Arial" w:eastAsia="Times New Roman" w:hAnsi="Arial" w:cs="Arial"/>
                <w:lang w:eastAsia="fr-FR"/>
              </w:rPr>
              <w:t xml:space="preserve"> des conditions de concurrence équitables</w:t>
            </w:r>
            <w:r w:rsidR="0055184E">
              <w:rPr>
                <w:rFonts w:ascii="Arial" w:eastAsia="Times New Roman" w:hAnsi="Arial" w:cs="Arial"/>
                <w:lang w:eastAsia="fr-FR"/>
              </w:rPr>
              <w:t xml:space="preserve">, </w:t>
            </w:r>
            <w:r w:rsidR="00293BF1">
              <w:rPr>
                <w:rFonts w:ascii="Arial" w:eastAsia="Times New Roman" w:hAnsi="Arial" w:cs="Arial"/>
                <w:lang w:eastAsia="fr-FR"/>
              </w:rPr>
              <w:t>en</w:t>
            </w:r>
            <w:r w:rsidR="00B4069C">
              <w:rPr>
                <w:rFonts w:ascii="Arial" w:eastAsia="Times New Roman" w:hAnsi="Arial" w:cs="Arial"/>
                <w:lang w:eastAsia="fr-FR"/>
              </w:rPr>
              <w:t xml:space="preserve"> favoris</w:t>
            </w:r>
            <w:r w:rsidR="00293BF1">
              <w:rPr>
                <w:rFonts w:ascii="Arial" w:eastAsia="Times New Roman" w:hAnsi="Arial" w:cs="Arial"/>
                <w:lang w:eastAsia="fr-FR"/>
              </w:rPr>
              <w:t>ant</w:t>
            </w:r>
            <w:r w:rsidR="00B4069C">
              <w:rPr>
                <w:rFonts w:ascii="Arial" w:eastAsia="Times New Roman" w:hAnsi="Arial" w:cs="Arial"/>
                <w:lang w:eastAsia="fr-FR"/>
              </w:rPr>
              <w:t xml:space="preserve"> le partage de données </w:t>
            </w:r>
            <w:r w:rsidR="00D575E8">
              <w:rPr>
                <w:rFonts w:ascii="Arial" w:eastAsia="Times New Roman" w:hAnsi="Arial" w:cs="Arial"/>
                <w:lang w:eastAsia="fr-FR"/>
              </w:rPr>
              <w:t>à</w:t>
            </w:r>
            <w:r w:rsidR="0055184E">
              <w:rPr>
                <w:rFonts w:ascii="Arial" w:eastAsia="Times New Roman" w:hAnsi="Arial" w:cs="Arial"/>
                <w:lang w:eastAsia="fr-FR"/>
              </w:rPr>
              <w:t xml:space="preserve"> </w:t>
            </w:r>
            <w:r w:rsidR="00D575E8">
              <w:rPr>
                <w:rFonts w:ascii="Arial" w:eastAsia="Times New Roman" w:hAnsi="Arial" w:cs="Arial"/>
                <w:lang w:eastAsia="fr-FR"/>
              </w:rPr>
              <w:t>des</w:t>
            </w:r>
            <w:r w:rsidR="00B4069C" w:rsidRPr="00B4069C">
              <w:rPr>
                <w:rFonts w:ascii="Arial" w:eastAsia="Times New Roman" w:hAnsi="Arial" w:cs="Arial"/>
                <w:lang w:eastAsia="fr-FR"/>
              </w:rPr>
              <w:t xml:space="preserve"> tiers dans le secteur financier</w:t>
            </w:r>
            <w:r w:rsidR="00DC0FF5">
              <w:rPr>
                <w:rFonts w:ascii="Arial" w:eastAsia="Times New Roman" w:hAnsi="Arial" w:cs="Arial"/>
                <w:lang w:eastAsia="fr-FR"/>
              </w:rPr>
              <w:t>,</w:t>
            </w:r>
            <w:r w:rsidR="0055184E">
              <w:rPr>
                <w:rFonts w:ascii="Arial" w:eastAsia="Times New Roman" w:hAnsi="Arial" w:cs="Arial"/>
                <w:lang w:eastAsia="fr-FR"/>
              </w:rPr>
              <w:t xml:space="preserve"> au-delà du </w:t>
            </w:r>
            <w:r w:rsidR="004045C5">
              <w:rPr>
                <w:rFonts w:ascii="Arial" w:eastAsia="Times New Roman" w:hAnsi="Arial" w:cs="Arial"/>
                <w:lang w:eastAsia="fr-FR"/>
              </w:rPr>
              <w:t>périmètre des</w:t>
            </w:r>
            <w:r w:rsidR="0055184E">
              <w:rPr>
                <w:rFonts w:ascii="Arial" w:eastAsia="Times New Roman" w:hAnsi="Arial" w:cs="Arial"/>
                <w:lang w:eastAsia="fr-FR"/>
              </w:rPr>
              <w:t xml:space="preserve"> </w:t>
            </w:r>
            <w:r>
              <w:rPr>
                <w:rFonts w:ascii="Arial" w:eastAsia="Times New Roman" w:hAnsi="Arial" w:cs="Arial"/>
                <w:lang w:eastAsia="fr-FR"/>
              </w:rPr>
              <w:t xml:space="preserve">seuls </w:t>
            </w:r>
            <w:r w:rsidR="0055184E">
              <w:rPr>
                <w:rFonts w:ascii="Arial" w:eastAsia="Times New Roman" w:hAnsi="Arial" w:cs="Arial"/>
                <w:lang w:eastAsia="fr-FR"/>
              </w:rPr>
              <w:t>paiement</w:t>
            </w:r>
            <w:r w:rsidR="004045C5">
              <w:rPr>
                <w:rFonts w:ascii="Arial" w:eastAsia="Times New Roman" w:hAnsi="Arial" w:cs="Arial"/>
                <w:lang w:eastAsia="fr-FR"/>
              </w:rPr>
              <w:t>s</w:t>
            </w:r>
            <w:r w:rsidR="004E71F8">
              <w:rPr>
                <w:rFonts w:ascii="Arial" w:eastAsia="Times New Roman" w:hAnsi="Arial" w:cs="Arial"/>
                <w:lang w:eastAsia="fr-FR"/>
              </w:rPr>
              <w:t>.</w:t>
            </w:r>
            <w:r w:rsidR="00787B03">
              <w:rPr>
                <w:rFonts w:ascii="Arial" w:eastAsia="Times New Roman" w:hAnsi="Arial" w:cs="Arial"/>
                <w:lang w:eastAsia="fr-FR"/>
              </w:rPr>
              <w:t xml:space="preserve"> </w:t>
            </w:r>
            <w:r w:rsidR="00AD5088">
              <w:rPr>
                <w:rFonts w:ascii="Arial" w:eastAsia="Times New Roman" w:hAnsi="Arial" w:cs="Arial"/>
                <w:lang w:eastAsia="fr-FR"/>
              </w:rPr>
              <w:t xml:space="preserve">DG </w:t>
            </w:r>
            <w:proofErr w:type="spellStart"/>
            <w:r w:rsidR="00AD5088">
              <w:rPr>
                <w:rFonts w:ascii="Arial" w:eastAsia="Times New Roman" w:hAnsi="Arial" w:cs="Arial"/>
                <w:lang w:eastAsia="fr-FR"/>
              </w:rPr>
              <w:t>Fisma</w:t>
            </w:r>
            <w:proofErr w:type="spellEnd"/>
            <w:r w:rsidR="00787B03">
              <w:rPr>
                <w:rFonts w:ascii="Arial" w:eastAsia="Times New Roman" w:hAnsi="Arial" w:cs="Arial"/>
                <w:lang w:eastAsia="fr-FR"/>
              </w:rPr>
              <w:t xml:space="preserve"> envisage</w:t>
            </w:r>
            <w:r w:rsidR="0055184E">
              <w:rPr>
                <w:rFonts w:ascii="Arial" w:eastAsia="Times New Roman" w:hAnsi="Arial" w:cs="Arial"/>
                <w:lang w:eastAsia="fr-FR"/>
              </w:rPr>
              <w:t xml:space="preserve"> </w:t>
            </w:r>
            <w:r w:rsidR="000C33CC">
              <w:rPr>
                <w:rFonts w:ascii="Arial" w:eastAsia="Times New Roman" w:hAnsi="Arial" w:cs="Arial"/>
                <w:lang w:eastAsia="fr-FR"/>
              </w:rPr>
              <w:t xml:space="preserve">désormais </w:t>
            </w:r>
            <w:r w:rsidR="00787B03">
              <w:rPr>
                <w:rFonts w:ascii="Arial" w:eastAsia="Times New Roman" w:hAnsi="Arial" w:cs="Arial"/>
                <w:lang w:eastAsia="fr-FR"/>
              </w:rPr>
              <w:t>d’étendre</w:t>
            </w:r>
            <w:r w:rsidR="0055184E">
              <w:rPr>
                <w:rFonts w:ascii="Arial" w:eastAsia="Times New Roman" w:hAnsi="Arial" w:cs="Arial"/>
                <w:lang w:eastAsia="fr-FR"/>
              </w:rPr>
              <w:t xml:space="preserve"> </w:t>
            </w:r>
            <w:r w:rsidR="00787B03">
              <w:rPr>
                <w:rFonts w:ascii="Arial" w:eastAsia="Times New Roman" w:hAnsi="Arial" w:cs="Arial"/>
                <w:lang w:eastAsia="fr-FR"/>
              </w:rPr>
              <w:t>le partage des données</w:t>
            </w:r>
            <w:r w:rsidR="0055184E">
              <w:rPr>
                <w:rFonts w:ascii="Arial" w:eastAsia="Times New Roman" w:hAnsi="Arial" w:cs="Arial"/>
                <w:lang w:eastAsia="fr-FR"/>
              </w:rPr>
              <w:t xml:space="preserve"> aux domaine</w:t>
            </w:r>
            <w:r w:rsidR="00D575E8">
              <w:rPr>
                <w:rFonts w:ascii="Arial" w:eastAsia="Times New Roman" w:hAnsi="Arial" w:cs="Arial"/>
                <w:lang w:eastAsia="fr-FR"/>
              </w:rPr>
              <w:t>s</w:t>
            </w:r>
            <w:r w:rsidR="0055184E">
              <w:rPr>
                <w:rFonts w:ascii="Arial" w:eastAsia="Times New Roman" w:hAnsi="Arial" w:cs="Arial"/>
                <w:lang w:eastAsia="fr-FR"/>
              </w:rPr>
              <w:t xml:space="preserve"> du crédit, de l’épargne et de l’assurance</w:t>
            </w:r>
            <w:r>
              <w:rPr>
                <w:rFonts w:ascii="Arial" w:eastAsia="Times New Roman" w:hAnsi="Arial" w:cs="Arial"/>
                <w:lang w:eastAsia="fr-FR"/>
              </w:rPr>
              <w:t>.</w:t>
            </w:r>
            <w:r w:rsidR="00787B03">
              <w:rPr>
                <w:rFonts w:ascii="Arial" w:eastAsia="Times New Roman" w:hAnsi="Arial" w:cs="Arial"/>
                <w:lang w:eastAsia="fr-FR"/>
              </w:rPr>
              <w:t xml:space="preserve"> </w:t>
            </w:r>
          </w:p>
          <w:p w14:paraId="79A1769D" w14:textId="77777777" w:rsidR="00A70CEB" w:rsidRDefault="00A70CEB" w:rsidP="00BD462E">
            <w:pPr>
              <w:pStyle w:val="Sansinterligne"/>
              <w:spacing w:before="120" w:after="120"/>
              <w:jc w:val="both"/>
              <w:rPr>
                <w:rFonts w:ascii="Arial" w:eastAsia="Times New Roman" w:hAnsi="Arial" w:cs="Arial"/>
                <w:lang w:eastAsia="fr-FR"/>
              </w:rPr>
            </w:pPr>
          </w:p>
          <w:p w14:paraId="17B1EA64" w14:textId="7C40D00D" w:rsidR="00624BE3" w:rsidRPr="00A70CEB" w:rsidRDefault="00787B03" w:rsidP="00A70CEB">
            <w:pPr>
              <w:pStyle w:val="Sansinterligne"/>
              <w:spacing w:before="120" w:after="120"/>
              <w:jc w:val="both"/>
              <w:rPr>
                <w:b/>
                <w:bCs/>
                <w:caps/>
                <w:sz w:val="24"/>
                <w:szCs w:val="24"/>
              </w:rPr>
            </w:pPr>
            <w:r w:rsidRPr="00A70CEB">
              <w:rPr>
                <w:rFonts w:ascii="Arial" w:eastAsia="Times New Roman" w:hAnsi="Arial" w:cs="Arial"/>
                <w:b/>
                <w:bCs/>
                <w:sz w:val="24"/>
                <w:szCs w:val="24"/>
                <w:lang w:eastAsia="fr-FR"/>
              </w:rPr>
              <w:t>Si la F</w:t>
            </w:r>
            <w:r w:rsidR="00ED39AA">
              <w:rPr>
                <w:rFonts w:ascii="Arial" w:eastAsia="Times New Roman" w:hAnsi="Arial" w:cs="Arial"/>
                <w:b/>
                <w:bCs/>
                <w:sz w:val="24"/>
                <w:szCs w:val="24"/>
                <w:lang w:eastAsia="fr-FR"/>
              </w:rPr>
              <w:t xml:space="preserve">édération Bancaire </w:t>
            </w:r>
            <w:r w:rsidRPr="00A70CEB">
              <w:rPr>
                <w:rFonts w:ascii="Arial" w:eastAsia="Times New Roman" w:hAnsi="Arial" w:cs="Arial"/>
                <w:b/>
                <w:bCs/>
                <w:sz w:val="24"/>
                <w:szCs w:val="24"/>
                <w:lang w:eastAsia="fr-FR"/>
              </w:rPr>
              <w:t>F</w:t>
            </w:r>
            <w:r w:rsidR="00ED39AA">
              <w:rPr>
                <w:rFonts w:ascii="Arial" w:eastAsia="Times New Roman" w:hAnsi="Arial" w:cs="Arial"/>
                <w:b/>
                <w:bCs/>
                <w:sz w:val="24"/>
                <w:szCs w:val="24"/>
                <w:lang w:eastAsia="fr-FR"/>
              </w:rPr>
              <w:t>rançaise</w:t>
            </w:r>
            <w:r w:rsidR="001B7A46">
              <w:rPr>
                <w:rFonts w:ascii="Arial" w:eastAsia="Times New Roman" w:hAnsi="Arial" w:cs="Arial"/>
                <w:b/>
                <w:bCs/>
                <w:sz w:val="24"/>
                <w:szCs w:val="24"/>
                <w:lang w:eastAsia="fr-FR"/>
              </w:rPr>
              <w:t xml:space="preserve"> (FBF) </w:t>
            </w:r>
            <w:r w:rsidRPr="00A70CEB">
              <w:rPr>
                <w:rFonts w:ascii="Arial" w:eastAsia="Times New Roman" w:hAnsi="Arial" w:cs="Arial"/>
                <w:b/>
                <w:bCs/>
                <w:sz w:val="24"/>
                <w:szCs w:val="24"/>
                <w:lang w:eastAsia="fr-FR"/>
              </w:rPr>
              <w:t xml:space="preserve">salue la volonté de la Commission de sonder </w:t>
            </w:r>
            <w:r w:rsidR="00293BF1" w:rsidRPr="00A70CEB">
              <w:rPr>
                <w:rFonts w:ascii="Arial" w:eastAsia="Times New Roman" w:hAnsi="Arial" w:cs="Arial"/>
                <w:b/>
                <w:bCs/>
                <w:sz w:val="24"/>
                <w:szCs w:val="24"/>
                <w:lang w:eastAsia="fr-FR"/>
              </w:rPr>
              <w:t xml:space="preserve">au préalable </w:t>
            </w:r>
            <w:r w:rsidRPr="00A70CEB">
              <w:rPr>
                <w:rFonts w:ascii="Arial" w:eastAsia="Times New Roman" w:hAnsi="Arial" w:cs="Arial"/>
                <w:b/>
                <w:bCs/>
                <w:sz w:val="24"/>
                <w:szCs w:val="24"/>
                <w:lang w:eastAsia="fr-FR"/>
              </w:rPr>
              <w:t xml:space="preserve">les acteurs du secteur financier et </w:t>
            </w:r>
            <w:r w:rsidR="00D575E8" w:rsidRPr="00A70CEB">
              <w:rPr>
                <w:rFonts w:ascii="Arial" w:eastAsia="Times New Roman" w:hAnsi="Arial" w:cs="Arial"/>
                <w:b/>
                <w:bCs/>
                <w:sz w:val="24"/>
                <w:szCs w:val="24"/>
                <w:lang w:eastAsia="fr-FR"/>
              </w:rPr>
              <w:t>l</w:t>
            </w:r>
            <w:r w:rsidRPr="00A70CEB">
              <w:rPr>
                <w:rFonts w:ascii="Arial" w:eastAsia="Times New Roman" w:hAnsi="Arial" w:cs="Arial"/>
                <w:b/>
                <w:bCs/>
                <w:sz w:val="24"/>
                <w:szCs w:val="24"/>
                <w:lang w:eastAsia="fr-FR"/>
              </w:rPr>
              <w:t>es clients sur l’opportunité d’une telle ouverture,</w:t>
            </w:r>
            <w:r w:rsidR="004E71F8" w:rsidRPr="00A70CEB">
              <w:rPr>
                <w:rFonts w:ascii="Arial" w:eastAsia="Times New Roman" w:hAnsi="Arial" w:cs="Arial"/>
                <w:b/>
                <w:bCs/>
                <w:sz w:val="24"/>
                <w:szCs w:val="24"/>
                <w:lang w:eastAsia="fr-FR"/>
              </w:rPr>
              <w:t xml:space="preserve"> </w:t>
            </w:r>
            <w:r w:rsidRPr="00A70CEB">
              <w:rPr>
                <w:rFonts w:ascii="Arial" w:eastAsia="Times New Roman" w:hAnsi="Arial" w:cs="Arial"/>
                <w:b/>
                <w:bCs/>
                <w:sz w:val="24"/>
                <w:szCs w:val="24"/>
                <w:lang w:eastAsia="fr-FR"/>
              </w:rPr>
              <w:t xml:space="preserve">la Profession </w:t>
            </w:r>
            <w:r w:rsidR="00726DEF" w:rsidRPr="00A70CEB">
              <w:rPr>
                <w:rFonts w:ascii="Arial" w:eastAsia="Times New Roman" w:hAnsi="Arial" w:cs="Arial"/>
                <w:b/>
                <w:bCs/>
                <w:sz w:val="24"/>
                <w:szCs w:val="24"/>
                <w:lang w:eastAsia="fr-FR"/>
              </w:rPr>
              <w:t xml:space="preserve">rappelle qu’elle </w:t>
            </w:r>
            <w:r w:rsidR="00FB068D" w:rsidRPr="00A70CEB">
              <w:rPr>
                <w:rFonts w:ascii="Arial" w:eastAsia="Times New Roman" w:hAnsi="Arial" w:cs="Arial"/>
                <w:b/>
                <w:bCs/>
                <w:sz w:val="24"/>
                <w:szCs w:val="24"/>
                <w:lang w:eastAsia="fr-FR"/>
              </w:rPr>
              <w:t>r</w:t>
            </w:r>
            <w:r w:rsidR="00726DEF" w:rsidRPr="00A70CEB">
              <w:rPr>
                <w:rFonts w:ascii="Arial" w:eastAsia="Times New Roman" w:hAnsi="Arial" w:cs="Arial"/>
                <w:b/>
                <w:bCs/>
                <w:sz w:val="24"/>
                <w:szCs w:val="24"/>
                <w:lang w:eastAsia="fr-FR"/>
              </w:rPr>
              <w:t>est</w:t>
            </w:r>
            <w:r w:rsidR="00FB068D" w:rsidRPr="00A70CEB">
              <w:rPr>
                <w:rFonts w:ascii="Arial" w:eastAsia="Times New Roman" w:hAnsi="Arial" w:cs="Arial"/>
                <w:b/>
                <w:bCs/>
                <w:sz w:val="24"/>
                <w:szCs w:val="24"/>
                <w:lang w:eastAsia="fr-FR"/>
              </w:rPr>
              <w:t>e</w:t>
            </w:r>
            <w:r w:rsidR="00726DEF" w:rsidRPr="00A70CEB">
              <w:rPr>
                <w:rFonts w:ascii="Arial" w:eastAsia="Times New Roman" w:hAnsi="Arial" w:cs="Arial"/>
                <w:b/>
                <w:bCs/>
                <w:sz w:val="24"/>
                <w:szCs w:val="24"/>
                <w:lang w:eastAsia="fr-FR"/>
              </w:rPr>
              <w:t xml:space="preserve"> </w:t>
            </w:r>
            <w:r w:rsidR="00494685" w:rsidRPr="00A70CEB">
              <w:rPr>
                <w:rFonts w:ascii="Arial" w:eastAsia="Times New Roman" w:hAnsi="Arial" w:cs="Arial"/>
                <w:b/>
                <w:bCs/>
                <w:sz w:val="24"/>
                <w:szCs w:val="24"/>
                <w:lang w:eastAsia="fr-FR"/>
              </w:rPr>
              <w:t xml:space="preserve">opposée </w:t>
            </w:r>
            <w:r w:rsidR="00726DEF" w:rsidRPr="00A70CEB">
              <w:rPr>
                <w:rFonts w:ascii="Arial" w:eastAsia="Times New Roman" w:hAnsi="Arial" w:cs="Arial"/>
                <w:b/>
                <w:bCs/>
                <w:sz w:val="24"/>
                <w:szCs w:val="24"/>
                <w:lang w:eastAsia="fr-FR"/>
              </w:rPr>
              <w:t xml:space="preserve">à </w:t>
            </w:r>
            <w:r w:rsidR="00494685" w:rsidRPr="00A70CEB">
              <w:rPr>
                <w:rFonts w:ascii="Arial" w:eastAsia="Times New Roman" w:hAnsi="Arial" w:cs="Arial"/>
                <w:b/>
                <w:bCs/>
                <w:sz w:val="24"/>
                <w:szCs w:val="24"/>
                <w:lang w:eastAsia="fr-FR"/>
              </w:rPr>
              <w:t xml:space="preserve">tout </w:t>
            </w:r>
            <w:r w:rsidR="00726DEF" w:rsidRPr="00A70CEB">
              <w:rPr>
                <w:rFonts w:ascii="Arial" w:eastAsia="Times New Roman" w:hAnsi="Arial" w:cs="Arial"/>
                <w:b/>
                <w:bCs/>
                <w:sz w:val="24"/>
                <w:szCs w:val="24"/>
                <w:lang w:eastAsia="fr-FR"/>
              </w:rPr>
              <w:t>nouvel</w:t>
            </w:r>
            <w:r w:rsidR="00E717F3" w:rsidRPr="00A70CEB">
              <w:rPr>
                <w:rFonts w:ascii="Arial" w:eastAsia="Times New Roman" w:hAnsi="Arial" w:cs="Arial"/>
                <w:b/>
                <w:bCs/>
                <w:sz w:val="24"/>
                <w:szCs w:val="24"/>
                <w:lang w:eastAsia="fr-FR"/>
              </w:rPr>
              <w:t xml:space="preserve"> </w:t>
            </w:r>
            <w:r w:rsidR="00726DEF" w:rsidRPr="00A70CEB">
              <w:rPr>
                <w:rFonts w:ascii="Arial" w:eastAsia="Times New Roman" w:hAnsi="Arial" w:cs="Arial"/>
                <w:b/>
                <w:bCs/>
                <w:sz w:val="24"/>
                <w:szCs w:val="24"/>
                <w:lang w:eastAsia="fr-FR"/>
              </w:rPr>
              <w:t xml:space="preserve">accès aux données bancaires </w:t>
            </w:r>
            <w:r w:rsidR="00494685" w:rsidRPr="00A70CEB">
              <w:rPr>
                <w:rFonts w:ascii="Arial" w:eastAsia="Times New Roman" w:hAnsi="Arial" w:cs="Arial"/>
                <w:b/>
                <w:bCs/>
                <w:sz w:val="24"/>
                <w:szCs w:val="24"/>
                <w:lang w:eastAsia="fr-FR"/>
              </w:rPr>
              <w:t>qui ne s</w:t>
            </w:r>
            <w:r w:rsidR="00FB068D" w:rsidRPr="00A70CEB">
              <w:rPr>
                <w:rFonts w:ascii="Arial" w:eastAsia="Times New Roman" w:hAnsi="Arial" w:cs="Arial"/>
                <w:b/>
                <w:bCs/>
                <w:sz w:val="24"/>
                <w:szCs w:val="24"/>
                <w:lang w:eastAsia="fr-FR"/>
              </w:rPr>
              <w:t xml:space="preserve">erait </w:t>
            </w:r>
            <w:r w:rsidR="00494685" w:rsidRPr="00A70CEB">
              <w:rPr>
                <w:rFonts w:ascii="Arial" w:eastAsia="Times New Roman" w:hAnsi="Arial" w:cs="Arial"/>
                <w:b/>
                <w:bCs/>
                <w:sz w:val="24"/>
                <w:szCs w:val="24"/>
                <w:lang w:eastAsia="fr-FR"/>
              </w:rPr>
              <w:t>pas basé sur un contrat</w:t>
            </w:r>
            <w:r w:rsidR="00ED39AA">
              <w:rPr>
                <w:rFonts w:ascii="Arial" w:eastAsia="Times New Roman" w:hAnsi="Arial" w:cs="Arial"/>
                <w:b/>
                <w:bCs/>
                <w:sz w:val="24"/>
                <w:szCs w:val="24"/>
                <w:lang w:eastAsia="fr-FR"/>
              </w:rPr>
              <w:t>,</w:t>
            </w:r>
            <w:r w:rsidR="00494685" w:rsidRPr="00A70CEB">
              <w:rPr>
                <w:rFonts w:ascii="Arial" w:eastAsia="Times New Roman" w:hAnsi="Arial" w:cs="Arial"/>
                <w:b/>
                <w:bCs/>
                <w:sz w:val="24"/>
                <w:szCs w:val="24"/>
                <w:lang w:eastAsia="fr-FR"/>
              </w:rPr>
              <w:t xml:space="preserve"> afin d’éviter tout </w:t>
            </w:r>
            <w:r w:rsidR="00726DEF" w:rsidRPr="00A70CEB">
              <w:rPr>
                <w:rFonts w:ascii="Arial" w:eastAsia="Times New Roman" w:hAnsi="Arial" w:cs="Arial"/>
                <w:b/>
                <w:bCs/>
                <w:sz w:val="24"/>
                <w:szCs w:val="24"/>
                <w:lang w:eastAsia="fr-FR"/>
              </w:rPr>
              <w:t>risque de déséquilibres concurrentiels</w:t>
            </w:r>
            <w:r w:rsidR="00FB068D" w:rsidRPr="00A70CEB">
              <w:rPr>
                <w:rFonts w:ascii="Arial" w:eastAsia="Times New Roman" w:hAnsi="Arial" w:cs="Arial"/>
                <w:b/>
                <w:bCs/>
                <w:sz w:val="24"/>
                <w:szCs w:val="24"/>
                <w:lang w:eastAsia="fr-FR"/>
              </w:rPr>
              <w:t xml:space="preserve"> et les écueils recensés </w:t>
            </w:r>
            <w:r w:rsidR="00E717F3" w:rsidRPr="00A70CEB">
              <w:rPr>
                <w:rFonts w:ascii="Arial" w:eastAsia="Times New Roman" w:hAnsi="Arial" w:cs="Arial"/>
                <w:b/>
                <w:bCs/>
                <w:sz w:val="24"/>
                <w:szCs w:val="24"/>
                <w:lang w:eastAsia="fr-FR"/>
              </w:rPr>
              <w:t>dans le</w:t>
            </w:r>
            <w:r w:rsidR="00FB068D" w:rsidRPr="00A70CEB">
              <w:rPr>
                <w:rFonts w:ascii="Arial" w:eastAsia="Times New Roman" w:hAnsi="Arial" w:cs="Arial"/>
                <w:b/>
                <w:bCs/>
                <w:sz w:val="24"/>
                <w:szCs w:val="24"/>
                <w:lang w:eastAsia="fr-FR"/>
              </w:rPr>
              <w:t xml:space="preserve"> bilan de la DSP2.</w:t>
            </w:r>
            <w:bookmarkEnd w:id="0"/>
          </w:p>
          <w:p w14:paraId="62BF364C" w14:textId="7932C28D" w:rsidR="00C22994" w:rsidRDefault="00C22994" w:rsidP="000D487C">
            <w:pPr>
              <w:pStyle w:val="Sansinterligne"/>
              <w:spacing w:before="120" w:after="120" w:line="300" w:lineRule="exact"/>
              <w:ind w:left="360"/>
              <w:jc w:val="both"/>
              <w:rPr>
                <w:caps/>
              </w:rPr>
            </w:pPr>
          </w:p>
        </w:tc>
      </w:tr>
    </w:tbl>
    <w:p w14:paraId="112248CB" w14:textId="783C56A5" w:rsidR="00460A1B" w:rsidRDefault="00460A1B" w:rsidP="00460A1B">
      <w:pPr>
        <w:pStyle w:val="Sansinterligne"/>
        <w:spacing w:before="120" w:after="120" w:line="300" w:lineRule="exact"/>
        <w:jc w:val="both"/>
        <w:rPr>
          <w:rFonts w:ascii="Arial" w:eastAsia="Times New Roman" w:hAnsi="Arial" w:cs="Arial"/>
          <w:b/>
          <w:bCs/>
          <w:color w:val="000000" w:themeColor="text1"/>
          <w:lang w:eastAsia="fr-FR"/>
        </w:rPr>
      </w:pPr>
      <w:bookmarkStart w:id="1" w:name="_Hlk79757973"/>
    </w:p>
    <w:p w14:paraId="3DD4E4D0" w14:textId="77777777" w:rsidR="00DF7703" w:rsidRPr="00E729FE" w:rsidRDefault="00DF7703" w:rsidP="00460A1B">
      <w:pPr>
        <w:pStyle w:val="Sansinterligne"/>
        <w:spacing w:before="120" w:after="120" w:line="300" w:lineRule="exact"/>
        <w:jc w:val="both"/>
        <w:rPr>
          <w:rFonts w:ascii="Arial" w:eastAsia="Times New Roman" w:hAnsi="Arial" w:cs="Arial"/>
          <w:b/>
          <w:bCs/>
          <w:color w:val="000000" w:themeColor="text1"/>
          <w:lang w:eastAsia="fr-FR"/>
        </w:rPr>
      </w:pPr>
    </w:p>
    <w:p w14:paraId="522910C0" w14:textId="77777777" w:rsidR="00AC63DE" w:rsidRPr="00E729FE" w:rsidRDefault="00AC63DE" w:rsidP="00AC63DE">
      <w:pPr>
        <w:spacing w:line="280" w:lineRule="exact"/>
        <w:ind w:left="360"/>
        <w:jc w:val="both"/>
        <w:rPr>
          <w:rFonts w:ascii="Arial" w:hAnsi="Arial" w:cs="Arial"/>
          <w:b/>
          <w:bCs/>
          <w:color w:val="000000" w:themeColor="text1"/>
        </w:rPr>
      </w:pPr>
    </w:p>
    <w:p w14:paraId="7424B8DA" w14:textId="7006BD30" w:rsidR="008132F4" w:rsidRPr="008132F4" w:rsidRDefault="008132F4" w:rsidP="008132F4">
      <w:pPr>
        <w:pStyle w:val="Paragraphedeliste"/>
        <w:numPr>
          <w:ilvl w:val="0"/>
          <w:numId w:val="17"/>
        </w:numPr>
        <w:spacing w:line="280" w:lineRule="exact"/>
        <w:ind w:left="1134"/>
        <w:jc w:val="both"/>
        <w:rPr>
          <w:rFonts w:ascii="Arial" w:hAnsi="Arial" w:cs="Arial"/>
          <w:b/>
          <w:bCs/>
          <w:color w:val="000000" w:themeColor="text1"/>
          <w:sz w:val="24"/>
          <w:szCs w:val="24"/>
        </w:rPr>
      </w:pPr>
      <w:r w:rsidRPr="008132F4">
        <w:rPr>
          <w:rFonts w:ascii="Arial" w:hAnsi="Arial" w:cs="Arial"/>
          <w:b/>
          <w:bCs/>
          <w:color w:val="000000" w:themeColor="text1"/>
          <w:sz w:val="24"/>
          <w:szCs w:val="24"/>
        </w:rPr>
        <w:t xml:space="preserve">Rappel des principaux éléments de position </w:t>
      </w:r>
      <w:r>
        <w:rPr>
          <w:rFonts w:ascii="Arial" w:hAnsi="Arial" w:cs="Arial"/>
          <w:b/>
          <w:bCs/>
          <w:color w:val="000000" w:themeColor="text1"/>
          <w:sz w:val="24"/>
          <w:szCs w:val="24"/>
        </w:rPr>
        <w:t xml:space="preserve">de la FBF </w:t>
      </w:r>
      <w:r w:rsidRPr="008132F4">
        <w:rPr>
          <w:rFonts w:ascii="Arial" w:hAnsi="Arial" w:cs="Arial"/>
          <w:b/>
          <w:bCs/>
          <w:color w:val="000000" w:themeColor="text1"/>
          <w:sz w:val="24"/>
          <w:szCs w:val="24"/>
        </w:rPr>
        <w:t>sur DATA ACT comme socle horizontal sur le partage des données</w:t>
      </w:r>
    </w:p>
    <w:p w14:paraId="3FD46726" w14:textId="77777777" w:rsidR="008132F4" w:rsidRDefault="008132F4" w:rsidP="008132F4">
      <w:pPr>
        <w:spacing w:line="280" w:lineRule="exact"/>
        <w:ind w:left="1134"/>
        <w:jc w:val="both"/>
        <w:rPr>
          <w:rFonts w:ascii="Arial" w:hAnsi="Arial" w:cs="Arial"/>
          <w:color w:val="000000" w:themeColor="text1"/>
          <w:sz w:val="28"/>
          <w:szCs w:val="28"/>
        </w:rPr>
      </w:pPr>
    </w:p>
    <w:p w14:paraId="528602A2" w14:textId="2CDA84F9" w:rsidR="008132F4" w:rsidRPr="008132F4" w:rsidRDefault="008132F4" w:rsidP="008132F4">
      <w:pPr>
        <w:pStyle w:val="Commentaire"/>
        <w:spacing w:after="120" w:line="280" w:lineRule="exact"/>
        <w:ind w:left="510"/>
        <w:jc w:val="both"/>
        <w:rPr>
          <w:rFonts w:ascii="Arial" w:hAnsi="Arial" w:cs="Arial"/>
          <w:color w:val="000000" w:themeColor="text1"/>
          <w:sz w:val="24"/>
          <w:szCs w:val="24"/>
        </w:rPr>
      </w:pPr>
      <w:r w:rsidRPr="008132F4">
        <w:rPr>
          <w:rFonts w:ascii="Arial" w:hAnsi="Arial" w:cs="Arial"/>
          <w:color w:val="000000" w:themeColor="text1"/>
          <w:sz w:val="24"/>
          <w:szCs w:val="24"/>
        </w:rPr>
        <w:t xml:space="preserve">Dans le contexte de construction d’espaces de données au niveau européen, la </w:t>
      </w:r>
      <w:r>
        <w:rPr>
          <w:rFonts w:ascii="Arial" w:hAnsi="Arial" w:cs="Arial"/>
          <w:color w:val="000000" w:themeColor="text1"/>
          <w:sz w:val="24"/>
          <w:szCs w:val="24"/>
        </w:rPr>
        <w:t>FBF</w:t>
      </w:r>
      <w:r w:rsidRPr="008132F4">
        <w:rPr>
          <w:rFonts w:ascii="Arial" w:hAnsi="Arial" w:cs="Arial"/>
          <w:color w:val="000000" w:themeColor="text1"/>
          <w:sz w:val="24"/>
          <w:szCs w:val="24"/>
        </w:rPr>
        <w:t xml:space="preserve"> </w:t>
      </w:r>
      <w:r>
        <w:rPr>
          <w:rFonts w:ascii="Arial" w:hAnsi="Arial" w:cs="Arial"/>
          <w:color w:val="000000" w:themeColor="text1"/>
          <w:sz w:val="24"/>
          <w:szCs w:val="24"/>
        </w:rPr>
        <w:t xml:space="preserve">avait formalisé un </w:t>
      </w:r>
      <w:r w:rsidRPr="008132F4">
        <w:rPr>
          <w:rFonts w:ascii="Arial" w:hAnsi="Arial" w:cs="Arial"/>
          <w:color w:val="000000" w:themeColor="text1"/>
          <w:sz w:val="24"/>
          <w:szCs w:val="24"/>
        </w:rPr>
        <w:t xml:space="preserve">« Have </w:t>
      </w:r>
      <w:proofErr w:type="spellStart"/>
      <w:r w:rsidRPr="008132F4">
        <w:rPr>
          <w:rFonts w:ascii="Arial" w:hAnsi="Arial" w:cs="Arial"/>
          <w:color w:val="000000" w:themeColor="text1"/>
          <w:sz w:val="24"/>
          <w:szCs w:val="24"/>
        </w:rPr>
        <w:t>your</w:t>
      </w:r>
      <w:proofErr w:type="spellEnd"/>
      <w:r w:rsidRPr="008132F4">
        <w:rPr>
          <w:rFonts w:ascii="Arial" w:hAnsi="Arial" w:cs="Arial"/>
          <w:color w:val="000000" w:themeColor="text1"/>
          <w:sz w:val="24"/>
          <w:szCs w:val="24"/>
        </w:rPr>
        <w:t xml:space="preserve"> </w:t>
      </w:r>
      <w:proofErr w:type="spellStart"/>
      <w:r w:rsidRPr="008132F4">
        <w:rPr>
          <w:rFonts w:ascii="Arial" w:hAnsi="Arial" w:cs="Arial"/>
          <w:color w:val="000000" w:themeColor="text1"/>
          <w:sz w:val="24"/>
          <w:szCs w:val="24"/>
        </w:rPr>
        <w:t>say</w:t>
      </w:r>
      <w:proofErr w:type="spellEnd"/>
      <w:r w:rsidRPr="008132F4">
        <w:rPr>
          <w:rFonts w:ascii="Arial" w:hAnsi="Arial" w:cs="Arial"/>
          <w:color w:val="000000" w:themeColor="text1"/>
          <w:sz w:val="24"/>
          <w:szCs w:val="24"/>
        </w:rPr>
        <w:t xml:space="preserve"> » sur le Data </w:t>
      </w:r>
      <w:proofErr w:type="spellStart"/>
      <w:r w:rsidRPr="008132F4">
        <w:rPr>
          <w:rFonts w:ascii="Arial" w:hAnsi="Arial" w:cs="Arial"/>
          <w:color w:val="000000" w:themeColor="text1"/>
          <w:sz w:val="24"/>
          <w:szCs w:val="24"/>
        </w:rPr>
        <w:t>Act</w:t>
      </w:r>
      <w:proofErr w:type="spellEnd"/>
      <w:r w:rsidRPr="008132F4">
        <w:rPr>
          <w:rFonts w:ascii="Arial" w:hAnsi="Arial" w:cs="Arial"/>
          <w:color w:val="000000" w:themeColor="text1"/>
          <w:sz w:val="24"/>
          <w:szCs w:val="24"/>
        </w:rPr>
        <w:t xml:space="preserve">. </w:t>
      </w:r>
    </w:p>
    <w:p w14:paraId="7A1FD4EB" w14:textId="77777777" w:rsidR="008132F4" w:rsidRPr="008132F4" w:rsidRDefault="008132F4" w:rsidP="008132F4">
      <w:pPr>
        <w:pStyle w:val="Commentaire"/>
        <w:spacing w:after="120" w:line="280" w:lineRule="exact"/>
        <w:ind w:left="510"/>
        <w:jc w:val="both"/>
        <w:rPr>
          <w:rFonts w:ascii="Arial" w:hAnsi="Arial" w:cs="Arial"/>
          <w:color w:val="000000" w:themeColor="text1"/>
          <w:sz w:val="24"/>
          <w:szCs w:val="24"/>
        </w:rPr>
      </w:pPr>
      <w:r w:rsidRPr="008132F4">
        <w:rPr>
          <w:rFonts w:ascii="Arial" w:hAnsi="Arial" w:cs="Arial"/>
          <w:color w:val="000000" w:themeColor="text1"/>
          <w:sz w:val="24"/>
          <w:szCs w:val="24"/>
        </w:rPr>
        <w:t xml:space="preserve">Ce texte fixe un socle et des exigences qui reprennent les attentes de la profession autour des questions relatives à la contractualisation entre les parties, la compensation des investissements consentis, la mise en place des normes permettant de favoriser l’interopérabilité, la faculté à changer de prestataires cloud, etc. </w:t>
      </w:r>
    </w:p>
    <w:p w14:paraId="323833EF" w14:textId="79203E33" w:rsidR="008132F4" w:rsidRPr="008132F4" w:rsidRDefault="008132F4" w:rsidP="008132F4">
      <w:pPr>
        <w:spacing w:after="120" w:line="280" w:lineRule="exact"/>
        <w:ind w:left="510"/>
        <w:jc w:val="both"/>
        <w:rPr>
          <w:rFonts w:ascii="Arial" w:hAnsi="Arial" w:cs="Arial"/>
          <w:color w:val="000000" w:themeColor="text1"/>
          <w:sz w:val="24"/>
          <w:szCs w:val="24"/>
        </w:rPr>
      </w:pPr>
      <w:r w:rsidRPr="008132F4">
        <w:rPr>
          <w:rFonts w:ascii="Arial" w:hAnsi="Arial" w:cs="Arial"/>
          <w:color w:val="000000" w:themeColor="text1"/>
          <w:sz w:val="24"/>
          <w:szCs w:val="24"/>
        </w:rPr>
        <w:t xml:space="preserve">Toutefois, la </w:t>
      </w:r>
      <w:r>
        <w:rPr>
          <w:rFonts w:ascii="Arial" w:hAnsi="Arial" w:cs="Arial"/>
          <w:color w:val="000000" w:themeColor="text1"/>
          <w:sz w:val="24"/>
          <w:szCs w:val="24"/>
        </w:rPr>
        <w:t>FBF</w:t>
      </w:r>
      <w:r w:rsidRPr="008132F4">
        <w:rPr>
          <w:rFonts w:ascii="Arial" w:hAnsi="Arial" w:cs="Arial"/>
          <w:color w:val="000000" w:themeColor="text1"/>
          <w:sz w:val="24"/>
          <w:szCs w:val="24"/>
        </w:rPr>
        <w:t xml:space="preserve"> avait insisté sur plusieurs points :</w:t>
      </w:r>
    </w:p>
    <w:p w14:paraId="312D1557" w14:textId="7376B397" w:rsidR="008132F4" w:rsidRPr="008132F4" w:rsidRDefault="008132F4" w:rsidP="008132F4">
      <w:pPr>
        <w:pStyle w:val="Paragraphedeliste"/>
        <w:numPr>
          <w:ilvl w:val="0"/>
          <w:numId w:val="18"/>
        </w:numPr>
        <w:spacing w:after="120" w:line="280" w:lineRule="exact"/>
        <w:ind w:left="1227"/>
        <w:jc w:val="both"/>
        <w:rPr>
          <w:rFonts w:ascii="Arial" w:eastAsia="Times New Roman" w:hAnsi="Arial" w:cs="Arial"/>
          <w:color w:val="000000" w:themeColor="text1"/>
          <w:sz w:val="24"/>
          <w:szCs w:val="24"/>
          <w:lang w:eastAsia="fr-FR"/>
        </w:rPr>
      </w:pPr>
      <w:r>
        <w:rPr>
          <w:rFonts w:ascii="Arial" w:eastAsia="Times New Roman" w:hAnsi="Arial" w:cs="Arial"/>
          <w:color w:val="000000" w:themeColor="text1"/>
          <w:sz w:val="24"/>
          <w:szCs w:val="24"/>
          <w:lang w:eastAsia="fr-FR"/>
        </w:rPr>
        <w:t>L</w:t>
      </w:r>
      <w:r w:rsidRPr="008132F4">
        <w:rPr>
          <w:rFonts w:ascii="Arial" w:eastAsia="Times New Roman" w:hAnsi="Arial" w:cs="Arial"/>
          <w:color w:val="000000" w:themeColor="text1"/>
          <w:sz w:val="24"/>
          <w:szCs w:val="24"/>
          <w:lang w:eastAsia="fr-FR"/>
        </w:rPr>
        <w:t>e fait que les banques sont très concernées par les données IOT notamment via leurs flottes automobiles, leurs services de surveillance et d’assurance, etc.</w:t>
      </w:r>
    </w:p>
    <w:p w14:paraId="29988951" w14:textId="4D0533BF" w:rsidR="008132F4" w:rsidRPr="008132F4" w:rsidRDefault="00D44B87" w:rsidP="008132F4">
      <w:pPr>
        <w:pStyle w:val="Paragraphedeliste"/>
        <w:numPr>
          <w:ilvl w:val="0"/>
          <w:numId w:val="18"/>
        </w:numPr>
        <w:spacing w:after="120" w:line="280" w:lineRule="exact"/>
        <w:ind w:left="1227"/>
        <w:jc w:val="both"/>
        <w:rPr>
          <w:rFonts w:ascii="Arial" w:eastAsia="Times New Roman" w:hAnsi="Arial" w:cs="Arial"/>
          <w:color w:val="000000" w:themeColor="text1"/>
          <w:sz w:val="24"/>
          <w:szCs w:val="24"/>
          <w:lang w:eastAsia="fr-FR"/>
        </w:rPr>
      </w:pPr>
      <w:r w:rsidRPr="008132F4">
        <w:rPr>
          <w:rFonts w:ascii="Arial" w:eastAsia="Times New Roman" w:hAnsi="Arial" w:cs="Arial"/>
          <w:color w:val="000000" w:themeColor="text1"/>
          <w:sz w:val="24"/>
          <w:szCs w:val="24"/>
          <w:lang w:eastAsia="fr-FR"/>
        </w:rPr>
        <w:lastRenderedPageBreak/>
        <w:t>La</w:t>
      </w:r>
      <w:r w:rsidR="008132F4" w:rsidRPr="008132F4">
        <w:rPr>
          <w:rFonts w:ascii="Arial" w:eastAsia="Times New Roman" w:hAnsi="Arial" w:cs="Arial"/>
          <w:color w:val="000000" w:themeColor="text1"/>
          <w:sz w:val="24"/>
          <w:szCs w:val="24"/>
          <w:lang w:eastAsia="fr-FR"/>
        </w:rPr>
        <w:t xml:space="preserve"> nécessité de reprendre les arguments juridiques de 2018 sur la portabilité des données qui distinguent les données des clients des données générées par un service ou un traitement ;</w:t>
      </w:r>
    </w:p>
    <w:p w14:paraId="5BD8B2AE" w14:textId="7D430977" w:rsidR="008132F4" w:rsidRPr="008132F4" w:rsidRDefault="00D44B87" w:rsidP="008132F4">
      <w:pPr>
        <w:pStyle w:val="Paragraphedeliste"/>
        <w:numPr>
          <w:ilvl w:val="0"/>
          <w:numId w:val="18"/>
        </w:numPr>
        <w:spacing w:after="120" w:line="280" w:lineRule="exact"/>
        <w:ind w:left="1227"/>
        <w:jc w:val="both"/>
        <w:rPr>
          <w:rFonts w:ascii="Arial" w:eastAsia="Times New Roman" w:hAnsi="Arial" w:cs="Arial"/>
          <w:color w:val="000000" w:themeColor="text1"/>
          <w:sz w:val="24"/>
          <w:szCs w:val="24"/>
          <w:lang w:eastAsia="fr-FR"/>
        </w:rPr>
      </w:pPr>
      <w:r w:rsidRPr="008132F4">
        <w:rPr>
          <w:rFonts w:ascii="Arial" w:eastAsia="Times New Roman" w:hAnsi="Arial" w:cs="Arial"/>
          <w:color w:val="000000" w:themeColor="text1"/>
          <w:sz w:val="24"/>
          <w:szCs w:val="24"/>
          <w:lang w:eastAsia="fr-FR"/>
        </w:rPr>
        <w:t>Le</w:t>
      </w:r>
      <w:r w:rsidR="008132F4" w:rsidRPr="008132F4">
        <w:rPr>
          <w:rFonts w:ascii="Arial" w:eastAsia="Times New Roman" w:hAnsi="Arial" w:cs="Arial"/>
          <w:color w:val="000000" w:themeColor="text1"/>
          <w:sz w:val="24"/>
          <w:szCs w:val="24"/>
          <w:lang w:eastAsia="fr-FR"/>
        </w:rPr>
        <w:t xml:space="preserve"> fait que l’accès à ces données ne peut être gratuit dans la mesure où un service est proposé ;</w:t>
      </w:r>
    </w:p>
    <w:p w14:paraId="234B9747" w14:textId="14C34244" w:rsidR="008132F4" w:rsidRPr="008132F4" w:rsidRDefault="00D44B87" w:rsidP="008132F4">
      <w:pPr>
        <w:pStyle w:val="Paragraphedeliste"/>
        <w:numPr>
          <w:ilvl w:val="0"/>
          <w:numId w:val="18"/>
        </w:numPr>
        <w:spacing w:after="120" w:line="280" w:lineRule="exact"/>
        <w:ind w:left="1227"/>
        <w:jc w:val="both"/>
        <w:rPr>
          <w:rFonts w:ascii="Arial" w:eastAsia="Times New Roman" w:hAnsi="Arial" w:cs="Arial"/>
          <w:color w:val="000000" w:themeColor="text1"/>
          <w:sz w:val="24"/>
          <w:szCs w:val="24"/>
          <w:lang w:eastAsia="fr-FR"/>
        </w:rPr>
      </w:pPr>
      <w:r w:rsidRPr="008132F4">
        <w:rPr>
          <w:rFonts w:ascii="Arial" w:eastAsia="Times New Roman" w:hAnsi="Arial" w:cs="Arial"/>
          <w:color w:val="000000" w:themeColor="text1"/>
          <w:sz w:val="24"/>
          <w:szCs w:val="24"/>
          <w:lang w:eastAsia="fr-FR"/>
        </w:rPr>
        <w:t>Par</w:t>
      </w:r>
      <w:r w:rsidR="008132F4" w:rsidRPr="008132F4">
        <w:rPr>
          <w:rFonts w:ascii="Arial" w:eastAsia="Times New Roman" w:hAnsi="Arial" w:cs="Arial"/>
          <w:color w:val="000000" w:themeColor="text1"/>
          <w:sz w:val="24"/>
          <w:szCs w:val="24"/>
          <w:lang w:eastAsia="fr-FR"/>
        </w:rPr>
        <w:t xml:space="preserve"> ailleurs, il est nécessaire d’éviter que le client ait le sentiment que la banque vende ses données.</w:t>
      </w:r>
    </w:p>
    <w:p w14:paraId="790BB0EC" w14:textId="77777777" w:rsidR="008132F4" w:rsidRPr="008132F4" w:rsidRDefault="008132F4" w:rsidP="008132F4">
      <w:pPr>
        <w:spacing w:after="120" w:line="280" w:lineRule="exact"/>
        <w:ind w:left="981"/>
        <w:jc w:val="both"/>
        <w:rPr>
          <w:rFonts w:ascii="Arial" w:hAnsi="Arial" w:cs="Arial"/>
          <w:color w:val="000000" w:themeColor="text1"/>
          <w:sz w:val="28"/>
          <w:szCs w:val="28"/>
        </w:rPr>
      </w:pPr>
    </w:p>
    <w:p w14:paraId="4F8B8AA3" w14:textId="77777777" w:rsidR="008132F4" w:rsidRPr="008132F4" w:rsidRDefault="008132F4" w:rsidP="008132F4">
      <w:pPr>
        <w:spacing w:after="120" w:line="280" w:lineRule="exact"/>
        <w:jc w:val="both"/>
        <w:rPr>
          <w:rFonts w:ascii="Arial" w:hAnsi="Arial" w:cs="Arial"/>
          <w:color w:val="000000" w:themeColor="text1"/>
          <w:sz w:val="28"/>
          <w:szCs w:val="28"/>
        </w:rPr>
      </w:pPr>
    </w:p>
    <w:p w14:paraId="67C41747" w14:textId="21D1F4BC" w:rsidR="00A70CEB" w:rsidRDefault="00A70CEB" w:rsidP="008132F4">
      <w:pPr>
        <w:pStyle w:val="Paragraphedeliste"/>
        <w:numPr>
          <w:ilvl w:val="0"/>
          <w:numId w:val="17"/>
        </w:numPr>
        <w:spacing w:line="280" w:lineRule="exact"/>
        <w:jc w:val="both"/>
        <w:rPr>
          <w:rFonts w:ascii="Arial" w:hAnsi="Arial" w:cs="Arial"/>
          <w:b/>
          <w:bCs/>
          <w:color w:val="000000" w:themeColor="text1"/>
          <w:sz w:val="24"/>
          <w:szCs w:val="24"/>
        </w:rPr>
      </w:pPr>
      <w:r w:rsidRPr="00A70CEB">
        <w:rPr>
          <w:rFonts w:ascii="Arial" w:hAnsi="Arial" w:cs="Arial"/>
          <w:b/>
          <w:bCs/>
          <w:color w:val="000000" w:themeColor="text1"/>
          <w:sz w:val="24"/>
          <w:szCs w:val="24"/>
        </w:rPr>
        <w:t>Les points positifs du projet Open Finance, tel qu’il transparaît au travers des questions de la consultation publique</w:t>
      </w:r>
    </w:p>
    <w:p w14:paraId="0EA69576" w14:textId="77777777" w:rsidR="00D44B87" w:rsidRPr="00D44B87" w:rsidRDefault="00D44B87" w:rsidP="00D44B87">
      <w:pPr>
        <w:spacing w:line="280" w:lineRule="exact"/>
        <w:ind w:left="96"/>
        <w:jc w:val="both"/>
        <w:rPr>
          <w:rFonts w:ascii="Arial" w:hAnsi="Arial" w:cs="Arial"/>
          <w:b/>
          <w:bCs/>
          <w:color w:val="000000" w:themeColor="text1"/>
          <w:sz w:val="24"/>
          <w:szCs w:val="24"/>
        </w:rPr>
      </w:pPr>
    </w:p>
    <w:p w14:paraId="68BDF3E7" w14:textId="77777777" w:rsidR="00A70CEB" w:rsidRPr="00A70CEB" w:rsidRDefault="00A70CEB" w:rsidP="00A70CEB">
      <w:pPr>
        <w:spacing w:before="180" w:line="280" w:lineRule="exact"/>
        <w:ind w:left="720"/>
        <w:jc w:val="both"/>
        <w:rPr>
          <w:rFonts w:ascii="Arial" w:hAnsi="Arial" w:cs="Arial"/>
          <w:color w:val="000000" w:themeColor="text1"/>
          <w:sz w:val="24"/>
          <w:szCs w:val="24"/>
        </w:rPr>
      </w:pPr>
      <w:r w:rsidRPr="00A70CEB">
        <w:rPr>
          <w:rFonts w:ascii="Arial" w:hAnsi="Arial" w:cs="Arial"/>
          <w:color w:val="000000" w:themeColor="text1"/>
          <w:sz w:val="24"/>
          <w:szCs w:val="24"/>
        </w:rPr>
        <w:t xml:space="preserve">La profession estime que l’ambition de la Commission d’encourager le partage des données est susceptible dans certaines conditions (sur lesquelles nous revenons ci-après), de contribuer à promouvoir l’innovation, et à améliorer les services et produits offerts aux clients et leur satisfaction. A titre d’exemple, dans le domaine de l’ESG, l’exploitation de données issues des secteurs de l’énergie, ou des transports pourrait permettre de créer des nouveaux produits afin d’aider les clients à financer leurs travaux pour des économies d’énergie. </w:t>
      </w:r>
    </w:p>
    <w:p w14:paraId="5A42E173" w14:textId="12E2A94F" w:rsidR="00A70CEB" w:rsidRDefault="00A70CEB" w:rsidP="00A70CEB">
      <w:pPr>
        <w:spacing w:before="180" w:line="280" w:lineRule="exact"/>
        <w:ind w:left="720"/>
        <w:jc w:val="both"/>
        <w:rPr>
          <w:rFonts w:ascii="Arial" w:hAnsi="Arial" w:cs="Arial"/>
          <w:color w:val="000000" w:themeColor="text1"/>
          <w:sz w:val="24"/>
          <w:szCs w:val="24"/>
        </w:rPr>
      </w:pPr>
    </w:p>
    <w:p w14:paraId="52CFCE45" w14:textId="77777777" w:rsidR="00A70CEB" w:rsidRPr="00A70CEB" w:rsidRDefault="00A70CEB" w:rsidP="00A70CEB">
      <w:pPr>
        <w:spacing w:line="280" w:lineRule="exact"/>
        <w:ind w:left="720"/>
        <w:jc w:val="both"/>
        <w:rPr>
          <w:rFonts w:ascii="Arial" w:hAnsi="Arial" w:cs="Arial"/>
          <w:color w:val="000000" w:themeColor="text1"/>
          <w:sz w:val="24"/>
          <w:szCs w:val="24"/>
        </w:rPr>
      </w:pPr>
    </w:p>
    <w:p w14:paraId="09291093" w14:textId="2BD4AF1A" w:rsidR="00A70CEB" w:rsidRDefault="00A70CEB" w:rsidP="008132F4">
      <w:pPr>
        <w:pStyle w:val="Paragraphedeliste"/>
        <w:numPr>
          <w:ilvl w:val="0"/>
          <w:numId w:val="17"/>
        </w:numPr>
        <w:spacing w:line="280" w:lineRule="exact"/>
        <w:jc w:val="both"/>
        <w:rPr>
          <w:rFonts w:ascii="Arial" w:hAnsi="Arial" w:cs="Arial"/>
          <w:b/>
          <w:bCs/>
          <w:color w:val="000000" w:themeColor="text1"/>
          <w:sz w:val="24"/>
          <w:szCs w:val="24"/>
        </w:rPr>
      </w:pPr>
      <w:r w:rsidRPr="00A70CEB">
        <w:rPr>
          <w:rFonts w:ascii="Arial" w:hAnsi="Arial" w:cs="Arial"/>
          <w:b/>
          <w:bCs/>
          <w:color w:val="000000" w:themeColor="text1"/>
          <w:sz w:val="24"/>
          <w:szCs w:val="24"/>
        </w:rPr>
        <w:t>Les points d’attention et les lignes rouges de la profession</w:t>
      </w:r>
    </w:p>
    <w:p w14:paraId="194E4D0B" w14:textId="77777777" w:rsidR="008132F4" w:rsidRPr="008132F4" w:rsidRDefault="008132F4" w:rsidP="008132F4">
      <w:pPr>
        <w:spacing w:line="280" w:lineRule="exact"/>
        <w:ind w:left="96"/>
        <w:jc w:val="both"/>
        <w:rPr>
          <w:rFonts w:ascii="Arial" w:hAnsi="Arial" w:cs="Arial"/>
          <w:b/>
          <w:bCs/>
          <w:color w:val="000000" w:themeColor="text1"/>
          <w:sz w:val="24"/>
          <w:szCs w:val="24"/>
        </w:rPr>
      </w:pPr>
    </w:p>
    <w:p w14:paraId="076D9346" w14:textId="77777777" w:rsidR="00A70CEB" w:rsidRPr="00A70CEB" w:rsidRDefault="00A70CEB" w:rsidP="00A70CEB">
      <w:pPr>
        <w:spacing w:line="280" w:lineRule="exact"/>
        <w:ind w:left="720"/>
        <w:jc w:val="both"/>
        <w:rPr>
          <w:rFonts w:ascii="Arial" w:eastAsiaTheme="minorHAnsi" w:hAnsi="Arial" w:cs="Arial"/>
          <w:color w:val="000000" w:themeColor="text1"/>
          <w:sz w:val="24"/>
          <w:szCs w:val="24"/>
          <w:lang w:eastAsia="en-US"/>
        </w:rPr>
      </w:pPr>
    </w:p>
    <w:p w14:paraId="11B79CEE" w14:textId="77777777" w:rsidR="00A70CEB" w:rsidRPr="00A70CEB" w:rsidRDefault="00A70CEB" w:rsidP="00A70CEB">
      <w:pPr>
        <w:pStyle w:val="Paragraphedeliste"/>
        <w:numPr>
          <w:ilvl w:val="0"/>
          <w:numId w:val="15"/>
        </w:numPr>
        <w:spacing w:after="240" w:line="22" w:lineRule="atLeast"/>
        <w:ind w:hanging="357"/>
        <w:jc w:val="both"/>
        <w:rPr>
          <w:rFonts w:ascii="Arial" w:eastAsia="Calibri" w:hAnsi="Arial" w:cs="Arial"/>
          <w:b/>
          <w:bCs/>
          <w:color w:val="000000" w:themeColor="text1"/>
          <w:sz w:val="24"/>
          <w:szCs w:val="24"/>
          <w:lang w:eastAsia="fr-FR"/>
        </w:rPr>
      </w:pPr>
      <w:r w:rsidRPr="00A70CEB">
        <w:rPr>
          <w:rFonts w:ascii="Arial" w:hAnsi="Arial" w:cs="Arial"/>
          <w:b/>
          <w:bCs/>
          <w:color w:val="000000" w:themeColor="text1"/>
          <w:sz w:val="24"/>
          <w:szCs w:val="24"/>
        </w:rPr>
        <w:t>Points d’attention méthodologiques sur les modalités et le calendrier de la consultation</w:t>
      </w:r>
    </w:p>
    <w:p w14:paraId="4C0C084A" w14:textId="77777777" w:rsidR="00A70CEB" w:rsidRPr="00A70CEB" w:rsidRDefault="00A70CEB" w:rsidP="00A70CEB">
      <w:pPr>
        <w:spacing w:line="22" w:lineRule="atLeast"/>
        <w:ind w:left="720"/>
        <w:jc w:val="both"/>
        <w:rPr>
          <w:rFonts w:ascii="Arial" w:hAnsi="Arial" w:cs="Arial"/>
          <w:color w:val="000000" w:themeColor="text1"/>
          <w:sz w:val="24"/>
          <w:szCs w:val="24"/>
        </w:rPr>
      </w:pPr>
      <w:r w:rsidRPr="00A70CEB">
        <w:rPr>
          <w:rFonts w:ascii="Arial" w:hAnsi="Arial" w:cs="Arial"/>
          <w:color w:val="000000" w:themeColor="text1"/>
          <w:sz w:val="24"/>
          <w:szCs w:val="24"/>
        </w:rPr>
        <w:t xml:space="preserve">Alors que le Data </w:t>
      </w:r>
      <w:proofErr w:type="spellStart"/>
      <w:r w:rsidRPr="00A70CEB">
        <w:rPr>
          <w:rFonts w:ascii="Arial" w:hAnsi="Arial" w:cs="Arial"/>
          <w:color w:val="000000" w:themeColor="text1"/>
          <w:sz w:val="24"/>
          <w:szCs w:val="24"/>
        </w:rPr>
        <w:t>Act</w:t>
      </w:r>
      <w:proofErr w:type="spellEnd"/>
      <w:r w:rsidRPr="00A70CEB">
        <w:rPr>
          <w:rFonts w:ascii="Arial" w:hAnsi="Arial" w:cs="Arial"/>
          <w:color w:val="000000" w:themeColor="text1"/>
          <w:sz w:val="24"/>
          <w:szCs w:val="24"/>
        </w:rPr>
        <w:t xml:space="preserve"> n’est pas finalisé, il importe que les textes relatifs au trans-sectoriel soient adoptés avant le texte dédié aux services financiers et que celui-ci intègre les enseignements du bilan de la DSP2.</w:t>
      </w:r>
    </w:p>
    <w:p w14:paraId="04A6D0B5" w14:textId="77777777" w:rsidR="00A70CEB" w:rsidRPr="00A70CEB" w:rsidRDefault="00A70CEB" w:rsidP="00A70CEB">
      <w:pPr>
        <w:spacing w:line="22" w:lineRule="atLeast"/>
        <w:ind w:left="720"/>
        <w:jc w:val="both"/>
        <w:rPr>
          <w:rFonts w:ascii="Arial" w:hAnsi="Arial" w:cs="Arial"/>
          <w:color w:val="000000" w:themeColor="text1"/>
          <w:sz w:val="24"/>
          <w:szCs w:val="24"/>
        </w:rPr>
      </w:pPr>
    </w:p>
    <w:p w14:paraId="0EA170B8" w14:textId="77777777" w:rsidR="00A70CEB" w:rsidRPr="00A70CEB" w:rsidRDefault="00A70CEB" w:rsidP="00A70CEB">
      <w:pPr>
        <w:ind w:left="720"/>
        <w:jc w:val="both"/>
        <w:rPr>
          <w:rFonts w:ascii="Arial" w:hAnsi="Arial" w:cs="Arial"/>
          <w:color w:val="000000" w:themeColor="text1"/>
          <w:sz w:val="24"/>
          <w:szCs w:val="24"/>
        </w:rPr>
      </w:pPr>
      <w:r w:rsidRPr="00A70CEB">
        <w:rPr>
          <w:rFonts w:ascii="Arial" w:hAnsi="Arial" w:cs="Arial"/>
          <w:b/>
          <w:bCs/>
          <w:color w:val="000000" w:themeColor="text1"/>
          <w:sz w:val="24"/>
          <w:szCs w:val="24"/>
        </w:rPr>
        <w:t xml:space="preserve">Le périmètre des données concernées mériterait des clarifications ainsi que les modalités de recueil du consentement. </w:t>
      </w:r>
      <w:r w:rsidRPr="00A70CEB">
        <w:rPr>
          <w:rFonts w:ascii="Arial" w:hAnsi="Arial" w:cs="Arial"/>
          <w:color w:val="000000" w:themeColor="text1"/>
          <w:sz w:val="24"/>
          <w:szCs w:val="24"/>
        </w:rPr>
        <w:t xml:space="preserve">La consultation Open Finance manque de précisions concernant le type de données qui entreraient dans le périmètre de la réglementation. </w:t>
      </w:r>
    </w:p>
    <w:p w14:paraId="626E08D3" w14:textId="77777777" w:rsidR="00A70CEB" w:rsidRPr="00A70CEB" w:rsidRDefault="00A70CEB" w:rsidP="00A70CEB">
      <w:pPr>
        <w:spacing w:line="22" w:lineRule="atLeast"/>
        <w:ind w:left="720"/>
        <w:jc w:val="both"/>
        <w:rPr>
          <w:rFonts w:ascii="Arial" w:hAnsi="Arial" w:cs="Arial"/>
          <w:color w:val="000000" w:themeColor="text1"/>
          <w:sz w:val="24"/>
          <w:szCs w:val="24"/>
        </w:rPr>
      </w:pPr>
    </w:p>
    <w:p w14:paraId="32557985" w14:textId="77777777" w:rsidR="00A70CEB" w:rsidRPr="00A70CEB" w:rsidRDefault="00A70CEB" w:rsidP="00A70CEB">
      <w:pPr>
        <w:spacing w:line="22" w:lineRule="atLeast"/>
        <w:ind w:left="720"/>
        <w:jc w:val="both"/>
        <w:rPr>
          <w:rFonts w:ascii="Arial" w:hAnsi="Arial" w:cs="Arial"/>
          <w:color w:val="000000" w:themeColor="text1"/>
          <w:sz w:val="24"/>
          <w:szCs w:val="24"/>
        </w:rPr>
      </w:pPr>
      <w:r w:rsidRPr="00A70CEB">
        <w:rPr>
          <w:rFonts w:ascii="Arial" w:hAnsi="Arial" w:cs="Arial"/>
          <w:b/>
          <w:bCs/>
          <w:color w:val="000000" w:themeColor="text1"/>
          <w:sz w:val="24"/>
          <w:szCs w:val="24"/>
        </w:rPr>
        <w:t xml:space="preserve">Les données brutes : </w:t>
      </w:r>
      <w:r w:rsidRPr="00A70CEB">
        <w:rPr>
          <w:rFonts w:ascii="Arial" w:hAnsi="Arial" w:cs="Arial"/>
          <w:color w:val="000000" w:themeColor="text1"/>
          <w:sz w:val="24"/>
          <w:szCs w:val="24"/>
        </w:rPr>
        <w:t xml:space="preserve">dans un scénario de partage limité aux données brutes et non travaillées, il conviendrait d’être plus précis quant à la définition d’une donnée brute pour le secteur bancaire :  la compilation des factures de cartes bancaires d’un client sur un relevé de compte, classées par rubriques, serait-elle considérée comme des données brutes et transmissibles telles quelles à un tiers, dans le cadre d’Open finance ? </w:t>
      </w:r>
    </w:p>
    <w:p w14:paraId="1423A841" w14:textId="77777777" w:rsidR="00A70CEB" w:rsidRPr="00A70CEB" w:rsidRDefault="00A70CEB" w:rsidP="00A70CEB">
      <w:pPr>
        <w:spacing w:line="22" w:lineRule="atLeast"/>
        <w:ind w:left="720"/>
        <w:jc w:val="both"/>
        <w:rPr>
          <w:rFonts w:ascii="Arial" w:hAnsi="Arial" w:cs="Arial"/>
          <w:color w:val="000000" w:themeColor="text1"/>
          <w:sz w:val="24"/>
          <w:szCs w:val="24"/>
        </w:rPr>
      </w:pPr>
    </w:p>
    <w:p w14:paraId="36FA7D49" w14:textId="2B5AD68E" w:rsidR="00A70CEB" w:rsidRDefault="00A70CEB" w:rsidP="00A70CEB">
      <w:pPr>
        <w:spacing w:line="22" w:lineRule="atLeast"/>
        <w:ind w:left="720"/>
        <w:jc w:val="both"/>
        <w:rPr>
          <w:rFonts w:ascii="Arial" w:hAnsi="Arial" w:cs="Arial"/>
          <w:color w:val="000000" w:themeColor="text1"/>
          <w:sz w:val="24"/>
          <w:szCs w:val="24"/>
        </w:rPr>
      </w:pPr>
      <w:r w:rsidRPr="00A70CEB">
        <w:rPr>
          <w:rFonts w:ascii="Arial" w:hAnsi="Arial" w:cs="Arial"/>
          <w:b/>
          <w:bCs/>
          <w:color w:val="000000" w:themeColor="text1"/>
          <w:sz w:val="24"/>
          <w:szCs w:val="24"/>
        </w:rPr>
        <w:t xml:space="preserve">Les données des autres secteurs : </w:t>
      </w:r>
      <w:r w:rsidRPr="00A70CEB">
        <w:rPr>
          <w:rFonts w:ascii="Arial" w:hAnsi="Arial" w:cs="Arial"/>
          <w:color w:val="000000" w:themeColor="text1"/>
          <w:sz w:val="24"/>
          <w:szCs w:val="24"/>
        </w:rPr>
        <w:t xml:space="preserve">l’utilisation intersectorielle des données mentionnée dans la consultation fait vraisemblablement référence au Data </w:t>
      </w:r>
      <w:proofErr w:type="spellStart"/>
      <w:r w:rsidRPr="00A70CEB">
        <w:rPr>
          <w:rFonts w:ascii="Arial" w:hAnsi="Arial" w:cs="Arial"/>
          <w:color w:val="000000" w:themeColor="text1"/>
          <w:sz w:val="24"/>
          <w:szCs w:val="24"/>
        </w:rPr>
        <w:t>Act</w:t>
      </w:r>
      <w:proofErr w:type="spellEnd"/>
      <w:r w:rsidRPr="00A70CEB">
        <w:rPr>
          <w:rFonts w:ascii="Arial" w:hAnsi="Arial" w:cs="Arial"/>
          <w:color w:val="000000" w:themeColor="text1"/>
          <w:sz w:val="24"/>
          <w:szCs w:val="24"/>
        </w:rPr>
        <w:t xml:space="preserve">. </w:t>
      </w:r>
      <w:r w:rsidRPr="00A70CEB">
        <w:rPr>
          <w:rFonts w:ascii="Arial" w:hAnsi="Arial" w:cs="Arial"/>
          <w:sz w:val="24"/>
          <w:szCs w:val="24"/>
        </w:rPr>
        <w:t xml:space="preserve">Or </w:t>
      </w:r>
      <w:r w:rsidRPr="00A70CEB">
        <w:rPr>
          <w:rFonts w:ascii="Arial" w:hAnsi="Arial" w:cs="Arial"/>
          <w:color w:val="000000" w:themeColor="text1"/>
          <w:sz w:val="24"/>
          <w:szCs w:val="24"/>
        </w:rPr>
        <w:t xml:space="preserve">au travers des échanges avec d’autres secteurs d’activité dans le cadre des </w:t>
      </w:r>
      <w:r w:rsidRPr="00A70CEB">
        <w:rPr>
          <w:rFonts w:ascii="Arial" w:hAnsi="Arial" w:cs="Arial"/>
          <w:color w:val="000000" w:themeColor="text1"/>
          <w:sz w:val="24"/>
          <w:szCs w:val="24"/>
        </w:rPr>
        <w:lastRenderedPageBreak/>
        <w:t>réunions du MEDEF, force est de constater qu’il n’y a pas de plébiscite au sein des autres fédérations sectorielles pour étendre le partage leurs données.</w:t>
      </w:r>
    </w:p>
    <w:p w14:paraId="56E5DB01" w14:textId="77777777" w:rsidR="00DF7703" w:rsidRPr="00A70CEB" w:rsidRDefault="00DF7703" w:rsidP="00A70CEB">
      <w:pPr>
        <w:spacing w:line="22" w:lineRule="atLeast"/>
        <w:ind w:left="720"/>
        <w:jc w:val="both"/>
        <w:rPr>
          <w:rFonts w:ascii="Arial" w:hAnsi="Arial" w:cs="Arial"/>
          <w:color w:val="000000" w:themeColor="text1"/>
          <w:sz w:val="24"/>
          <w:szCs w:val="24"/>
        </w:rPr>
      </w:pPr>
    </w:p>
    <w:p w14:paraId="42A531C9" w14:textId="77777777" w:rsidR="00A70CEB" w:rsidRPr="00A70CEB" w:rsidRDefault="00A70CEB" w:rsidP="00A70CEB">
      <w:pPr>
        <w:spacing w:line="22" w:lineRule="atLeast"/>
        <w:ind w:left="720"/>
        <w:jc w:val="both"/>
        <w:rPr>
          <w:rFonts w:ascii="Arial" w:hAnsi="Arial" w:cs="Arial"/>
          <w:color w:val="000000" w:themeColor="text1"/>
          <w:sz w:val="24"/>
          <w:szCs w:val="24"/>
        </w:rPr>
      </w:pPr>
    </w:p>
    <w:p w14:paraId="5673C4CF" w14:textId="76F40724" w:rsidR="00A70CEB" w:rsidRPr="00A70CEB" w:rsidRDefault="00A70CEB" w:rsidP="00A70CEB">
      <w:pPr>
        <w:pStyle w:val="Paragraphedeliste"/>
        <w:numPr>
          <w:ilvl w:val="0"/>
          <w:numId w:val="15"/>
        </w:numPr>
        <w:spacing w:after="240" w:line="22" w:lineRule="atLeast"/>
        <w:ind w:hanging="357"/>
        <w:jc w:val="both"/>
        <w:rPr>
          <w:rFonts w:ascii="Arial" w:hAnsi="Arial" w:cs="Arial"/>
          <w:b/>
          <w:bCs/>
          <w:color w:val="000000" w:themeColor="text1"/>
          <w:sz w:val="24"/>
          <w:szCs w:val="24"/>
        </w:rPr>
      </w:pPr>
      <w:r w:rsidRPr="00A70CEB">
        <w:rPr>
          <w:rFonts w:ascii="Arial" w:hAnsi="Arial" w:cs="Arial"/>
          <w:b/>
          <w:bCs/>
          <w:color w:val="000000" w:themeColor="text1"/>
          <w:sz w:val="24"/>
          <w:szCs w:val="24"/>
        </w:rPr>
        <w:t>Sur le contenu des questions de la consultation, la FBF maintient ses positions de 2018</w:t>
      </w:r>
      <w:r w:rsidR="00140DAB">
        <w:rPr>
          <w:rFonts w:ascii="Arial" w:hAnsi="Arial" w:cs="Arial"/>
          <w:b/>
          <w:bCs/>
          <w:color w:val="000000" w:themeColor="text1"/>
          <w:sz w:val="24"/>
          <w:szCs w:val="24"/>
        </w:rPr>
        <w:t xml:space="preserve"> sur le partage des données</w:t>
      </w:r>
    </w:p>
    <w:p w14:paraId="32521C68" w14:textId="77777777" w:rsidR="00A70CEB" w:rsidRPr="00A70CEB" w:rsidRDefault="00A70CEB" w:rsidP="00A70CEB">
      <w:pPr>
        <w:spacing w:line="280" w:lineRule="exact"/>
        <w:ind w:left="720"/>
        <w:jc w:val="both"/>
        <w:rPr>
          <w:rFonts w:ascii="Arial" w:hAnsi="Arial" w:cs="Arial"/>
          <w:color w:val="000000" w:themeColor="text1"/>
          <w:sz w:val="24"/>
          <w:szCs w:val="24"/>
        </w:rPr>
      </w:pPr>
    </w:p>
    <w:p w14:paraId="13188824" w14:textId="77777777" w:rsidR="00A70CEB" w:rsidRPr="00A70CEB" w:rsidRDefault="00A70CEB" w:rsidP="00A70CEB">
      <w:pPr>
        <w:pStyle w:val="Paragraphedeliste"/>
        <w:numPr>
          <w:ilvl w:val="0"/>
          <w:numId w:val="16"/>
        </w:numPr>
        <w:spacing w:line="280" w:lineRule="exact"/>
        <w:ind w:left="720" w:hanging="426"/>
        <w:jc w:val="both"/>
        <w:rPr>
          <w:rFonts w:ascii="Arial" w:hAnsi="Arial" w:cs="Arial"/>
          <w:b/>
          <w:bCs/>
          <w:color w:val="000000" w:themeColor="text1"/>
          <w:sz w:val="24"/>
          <w:szCs w:val="24"/>
        </w:rPr>
      </w:pPr>
      <w:r w:rsidRPr="00A70CEB">
        <w:rPr>
          <w:rFonts w:ascii="Arial" w:hAnsi="Arial" w:cs="Arial"/>
          <w:b/>
          <w:bCs/>
          <w:color w:val="000000" w:themeColor="text1"/>
          <w:sz w:val="24"/>
          <w:szCs w:val="24"/>
        </w:rPr>
        <w:t xml:space="preserve">Parler de « conditions d’accès » sur une base contractuelle et non de « droit d’accès » </w:t>
      </w:r>
    </w:p>
    <w:p w14:paraId="2F2B960F" w14:textId="77777777" w:rsidR="00A70CEB" w:rsidRPr="00A70CEB" w:rsidRDefault="00A70CEB" w:rsidP="00A70CEB">
      <w:pPr>
        <w:spacing w:before="120" w:after="120"/>
        <w:ind w:left="720"/>
        <w:jc w:val="both"/>
        <w:rPr>
          <w:rFonts w:ascii="Arial" w:eastAsiaTheme="minorHAnsi" w:hAnsi="Arial" w:cs="Arial"/>
          <w:sz w:val="24"/>
          <w:szCs w:val="24"/>
          <w:lang w:eastAsia="en-US"/>
        </w:rPr>
      </w:pPr>
      <w:r w:rsidRPr="00A70CEB">
        <w:rPr>
          <w:rFonts w:ascii="Arial" w:eastAsiaTheme="minorHAnsi" w:hAnsi="Arial" w:cs="Arial"/>
          <w:color w:val="000000" w:themeColor="text1"/>
          <w:sz w:val="24"/>
          <w:szCs w:val="24"/>
          <w:lang w:eastAsia="en-US"/>
        </w:rPr>
        <w:t xml:space="preserve">Le secteur bancaire français pratique, dans un cadre contractuel, d’ores et déjà le partage de </w:t>
      </w:r>
      <w:r w:rsidRPr="00A70CEB">
        <w:rPr>
          <w:rFonts w:ascii="Arial" w:eastAsiaTheme="minorHAnsi" w:hAnsi="Arial" w:cs="Arial"/>
          <w:sz w:val="24"/>
          <w:szCs w:val="24"/>
          <w:lang w:eastAsia="en-US"/>
        </w:rPr>
        <w:t xml:space="preserve">données avec d’autres entreprises avec l’accord préalable des clients et dans un cadre précis de contrôle de l’utilisation et de la protection de ces données. </w:t>
      </w:r>
    </w:p>
    <w:p w14:paraId="36289424" w14:textId="77777777" w:rsidR="00A70CEB" w:rsidRPr="00A70CEB" w:rsidRDefault="00A70CEB" w:rsidP="00A70CEB">
      <w:pPr>
        <w:spacing w:before="120" w:after="120"/>
        <w:ind w:left="720"/>
        <w:jc w:val="both"/>
        <w:rPr>
          <w:rFonts w:ascii="Arial" w:eastAsiaTheme="minorHAnsi" w:hAnsi="Arial" w:cs="Arial"/>
          <w:b/>
          <w:bCs/>
          <w:sz w:val="24"/>
          <w:szCs w:val="24"/>
          <w:lang w:eastAsia="en-US"/>
        </w:rPr>
      </w:pPr>
      <w:r w:rsidRPr="00A70CEB">
        <w:rPr>
          <w:rFonts w:ascii="Arial" w:eastAsiaTheme="minorHAnsi" w:hAnsi="Arial" w:cs="Arial"/>
          <w:b/>
          <w:bCs/>
          <w:sz w:val="24"/>
          <w:szCs w:val="24"/>
          <w:lang w:eastAsia="en-US"/>
        </w:rPr>
        <w:t xml:space="preserve">Afin de ne pas subir la mise en place d’un cadre obligatoire à l’instar de la DSP2 pour les paiements, la FBF réitère donc son soutien à un partage de données via une approche volontaire fondée sur les partenariats et les accords contractuels, afin de garantir la prise en compte des contraintes </w:t>
      </w:r>
      <w:proofErr w:type="gramStart"/>
      <w:r w:rsidRPr="00A70CEB">
        <w:rPr>
          <w:rFonts w:ascii="Arial" w:eastAsiaTheme="minorHAnsi" w:hAnsi="Arial" w:cs="Arial"/>
          <w:b/>
          <w:bCs/>
          <w:sz w:val="24"/>
          <w:szCs w:val="24"/>
          <w:lang w:eastAsia="en-US"/>
        </w:rPr>
        <w:t>et</w:t>
      </w:r>
      <w:proofErr w:type="gramEnd"/>
      <w:r w:rsidRPr="00A70CEB">
        <w:rPr>
          <w:rFonts w:ascii="Arial" w:eastAsiaTheme="minorHAnsi" w:hAnsi="Arial" w:cs="Arial"/>
          <w:b/>
          <w:bCs/>
          <w:sz w:val="24"/>
          <w:szCs w:val="24"/>
          <w:lang w:eastAsia="en-US"/>
        </w:rPr>
        <w:t xml:space="preserve"> coûts de mise à disposition. </w:t>
      </w:r>
    </w:p>
    <w:p w14:paraId="4DC808FC" w14:textId="77777777" w:rsidR="00A70CEB" w:rsidRPr="00A70CEB" w:rsidRDefault="00A70CEB" w:rsidP="00A70CEB">
      <w:pPr>
        <w:spacing w:before="120" w:after="120"/>
        <w:ind w:left="720"/>
        <w:jc w:val="both"/>
        <w:rPr>
          <w:rFonts w:ascii="Arial" w:hAnsi="Arial" w:cs="Arial"/>
          <w:color w:val="000000" w:themeColor="text1"/>
          <w:sz w:val="24"/>
          <w:szCs w:val="24"/>
        </w:rPr>
      </w:pPr>
      <w:r w:rsidRPr="00A70CEB">
        <w:rPr>
          <w:rFonts w:ascii="Arial" w:hAnsi="Arial" w:cs="Arial"/>
          <w:color w:val="000000" w:themeColor="text1"/>
          <w:sz w:val="24"/>
          <w:szCs w:val="24"/>
        </w:rPr>
        <w:t xml:space="preserve">Par ailleurs, la profession souligne les risques d’utiliser certaines expressions qui prônent le partage des données sans garde-fous. Ainsi le terme « droit d’accès » devrait être remplacé par le terme « conditions d’accès » qui implique une notion de contrat et de rémunération. Le droit d’accès pourrait être considéré comme un dû, tandis que les conditions d’accès sont sous-tendues par une contractualisation, en tant que rémunération d’un service. </w:t>
      </w:r>
    </w:p>
    <w:p w14:paraId="0E0D9892" w14:textId="77777777" w:rsidR="00A70CEB" w:rsidRPr="00A70CEB" w:rsidRDefault="00A70CEB" w:rsidP="00A70CEB">
      <w:pPr>
        <w:ind w:left="720"/>
        <w:jc w:val="both"/>
        <w:rPr>
          <w:rFonts w:ascii="Arial" w:eastAsiaTheme="minorHAnsi" w:hAnsi="Arial" w:cs="Arial"/>
          <w:color w:val="C00000"/>
          <w:sz w:val="24"/>
          <w:szCs w:val="24"/>
          <w:lang w:eastAsia="en-US"/>
        </w:rPr>
      </w:pPr>
    </w:p>
    <w:p w14:paraId="3AA2D788" w14:textId="258893FF" w:rsidR="00A70CEB" w:rsidRPr="00A70CEB" w:rsidRDefault="00A70CEB" w:rsidP="00A70CEB">
      <w:pPr>
        <w:pStyle w:val="Paragraphedeliste"/>
        <w:numPr>
          <w:ilvl w:val="0"/>
          <w:numId w:val="16"/>
        </w:numPr>
        <w:ind w:left="720" w:hanging="426"/>
        <w:jc w:val="both"/>
        <w:rPr>
          <w:rFonts w:ascii="Arial" w:eastAsia="Calibri" w:hAnsi="Arial" w:cs="Arial"/>
          <w:b/>
          <w:bCs/>
          <w:sz w:val="24"/>
          <w:szCs w:val="24"/>
          <w:lang w:eastAsia="fr-FR"/>
        </w:rPr>
      </w:pPr>
      <w:r w:rsidRPr="00A70CEB">
        <w:rPr>
          <w:rFonts w:ascii="Arial" w:hAnsi="Arial" w:cs="Arial"/>
          <w:b/>
          <w:bCs/>
          <w:sz w:val="24"/>
          <w:szCs w:val="24"/>
        </w:rPr>
        <w:t>Le partage tel qu’évoqué dans les cas d’usages présentés dans le questionnaire pourrait aller à l’encontre des intérêts d</w:t>
      </w:r>
      <w:r w:rsidR="00140DAB">
        <w:rPr>
          <w:rFonts w:ascii="Arial" w:hAnsi="Arial" w:cs="Arial"/>
          <w:b/>
          <w:bCs/>
          <w:sz w:val="24"/>
          <w:szCs w:val="24"/>
        </w:rPr>
        <w:t>es</w:t>
      </w:r>
      <w:r w:rsidRPr="00A70CEB">
        <w:rPr>
          <w:rFonts w:ascii="Arial" w:hAnsi="Arial" w:cs="Arial"/>
          <w:b/>
          <w:bCs/>
          <w:sz w:val="24"/>
          <w:szCs w:val="24"/>
        </w:rPr>
        <w:t xml:space="preserve"> client</w:t>
      </w:r>
      <w:r w:rsidR="00140DAB">
        <w:rPr>
          <w:rFonts w:ascii="Arial" w:hAnsi="Arial" w:cs="Arial"/>
          <w:b/>
          <w:bCs/>
          <w:sz w:val="24"/>
          <w:szCs w:val="24"/>
        </w:rPr>
        <w:t>s</w:t>
      </w:r>
    </w:p>
    <w:p w14:paraId="1433429E" w14:textId="77777777" w:rsidR="00A70CEB" w:rsidRPr="00A70CEB" w:rsidRDefault="00A70CEB" w:rsidP="00A70CEB">
      <w:pPr>
        <w:ind w:left="720"/>
        <w:jc w:val="both"/>
        <w:rPr>
          <w:rFonts w:ascii="Arial" w:eastAsiaTheme="minorHAnsi" w:hAnsi="Arial" w:cs="Arial"/>
          <w:b/>
          <w:bCs/>
          <w:color w:val="000000" w:themeColor="text1"/>
          <w:sz w:val="24"/>
          <w:szCs w:val="24"/>
          <w:lang w:eastAsia="en-US"/>
        </w:rPr>
      </w:pPr>
    </w:p>
    <w:p w14:paraId="0D8F6272" w14:textId="77777777" w:rsidR="00A70CEB" w:rsidRPr="00A70CEB" w:rsidRDefault="00A70CEB" w:rsidP="00A70CEB">
      <w:pPr>
        <w:ind w:left="720"/>
        <w:jc w:val="both"/>
        <w:rPr>
          <w:rFonts w:ascii="Arial" w:eastAsiaTheme="minorHAnsi" w:hAnsi="Arial" w:cs="Arial"/>
          <w:color w:val="000000" w:themeColor="text1"/>
          <w:sz w:val="24"/>
          <w:szCs w:val="24"/>
          <w:lang w:eastAsia="en-US"/>
        </w:rPr>
      </w:pPr>
      <w:r w:rsidRPr="00A70CEB">
        <w:rPr>
          <w:rFonts w:ascii="Arial" w:eastAsiaTheme="minorHAnsi" w:hAnsi="Arial" w:cs="Arial"/>
          <w:b/>
          <w:bCs/>
          <w:color w:val="000000" w:themeColor="text1"/>
          <w:sz w:val="24"/>
          <w:szCs w:val="24"/>
          <w:lang w:eastAsia="en-US"/>
        </w:rPr>
        <w:t>Concernant le partage des données de profils client sur l’épargne</w:t>
      </w:r>
      <w:r w:rsidRPr="00A70CEB">
        <w:rPr>
          <w:rFonts w:ascii="Arial" w:eastAsiaTheme="minorHAnsi" w:hAnsi="Arial" w:cs="Arial"/>
          <w:color w:val="000000" w:themeColor="text1"/>
          <w:sz w:val="24"/>
          <w:szCs w:val="24"/>
          <w:lang w:eastAsia="en-US"/>
        </w:rPr>
        <w:t xml:space="preserve"> à des tiers, la FBF souligne que les profils clients peuvent intégrer des critères de relation d’affaires ou de stratégie concurrentielle. Ils peuvent aussi intégrer des analyses de risque spécifiques à l’institution financière qui a réalisé le profil dans un contexte spécifique qui ne peut pas être transféré à un tiers. Par ailleurs, ce partage à des tiers peut aller à l’encontre des intérêts des clients : une standardisation abusive des besoins qui varie constamment tout au long de la vie du client et qui pourrait limiter /exclure l’accès des clients à des produits bancaires/financiers.</w:t>
      </w:r>
    </w:p>
    <w:p w14:paraId="50C067FC" w14:textId="77777777" w:rsidR="00A70CEB" w:rsidRPr="00A70CEB" w:rsidRDefault="00A70CEB" w:rsidP="00A70CEB">
      <w:pPr>
        <w:ind w:left="720"/>
        <w:jc w:val="both"/>
        <w:rPr>
          <w:rFonts w:ascii="Arial" w:eastAsiaTheme="minorHAnsi" w:hAnsi="Arial" w:cs="Arial"/>
          <w:sz w:val="24"/>
          <w:szCs w:val="24"/>
          <w:lang w:eastAsia="en-US"/>
        </w:rPr>
      </w:pPr>
      <w:r w:rsidRPr="00A70CEB">
        <w:rPr>
          <w:rFonts w:ascii="Arial" w:eastAsiaTheme="minorHAnsi" w:hAnsi="Arial" w:cs="Arial"/>
          <w:sz w:val="24"/>
          <w:szCs w:val="24"/>
          <w:lang w:eastAsia="en-US"/>
        </w:rPr>
        <w:t xml:space="preserve">A noter que lors de la réponse à la consultation « express » de la Commission dans le cadre des réflexions sur la </w:t>
      </w:r>
      <w:proofErr w:type="spellStart"/>
      <w:r w:rsidRPr="00A70CEB">
        <w:rPr>
          <w:rFonts w:ascii="Arial" w:eastAsiaTheme="minorHAnsi" w:hAnsi="Arial" w:cs="Arial"/>
          <w:sz w:val="24"/>
          <w:szCs w:val="24"/>
          <w:lang w:eastAsia="en-US"/>
        </w:rPr>
        <w:t>Retail</w:t>
      </w:r>
      <w:proofErr w:type="spellEnd"/>
      <w:r w:rsidRPr="00A70CEB">
        <w:rPr>
          <w:rFonts w:ascii="Arial" w:eastAsiaTheme="minorHAnsi" w:hAnsi="Arial" w:cs="Arial"/>
          <w:sz w:val="24"/>
          <w:szCs w:val="24"/>
          <w:lang w:eastAsia="en-US"/>
        </w:rPr>
        <w:t xml:space="preserve"> </w:t>
      </w:r>
      <w:proofErr w:type="spellStart"/>
      <w:r w:rsidRPr="00A70CEB">
        <w:rPr>
          <w:rFonts w:ascii="Arial" w:eastAsiaTheme="minorHAnsi" w:hAnsi="Arial" w:cs="Arial"/>
          <w:sz w:val="24"/>
          <w:szCs w:val="24"/>
          <w:lang w:eastAsia="en-US"/>
        </w:rPr>
        <w:t>Investor</w:t>
      </w:r>
      <w:proofErr w:type="spellEnd"/>
      <w:r w:rsidRPr="00A70CEB">
        <w:rPr>
          <w:rFonts w:ascii="Arial" w:eastAsiaTheme="minorHAnsi" w:hAnsi="Arial" w:cs="Arial"/>
          <w:sz w:val="24"/>
          <w:szCs w:val="24"/>
          <w:lang w:eastAsia="en-US"/>
        </w:rPr>
        <w:t xml:space="preserve"> </w:t>
      </w:r>
      <w:proofErr w:type="spellStart"/>
      <w:r w:rsidRPr="00A70CEB">
        <w:rPr>
          <w:rFonts w:ascii="Arial" w:eastAsiaTheme="minorHAnsi" w:hAnsi="Arial" w:cs="Arial"/>
          <w:sz w:val="24"/>
          <w:szCs w:val="24"/>
          <w:lang w:eastAsia="en-US"/>
        </w:rPr>
        <w:t>Strategy</w:t>
      </w:r>
      <w:proofErr w:type="spellEnd"/>
      <w:r w:rsidRPr="00A70CEB">
        <w:rPr>
          <w:rFonts w:ascii="Arial" w:eastAsiaTheme="minorHAnsi" w:hAnsi="Arial" w:cs="Arial"/>
          <w:sz w:val="24"/>
          <w:szCs w:val="24"/>
          <w:lang w:eastAsia="en-US"/>
        </w:rPr>
        <w:t xml:space="preserve">, la Profession a déjà indiqué qu’elle était défavorable à la portabilité des profils clients sur l’épargne. </w:t>
      </w:r>
    </w:p>
    <w:p w14:paraId="00620DB6" w14:textId="77777777" w:rsidR="00A70CEB" w:rsidRPr="00A70CEB" w:rsidRDefault="00A70CEB" w:rsidP="00A70CEB">
      <w:pPr>
        <w:ind w:left="720"/>
        <w:jc w:val="both"/>
        <w:rPr>
          <w:rFonts w:ascii="Arial" w:eastAsiaTheme="minorHAnsi" w:hAnsi="Arial" w:cs="Arial"/>
          <w:sz w:val="24"/>
          <w:szCs w:val="24"/>
          <w:lang w:eastAsia="en-US"/>
        </w:rPr>
      </w:pPr>
    </w:p>
    <w:p w14:paraId="4CB4A674" w14:textId="77777777" w:rsidR="00A70CEB" w:rsidRPr="00A70CEB" w:rsidRDefault="00A70CEB" w:rsidP="00A70CEB">
      <w:pPr>
        <w:pStyle w:val="Commentaire"/>
        <w:spacing w:after="120"/>
        <w:ind w:left="720"/>
        <w:jc w:val="both"/>
        <w:rPr>
          <w:rFonts w:ascii="Arial" w:eastAsiaTheme="minorHAnsi" w:hAnsi="Arial" w:cs="Arial"/>
          <w:color w:val="000000" w:themeColor="text1"/>
          <w:sz w:val="24"/>
          <w:szCs w:val="24"/>
          <w:lang w:eastAsia="en-US"/>
        </w:rPr>
      </w:pPr>
      <w:r w:rsidRPr="00A70CEB">
        <w:rPr>
          <w:rFonts w:ascii="Arial" w:eastAsiaTheme="minorHAnsi" w:hAnsi="Arial" w:cs="Arial"/>
          <w:b/>
          <w:bCs/>
          <w:color w:val="000000" w:themeColor="text1"/>
          <w:sz w:val="24"/>
          <w:szCs w:val="24"/>
          <w:lang w:eastAsia="en-US"/>
        </w:rPr>
        <w:t>Concernant le partage de données sur la solvabilité de PME</w:t>
      </w:r>
      <w:r w:rsidRPr="00A70CEB">
        <w:rPr>
          <w:rFonts w:ascii="Arial" w:eastAsiaTheme="minorHAnsi" w:hAnsi="Arial" w:cs="Arial"/>
          <w:color w:val="000000" w:themeColor="text1"/>
          <w:sz w:val="24"/>
          <w:szCs w:val="24"/>
          <w:lang w:eastAsia="en-US"/>
        </w:rPr>
        <w:t xml:space="preserve">, l’avis de la FBF est plus nuancé dans la mesure où les pratiques existent déjà en raison d’exigences réglementaires, mais une banque ne peut pas se fier uniquement à l’analyse d’une autre institution pour prendre une décision. Chaque banque gère les aspects risques avec ses propres critères et favoriser le partage de données pourrait être préjudiciable aux clients. </w:t>
      </w:r>
    </w:p>
    <w:p w14:paraId="496297D8" w14:textId="77777777" w:rsidR="00A70CEB" w:rsidRPr="00A70CEB" w:rsidRDefault="00A70CEB" w:rsidP="00A70CEB">
      <w:pPr>
        <w:spacing w:line="280" w:lineRule="exact"/>
        <w:ind w:left="720"/>
        <w:jc w:val="both"/>
        <w:rPr>
          <w:rFonts w:ascii="Arial" w:hAnsi="Arial" w:cs="Arial"/>
          <w:b/>
          <w:bCs/>
          <w:color w:val="000000" w:themeColor="text1"/>
          <w:sz w:val="24"/>
          <w:szCs w:val="24"/>
        </w:rPr>
      </w:pPr>
    </w:p>
    <w:p w14:paraId="66680A50" w14:textId="77777777" w:rsidR="00A70CEB" w:rsidRPr="00A70CEB" w:rsidRDefault="00A70CEB" w:rsidP="00A70CEB">
      <w:pPr>
        <w:pStyle w:val="Paragraphedeliste"/>
        <w:numPr>
          <w:ilvl w:val="0"/>
          <w:numId w:val="16"/>
        </w:numPr>
        <w:shd w:val="clear" w:color="auto" w:fill="FDFDFD"/>
        <w:spacing w:line="280" w:lineRule="exact"/>
        <w:ind w:left="720" w:hanging="426"/>
        <w:jc w:val="both"/>
        <w:rPr>
          <w:rFonts w:ascii="Arial" w:hAnsi="Arial" w:cs="Arial"/>
          <w:sz w:val="24"/>
          <w:szCs w:val="24"/>
        </w:rPr>
      </w:pPr>
      <w:r w:rsidRPr="00A70CEB">
        <w:rPr>
          <w:rFonts w:ascii="Arial" w:hAnsi="Arial" w:cs="Arial"/>
          <w:b/>
          <w:bCs/>
          <w:sz w:val="24"/>
          <w:szCs w:val="24"/>
        </w:rPr>
        <w:t xml:space="preserve">Le partage de données est conditionné par la confiance accordée par les clients, au travers du recueil de leur consentement, de la protection de leurs données personnelles et d’une maîtrise robuste des risques cyber </w:t>
      </w:r>
    </w:p>
    <w:p w14:paraId="40609EE4" w14:textId="77777777" w:rsidR="00A70CEB" w:rsidRPr="00A70CEB" w:rsidRDefault="00A70CEB" w:rsidP="00A70CEB">
      <w:pPr>
        <w:shd w:val="clear" w:color="auto" w:fill="FDFDFD"/>
        <w:spacing w:line="280" w:lineRule="exact"/>
        <w:ind w:left="720"/>
        <w:jc w:val="both"/>
        <w:rPr>
          <w:rFonts w:ascii="Arial" w:hAnsi="Arial" w:cs="Arial"/>
          <w:color w:val="000000" w:themeColor="text1"/>
          <w:sz w:val="24"/>
          <w:szCs w:val="24"/>
        </w:rPr>
      </w:pPr>
    </w:p>
    <w:p w14:paraId="55BC6605" w14:textId="77777777" w:rsidR="00A70CEB" w:rsidRPr="00A70CEB" w:rsidRDefault="00A70CEB" w:rsidP="00A70CEB">
      <w:pPr>
        <w:shd w:val="clear" w:color="auto" w:fill="FDFDFD"/>
        <w:ind w:left="720"/>
        <w:jc w:val="both"/>
        <w:rPr>
          <w:rFonts w:ascii="Arial" w:hAnsi="Arial" w:cs="Arial"/>
          <w:color w:val="000000" w:themeColor="text1"/>
          <w:sz w:val="24"/>
          <w:szCs w:val="24"/>
        </w:rPr>
      </w:pPr>
      <w:r w:rsidRPr="00A70CEB">
        <w:rPr>
          <w:rFonts w:ascii="Arial" w:hAnsi="Arial" w:cs="Arial"/>
          <w:color w:val="000000" w:themeColor="text1"/>
          <w:sz w:val="24"/>
          <w:szCs w:val="24"/>
        </w:rPr>
        <w:t xml:space="preserve">Le manque de confiance et d’autonomie des consommateurs freine l’accord des clients sur l’accès aux données, notamment en raison de piratages de données, du risque d’utilisation abusive des données et de la criminalité financière. Or, l’intérêt réel des clients pour de tels échanges ne doit pas être surestimé à la lumière des résultats plutôt décevants consécutifs à la DSP 2, ni des risques de fraude ou de confidentialité, mais aussi des risques liés à la cybersécurité. </w:t>
      </w:r>
    </w:p>
    <w:p w14:paraId="37A2BBD0" w14:textId="77777777" w:rsidR="00A70CEB" w:rsidRPr="00A70CEB" w:rsidRDefault="00A70CEB" w:rsidP="00A70CEB">
      <w:pPr>
        <w:shd w:val="clear" w:color="auto" w:fill="FDFDFD"/>
        <w:spacing w:line="280" w:lineRule="exact"/>
        <w:ind w:left="720"/>
        <w:jc w:val="both"/>
        <w:rPr>
          <w:rFonts w:ascii="Arial" w:hAnsi="Arial" w:cs="Arial"/>
          <w:color w:val="C00000"/>
          <w:sz w:val="24"/>
          <w:szCs w:val="24"/>
        </w:rPr>
      </w:pPr>
    </w:p>
    <w:p w14:paraId="790BE6E9" w14:textId="77777777" w:rsidR="00A70CEB" w:rsidRPr="00A70CEB" w:rsidRDefault="00A70CEB" w:rsidP="00A70CEB">
      <w:pPr>
        <w:shd w:val="clear" w:color="auto" w:fill="FDFDFD"/>
        <w:ind w:left="720"/>
        <w:jc w:val="both"/>
        <w:rPr>
          <w:rFonts w:ascii="Arial" w:hAnsi="Arial" w:cs="Arial"/>
          <w:color w:val="000000" w:themeColor="text1"/>
          <w:sz w:val="24"/>
          <w:szCs w:val="24"/>
        </w:rPr>
      </w:pPr>
      <w:r w:rsidRPr="00A70CEB">
        <w:rPr>
          <w:rFonts w:ascii="Arial" w:hAnsi="Arial" w:cs="Arial"/>
          <w:color w:val="000000" w:themeColor="text1"/>
          <w:sz w:val="24"/>
          <w:szCs w:val="24"/>
        </w:rPr>
        <w:t>La profession estime que ce modèle de partage basé sur la portabilité n’est pas le bon car il n’est pas protecteur pour le client en raison de l’absence de contrat entre le détenteur de données et l’utilisateur de données (pas de partage clair de responsabilités…).</w:t>
      </w:r>
    </w:p>
    <w:p w14:paraId="58A67C5E" w14:textId="77777777" w:rsidR="00A70CEB" w:rsidRPr="00A70CEB" w:rsidRDefault="00A70CEB" w:rsidP="00A70CEB">
      <w:pPr>
        <w:shd w:val="clear" w:color="auto" w:fill="FDFDFD"/>
        <w:spacing w:line="280" w:lineRule="exact"/>
        <w:ind w:left="720"/>
        <w:jc w:val="both"/>
        <w:rPr>
          <w:rFonts w:ascii="Arial" w:hAnsi="Arial" w:cs="Arial"/>
          <w:sz w:val="24"/>
          <w:szCs w:val="24"/>
        </w:rPr>
      </w:pPr>
    </w:p>
    <w:p w14:paraId="05FE0894" w14:textId="77777777" w:rsidR="00A70CEB" w:rsidRPr="00A70CEB" w:rsidRDefault="00A70CEB" w:rsidP="00A70CEB">
      <w:pPr>
        <w:shd w:val="clear" w:color="auto" w:fill="FDFDFD"/>
        <w:ind w:left="720"/>
        <w:jc w:val="both"/>
        <w:rPr>
          <w:rFonts w:ascii="Arial" w:hAnsi="Arial" w:cs="Arial"/>
          <w:color w:val="000000" w:themeColor="text1"/>
          <w:sz w:val="24"/>
          <w:szCs w:val="24"/>
        </w:rPr>
      </w:pPr>
      <w:r w:rsidRPr="00A70CEB">
        <w:rPr>
          <w:rFonts w:ascii="Arial" w:hAnsi="Arial" w:cs="Arial"/>
          <w:color w:val="000000" w:themeColor="text1"/>
          <w:sz w:val="24"/>
          <w:szCs w:val="24"/>
        </w:rPr>
        <w:t>Par conséquent, et pour des raisons de conditions de concurrence équitables, les destinataires des données devraient être en mesure de fournir efficacement des services et une valeur ajoutée et donc de disposer des accords réglementaires nécessaires à cet égard.</w:t>
      </w:r>
      <w:bookmarkStart w:id="2" w:name="_Hlk105511773"/>
      <w:bookmarkEnd w:id="2"/>
      <w:r w:rsidRPr="00A70CEB">
        <w:rPr>
          <w:rFonts w:ascii="Arial" w:hAnsi="Arial" w:cs="Arial"/>
          <w:color w:val="000000" w:themeColor="text1"/>
          <w:sz w:val="24"/>
          <w:szCs w:val="24"/>
        </w:rPr>
        <w:t xml:space="preserve"> </w:t>
      </w:r>
    </w:p>
    <w:p w14:paraId="7D9BD4DA" w14:textId="77777777" w:rsidR="00A70CEB" w:rsidRPr="00A70CEB" w:rsidRDefault="00A70CEB" w:rsidP="00A70CEB">
      <w:pPr>
        <w:shd w:val="clear" w:color="auto" w:fill="FDFDFD"/>
        <w:ind w:left="720"/>
        <w:jc w:val="both"/>
        <w:rPr>
          <w:rFonts w:ascii="Arial" w:hAnsi="Arial" w:cs="Arial"/>
          <w:color w:val="000000" w:themeColor="text1"/>
          <w:sz w:val="24"/>
          <w:szCs w:val="24"/>
        </w:rPr>
      </w:pPr>
    </w:p>
    <w:p w14:paraId="5E41AD26" w14:textId="77777777" w:rsidR="00A70CEB" w:rsidRPr="00A70CEB" w:rsidRDefault="00A70CEB" w:rsidP="00A70CEB">
      <w:pPr>
        <w:shd w:val="clear" w:color="auto" w:fill="FDFDFD"/>
        <w:ind w:left="720"/>
        <w:jc w:val="both"/>
        <w:rPr>
          <w:rFonts w:ascii="Arial" w:hAnsi="Arial" w:cs="Arial"/>
          <w:color w:val="000000" w:themeColor="text1"/>
          <w:sz w:val="24"/>
          <w:szCs w:val="24"/>
        </w:rPr>
      </w:pPr>
      <w:r w:rsidRPr="00A70CEB">
        <w:rPr>
          <w:rFonts w:ascii="Arial" w:hAnsi="Arial" w:cs="Arial"/>
          <w:color w:val="000000" w:themeColor="text1"/>
          <w:sz w:val="24"/>
          <w:szCs w:val="24"/>
        </w:rPr>
        <w:t xml:space="preserve">La profession demandera des </w:t>
      </w:r>
      <w:r w:rsidRPr="00A70CEB">
        <w:rPr>
          <w:rFonts w:ascii="Arial" w:hAnsi="Arial" w:cs="Arial"/>
          <w:b/>
          <w:bCs/>
          <w:color w:val="000000" w:themeColor="text1"/>
          <w:sz w:val="24"/>
          <w:szCs w:val="24"/>
        </w:rPr>
        <w:t>clarifications supplémentaires des responsabilités de tous les participants au cadre Open Finance</w:t>
      </w:r>
      <w:r w:rsidRPr="00A70CEB">
        <w:rPr>
          <w:rFonts w:ascii="Arial" w:hAnsi="Arial" w:cs="Arial"/>
          <w:color w:val="000000" w:themeColor="text1"/>
          <w:sz w:val="24"/>
          <w:szCs w:val="24"/>
        </w:rPr>
        <w:t xml:space="preserve">, en particulier en ce qui concerne le consentement et le traitement </w:t>
      </w:r>
      <w:r w:rsidRPr="00A70CEB">
        <w:rPr>
          <w:rFonts w:ascii="Arial" w:hAnsi="Arial" w:cs="Arial"/>
          <w:sz w:val="24"/>
          <w:szCs w:val="24"/>
        </w:rPr>
        <w:t xml:space="preserve">des données, et l’application des dispositions du RGPD </w:t>
      </w:r>
      <w:r w:rsidRPr="00A70CEB">
        <w:rPr>
          <w:rFonts w:ascii="Arial" w:hAnsi="Arial" w:cs="Arial"/>
          <w:color w:val="000000" w:themeColor="text1"/>
          <w:sz w:val="24"/>
          <w:szCs w:val="24"/>
        </w:rPr>
        <w:t>afin de contribuer à assurer un niveau élevé de protection des consommateurs.</w:t>
      </w:r>
    </w:p>
    <w:p w14:paraId="189C71AF" w14:textId="77777777" w:rsidR="00A70CEB" w:rsidRPr="00A70CEB" w:rsidRDefault="00A70CEB" w:rsidP="00A70CEB">
      <w:pPr>
        <w:spacing w:line="280" w:lineRule="exact"/>
        <w:ind w:left="720"/>
        <w:jc w:val="both"/>
        <w:rPr>
          <w:rFonts w:ascii="Arial" w:hAnsi="Arial" w:cs="Arial"/>
          <w:color w:val="000000" w:themeColor="text1"/>
          <w:sz w:val="24"/>
          <w:szCs w:val="24"/>
        </w:rPr>
      </w:pPr>
    </w:p>
    <w:p w14:paraId="44C2091C" w14:textId="77777777" w:rsidR="00A70CEB" w:rsidRPr="00A70CEB" w:rsidRDefault="00A70CEB" w:rsidP="00A70CEB">
      <w:pPr>
        <w:pStyle w:val="Paragraphedeliste"/>
        <w:numPr>
          <w:ilvl w:val="0"/>
          <w:numId w:val="16"/>
        </w:numPr>
        <w:spacing w:before="120" w:after="120"/>
        <w:ind w:left="720" w:hanging="426"/>
        <w:jc w:val="both"/>
        <w:rPr>
          <w:rFonts w:ascii="Arial" w:hAnsi="Arial" w:cs="Arial"/>
          <w:b/>
          <w:bCs/>
          <w:color w:val="000000" w:themeColor="text1"/>
          <w:sz w:val="24"/>
          <w:szCs w:val="24"/>
        </w:rPr>
      </w:pPr>
      <w:r w:rsidRPr="00A70CEB">
        <w:rPr>
          <w:rFonts w:ascii="Arial" w:hAnsi="Arial" w:cs="Arial"/>
          <w:b/>
          <w:bCs/>
          <w:color w:val="000000" w:themeColor="text1"/>
          <w:sz w:val="24"/>
          <w:szCs w:val="24"/>
        </w:rPr>
        <w:t>Les aspects économiques du partage des données doivent conjuguer une approche Data Value et financement des infrastructures techniques</w:t>
      </w:r>
    </w:p>
    <w:p w14:paraId="62E45C66" w14:textId="77777777" w:rsidR="00A70CEB" w:rsidRPr="00A70CEB" w:rsidRDefault="00A70CEB" w:rsidP="00A70CEB">
      <w:pPr>
        <w:spacing w:before="240"/>
        <w:ind w:left="720"/>
        <w:jc w:val="both"/>
        <w:rPr>
          <w:rFonts w:ascii="Arial" w:hAnsi="Arial" w:cs="Arial"/>
          <w:sz w:val="24"/>
          <w:szCs w:val="24"/>
        </w:rPr>
      </w:pPr>
      <w:r w:rsidRPr="00A70CEB">
        <w:rPr>
          <w:rFonts w:ascii="Arial" w:hAnsi="Arial" w:cs="Arial"/>
          <w:color w:val="000000" w:themeColor="text1"/>
          <w:sz w:val="24"/>
          <w:szCs w:val="24"/>
        </w:rPr>
        <w:t xml:space="preserve">La mise à disposition de données, a fortiori en temps réel (exemple des algorithmes de détection de fraudes), nécessiterait pour les banques des aménagements des infrastructures techniques, la création d’API, la mise en place de dispositifs de cyber sécurité… Ces investissements doivent donc être amortis, sous peine de ne pas être en mesure de financer </w:t>
      </w:r>
      <w:r w:rsidRPr="00A70CEB">
        <w:rPr>
          <w:rFonts w:ascii="Arial" w:hAnsi="Arial" w:cs="Arial"/>
          <w:sz w:val="24"/>
          <w:szCs w:val="24"/>
        </w:rPr>
        <w:t xml:space="preserve">ensuite de futures innovations. Aussi, la FBF souligne que le développement de ces infrastructures techniques et de flux de données en masse qu’impliquerait Open Finance soulève la question de l’empreinte carbone. </w:t>
      </w:r>
    </w:p>
    <w:p w14:paraId="6DB99E1A" w14:textId="77777777" w:rsidR="00A70CEB" w:rsidRPr="00A70CEB" w:rsidRDefault="00A70CEB" w:rsidP="00A70CEB">
      <w:pPr>
        <w:ind w:left="720"/>
        <w:jc w:val="both"/>
        <w:rPr>
          <w:rFonts w:ascii="Arial" w:hAnsi="Arial" w:cs="Arial"/>
          <w:sz w:val="24"/>
          <w:szCs w:val="24"/>
        </w:rPr>
      </w:pPr>
    </w:p>
    <w:p w14:paraId="04F33E9D" w14:textId="77777777" w:rsidR="00A70CEB" w:rsidRPr="00A70CEB" w:rsidRDefault="00A70CEB" w:rsidP="00A70CEB">
      <w:pPr>
        <w:pStyle w:val="Commentaire"/>
        <w:spacing w:after="120"/>
        <w:ind w:left="720"/>
        <w:jc w:val="both"/>
        <w:rPr>
          <w:rFonts w:ascii="Arial" w:hAnsi="Arial" w:cs="Arial"/>
          <w:color w:val="000000" w:themeColor="text1"/>
          <w:sz w:val="24"/>
          <w:szCs w:val="24"/>
        </w:rPr>
      </w:pPr>
      <w:r w:rsidRPr="00A70CEB">
        <w:rPr>
          <w:rFonts w:ascii="Arial" w:hAnsi="Arial" w:cs="Arial"/>
          <w:color w:val="000000" w:themeColor="text1"/>
          <w:sz w:val="24"/>
          <w:szCs w:val="24"/>
        </w:rPr>
        <w:t xml:space="preserve">Compte tenu de l’importance stratégique des données, et dans la continuité de la position sur Data </w:t>
      </w:r>
      <w:proofErr w:type="spellStart"/>
      <w:r w:rsidRPr="00A70CEB">
        <w:rPr>
          <w:rFonts w:ascii="Arial" w:hAnsi="Arial" w:cs="Arial"/>
          <w:color w:val="000000" w:themeColor="text1"/>
          <w:sz w:val="24"/>
          <w:szCs w:val="24"/>
        </w:rPr>
        <w:t>Act</w:t>
      </w:r>
      <w:proofErr w:type="spellEnd"/>
      <w:r w:rsidRPr="00A70CEB">
        <w:rPr>
          <w:rFonts w:ascii="Arial" w:hAnsi="Arial" w:cs="Arial"/>
          <w:color w:val="000000" w:themeColor="text1"/>
          <w:sz w:val="24"/>
          <w:szCs w:val="24"/>
        </w:rPr>
        <w:t xml:space="preserve">, </w:t>
      </w:r>
      <w:r w:rsidRPr="00A70CEB">
        <w:rPr>
          <w:rFonts w:ascii="Arial" w:hAnsi="Arial" w:cs="Arial"/>
          <w:b/>
          <w:bCs/>
          <w:color w:val="000000" w:themeColor="text1"/>
          <w:sz w:val="24"/>
          <w:szCs w:val="24"/>
        </w:rPr>
        <w:t xml:space="preserve">la profession ne souhaite pas de réglementation sectorielle supplémentaire </w:t>
      </w:r>
      <w:r w:rsidRPr="00A70CEB">
        <w:rPr>
          <w:rFonts w:ascii="Arial" w:hAnsi="Arial" w:cs="Arial"/>
          <w:color w:val="000000" w:themeColor="text1"/>
          <w:sz w:val="24"/>
          <w:szCs w:val="24"/>
        </w:rPr>
        <w:t>: la FBF prône un système de compensation des coûts de mise à disposition dans le cadre d’une base contractuelle où les modalités de détermination de cette compensation devraient rester libres et compétitives (basé sur les coûts d’infrastructures). Sur ce point, il convient d’éviter que le client ait le sentiment que la banque vend ses données.</w:t>
      </w:r>
    </w:p>
    <w:p w14:paraId="02B5C78F" w14:textId="77777777" w:rsidR="00A70CEB" w:rsidRPr="00A70CEB" w:rsidRDefault="00A70CEB" w:rsidP="00A70CEB">
      <w:pPr>
        <w:spacing w:line="280" w:lineRule="exact"/>
        <w:ind w:left="720"/>
        <w:jc w:val="both"/>
        <w:rPr>
          <w:rFonts w:ascii="Arial" w:hAnsi="Arial" w:cs="Arial"/>
          <w:color w:val="000000" w:themeColor="text1"/>
          <w:sz w:val="24"/>
          <w:szCs w:val="24"/>
        </w:rPr>
      </w:pPr>
    </w:p>
    <w:p w14:paraId="12B5671C" w14:textId="77777777" w:rsidR="00A70CEB" w:rsidRPr="00A70CEB" w:rsidRDefault="00A70CEB" w:rsidP="00A70CEB">
      <w:pPr>
        <w:pStyle w:val="Paragraphedeliste"/>
        <w:numPr>
          <w:ilvl w:val="0"/>
          <w:numId w:val="16"/>
        </w:numPr>
        <w:ind w:left="720" w:hanging="426"/>
        <w:jc w:val="both"/>
        <w:rPr>
          <w:rFonts w:ascii="Arial" w:hAnsi="Arial" w:cs="Arial"/>
          <w:b/>
          <w:bCs/>
          <w:color w:val="000000" w:themeColor="text1"/>
          <w:sz w:val="24"/>
          <w:szCs w:val="24"/>
        </w:rPr>
      </w:pPr>
      <w:r w:rsidRPr="00A70CEB">
        <w:rPr>
          <w:rFonts w:ascii="Arial" w:hAnsi="Arial" w:cs="Arial"/>
          <w:b/>
          <w:bCs/>
          <w:color w:val="000000" w:themeColor="text1"/>
          <w:sz w:val="24"/>
          <w:szCs w:val="24"/>
        </w:rPr>
        <w:lastRenderedPageBreak/>
        <w:t>La Profession veut être associée à l’établissement de normes visant à favoriser l’interopérabilité.</w:t>
      </w:r>
    </w:p>
    <w:p w14:paraId="54414C74" w14:textId="77777777" w:rsidR="00A70CEB" w:rsidRPr="00A70CEB" w:rsidRDefault="00A70CEB" w:rsidP="00A70CEB">
      <w:pPr>
        <w:ind w:left="720"/>
        <w:jc w:val="both"/>
        <w:rPr>
          <w:rFonts w:ascii="Arial" w:hAnsi="Arial" w:cs="Arial"/>
          <w:color w:val="000000" w:themeColor="text1"/>
          <w:sz w:val="24"/>
          <w:szCs w:val="24"/>
        </w:rPr>
      </w:pPr>
    </w:p>
    <w:p w14:paraId="681EE038" w14:textId="77777777" w:rsidR="00A70CEB" w:rsidRPr="00A70CEB" w:rsidRDefault="00A70CEB" w:rsidP="00A70CEB">
      <w:pPr>
        <w:ind w:left="720"/>
        <w:jc w:val="both"/>
        <w:rPr>
          <w:rFonts w:ascii="Arial" w:hAnsi="Arial" w:cs="Arial"/>
          <w:color w:val="000000" w:themeColor="text1"/>
          <w:sz w:val="24"/>
          <w:szCs w:val="24"/>
        </w:rPr>
      </w:pPr>
      <w:r w:rsidRPr="00A70CEB">
        <w:rPr>
          <w:rFonts w:ascii="Arial" w:hAnsi="Arial" w:cs="Arial"/>
          <w:color w:val="000000" w:themeColor="text1"/>
          <w:sz w:val="24"/>
          <w:szCs w:val="24"/>
        </w:rPr>
        <w:t xml:space="preserve">Le Data </w:t>
      </w:r>
      <w:proofErr w:type="spellStart"/>
      <w:r w:rsidRPr="00A70CEB">
        <w:rPr>
          <w:rFonts w:ascii="Arial" w:hAnsi="Arial" w:cs="Arial"/>
          <w:color w:val="000000" w:themeColor="text1"/>
          <w:sz w:val="24"/>
          <w:szCs w:val="24"/>
        </w:rPr>
        <w:t>Act</w:t>
      </w:r>
      <w:proofErr w:type="spellEnd"/>
      <w:r w:rsidRPr="00A70CEB">
        <w:rPr>
          <w:rFonts w:ascii="Arial" w:hAnsi="Arial" w:cs="Arial"/>
          <w:color w:val="000000" w:themeColor="text1"/>
          <w:sz w:val="24"/>
          <w:szCs w:val="24"/>
        </w:rPr>
        <w:t xml:space="preserve"> comprend des dispositions sur l’interopérabilité ; le développement de l’interopérabilité intersectorielle est l’une des tâches du comité européen de l’innovation </w:t>
      </w:r>
      <w:r w:rsidRPr="00A70CEB">
        <w:rPr>
          <w:rFonts w:ascii="Arial" w:hAnsi="Arial" w:cs="Arial"/>
          <w:color w:val="000000" w:themeColor="text1"/>
          <w:sz w:val="24"/>
          <w:szCs w:val="24"/>
        </w:rPr>
        <w:footnoteReference w:id="2"/>
      </w:r>
      <w:r w:rsidRPr="00A70CEB">
        <w:rPr>
          <w:rFonts w:ascii="Arial" w:hAnsi="Arial" w:cs="Arial"/>
          <w:color w:val="000000" w:themeColor="text1"/>
          <w:sz w:val="24"/>
          <w:szCs w:val="24"/>
        </w:rPr>
        <w:t xml:space="preserve"> en matière de données en vertu de la loi sur la gouvernance des données. </w:t>
      </w:r>
    </w:p>
    <w:p w14:paraId="038CBBA2" w14:textId="77777777" w:rsidR="00A70CEB" w:rsidRPr="00A70CEB" w:rsidRDefault="00A70CEB" w:rsidP="00A70CEB">
      <w:pPr>
        <w:ind w:left="720"/>
        <w:jc w:val="both"/>
        <w:rPr>
          <w:rFonts w:ascii="Arial" w:hAnsi="Arial" w:cs="Arial"/>
          <w:b/>
          <w:bCs/>
          <w:sz w:val="24"/>
          <w:szCs w:val="24"/>
        </w:rPr>
      </w:pPr>
    </w:p>
    <w:p w14:paraId="4906EFEC" w14:textId="77777777" w:rsidR="00A70CEB" w:rsidRPr="00A70CEB" w:rsidRDefault="00A70CEB" w:rsidP="00A70CEB">
      <w:pPr>
        <w:pStyle w:val="Paragraphedeliste"/>
        <w:numPr>
          <w:ilvl w:val="0"/>
          <w:numId w:val="16"/>
        </w:numPr>
        <w:ind w:left="720" w:hanging="426"/>
        <w:jc w:val="both"/>
        <w:rPr>
          <w:rFonts w:ascii="Arial" w:hAnsi="Arial" w:cs="Arial"/>
          <w:b/>
          <w:bCs/>
          <w:sz w:val="24"/>
          <w:szCs w:val="24"/>
        </w:rPr>
      </w:pPr>
      <w:r w:rsidRPr="00A70CEB">
        <w:rPr>
          <w:rFonts w:ascii="Arial" w:hAnsi="Arial" w:cs="Arial"/>
          <w:b/>
          <w:bCs/>
          <w:sz w:val="24"/>
          <w:szCs w:val="24"/>
        </w:rPr>
        <w:t>L’élargissement du périmètre du partage des données pourrait avoir des impacts sur la souveraineté européenne</w:t>
      </w:r>
    </w:p>
    <w:p w14:paraId="2A2F01CF" w14:textId="77777777" w:rsidR="00A70CEB" w:rsidRPr="00A70CEB" w:rsidRDefault="00A70CEB" w:rsidP="00A70CEB">
      <w:pPr>
        <w:ind w:left="720"/>
        <w:jc w:val="both"/>
        <w:rPr>
          <w:rFonts w:ascii="Arial" w:hAnsi="Arial" w:cs="Arial"/>
          <w:sz w:val="24"/>
          <w:szCs w:val="24"/>
        </w:rPr>
      </w:pPr>
    </w:p>
    <w:p w14:paraId="68652A34" w14:textId="77777777" w:rsidR="00A70CEB" w:rsidRPr="00A70CEB" w:rsidRDefault="00A70CEB" w:rsidP="00A70CEB">
      <w:pPr>
        <w:spacing w:after="120"/>
        <w:ind w:left="720"/>
        <w:jc w:val="both"/>
        <w:rPr>
          <w:rFonts w:ascii="Arial" w:hAnsi="Arial" w:cs="Arial"/>
          <w:sz w:val="24"/>
          <w:szCs w:val="24"/>
        </w:rPr>
      </w:pPr>
      <w:r w:rsidRPr="00A70CEB">
        <w:rPr>
          <w:rFonts w:ascii="Arial" w:hAnsi="Arial" w:cs="Arial"/>
          <w:sz w:val="24"/>
          <w:szCs w:val="24"/>
        </w:rPr>
        <w:t xml:space="preserve">Il est utile de rappeler que bien que les banques ne soient pas concernées par le Digital </w:t>
      </w:r>
      <w:proofErr w:type="spellStart"/>
      <w:r w:rsidRPr="00A70CEB">
        <w:rPr>
          <w:rFonts w:ascii="Arial" w:hAnsi="Arial" w:cs="Arial"/>
          <w:sz w:val="24"/>
          <w:szCs w:val="24"/>
        </w:rPr>
        <w:t>Markets</w:t>
      </w:r>
      <w:proofErr w:type="spellEnd"/>
      <w:r w:rsidRPr="00A70CEB">
        <w:rPr>
          <w:rFonts w:ascii="Arial" w:hAnsi="Arial" w:cs="Arial"/>
          <w:sz w:val="24"/>
          <w:szCs w:val="24"/>
        </w:rPr>
        <w:t xml:space="preserve"> </w:t>
      </w:r>
      <w:proofErr w:type="spellStart"/>
      <w:r w:rsidRPr="00A70CEB">
        <w:rPr>
          <w:rFonts w:ascii="Arial" w:hAnsi="Arial" w:cs="Arial"/>
          <w:sz w:val="24"/>
          <w:szCs w:val="24"/>
        </w:rPr>
        <w:t>Act</w:t>
      </w:r>
      <w:proofErr w:type="spellEnd"/>
      <w:r w:rsidRPr="00A70CEB">
        <w:rPr>
          <w:rFonts w:ascii="Arial" w:hAnsi="Arial" w:cs="Arial"/>
          <w:sz w:val="24"/>
          <w:szCs w:val="24"/>
        </w:rPr>
        <w:t xml:space="preserve">, certaines obligations figurant dans les articles 5 et 6 concernent la portabilité, « gratuite » et en temps réel, des données métiers de grande qualité, agrégées et non agrégées, pourrait fragiliser la souveraineté européenne. </w:t>
      </w:r>
    </w:p>
    <w:p w14:paraId="121FAB17" w14:textId="0C10FC16" w:rsidR="00E42177" w:rsidRPr="00A70CEB" w:rsidRDefault="00E42177" w:rsidP="00A70CEB">
      <w:pPr>
        <w:spacing w:line="280" w:lineRule="exact"/>
        <w:ind w:left="-54"/>
        <w:jc w:val="both"/>
        <w:rPr>
          <w:rFonts w:ascii="Arial" w:hAnsi="Arial" w:cs="Arial"/>
          <w:b/>
          <w:bCs/>
          <w:color w:val="000000" w:themeColor="text1"/>
        </w:rPr>
      </w:pPr>
    </w:p>
    <w:bookmarkEnd w:id="1"/>
    <w:p w14:paraId="281B4DA6" w14:textId="77777777" w:rsidR="00F064BD" w:rsidRPr="00A70CEB" w:rsidRDefault="00F064BD" w:rsidP="00A70CEB">
      <w:pPr>
        <w:spacing w:line="280" w:lineRule="exact"/>
        <w:jc w:val="both"/>
        <w:rPr>
          <w:rFonts w:ascii="Arial" w:hAnsi="Arial" w:cs="Arial"/>
          <w:color w:val="000000" w:themeColor="text1"/>
        </w:rPr>
      </w:pPr>
    </w:p>
    <w:sectPr w:rsidR="00F064BD" w:rsidRPr="00A70CEB" w:rsidSect="006C4E36">
      <w:headerReference w:type="default" r:id="rId14"/>
      <w:pgSz w:w="11906" w:h="16838" w:code="9"/>
      <w:pgMar w:top="1701" w:right="1418" w:bottom="1418" w:left="1418" w:header="567"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D1B83" w14:textId="77777777" w:rsidR="000A4F52" w:rsidRDefault="000A4F52">
      <w:r>
        <w:separator/>
      </w:r>
    </w:p>
  </w:endnote>
  <w:endnote w:type="continuationSeparator" w:id="0">
    <w:p w14:paraId="2C67FEF4" w14:textId="77777777" w:rsidR="000A4F52" w:rsidRDefault="000A4F52">
      <w:r>
        <w:continuationSeparator/>
      </w:r>
    </w:p>
  </w:endnote>
  <w:endnote w:type="continuationNotice" w:id="1">
    <w:p w14:paraId="72FC09E7" w14:textId="77777777" w:rsidR="000A4F52" w:rsidRDefault="000A4F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98CA4" w14:textId="77777777" w:rsidR="000A4F52" w:rsidRDefault="000A4F52">
      <w:r>
        <w:separator/>
      </w:r>
    </w:p>
  </w:footnote>
  <w:footnote w:type="continuationSeparator" w:id="0">
    <w:p w14:paraId="644C0C9A" w14:textId="77777777" w:rsidR="000A4F52" w:rsidRDefault="000A4F52">
      <w:r>
        <w:continuationSeparator/>
      </w:r>
    </w:p>
  </w:footnote>
  <w:footnote w:type="continuationNotice" w:id="1">
    <w:p w14:paraId="29C89E36" w14:textId="77777777" w:rsidR="000A4F52" w:rsidRDefault="000A4F52"/>
  </w:footnote>
  <w:footnote w:id="2">
    <w:p w14:paraId="02A3A0C0" w14:textId="77777777" w:rsidR="00A70CEB" w:rsidRDefault="00A70CEB" w:rsidP="00A70CEB">
      <w:pPr>
        <w:pStyle w:val="Notedebasdepage"/>
        <w:rPr>
          <w:lang w:val="en-US"/>
        </w:rPr>
      </w:pPr>
      <w:r>
        <w:rPr>
          <w:rStyle w:val="Appelnotedebasdep"/>
        </w:rPr>
        <w:footnoteRef/>
      </w:r>
      <w:r>
        <w:rPr>
          <w:lang w:val="en-US"/>
        </w:rPr>
        <w:t xml:space="preserve"> </w:t>
      </w:r>
      <w:hyperlink r:id="rId1" w:history="1">
        <w:r>
          <w:rPr>
            <w:rStyle w:val="Lienhypertexte"/>
            <w:lang w:val="en-US"/>
          </w:rPr>
          <w:t>https://eic.ec.europa.eu/eic-board-members_en</w:t>
        </w:r>
      </w:hyperlink>
    </w:p>
    <w:p w14:paraId="5A5AA789" w14:textId="77777777" w:rsidR="00A70CEB" w:rsidRDefault="00A70CEB" w:rsidP="00A70CEB">
      <w:pPr>
        <w:pStyle w:val="Notedebasdepage"/>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6989347"/>
      <w:docPartObj>
        <w:docPartGallery w:val="Page Numbers (Top of Page)"/>
        <w:docPartUnique/>
      </w:docPartObj>
    </w:sdtPr>
    <w:sdtEndPr/>
    <w:sdtContent>
      <w:p w14:paraId="750D14E5" w14:textId="77777777" w:rsidR="006C4E36" w:rsidRDefault="006C4E36">
        <w:pPr>
          <w:pStyle w:val="En-tte"/>
          <w:jc w:val="right"/>
        </w:pPr>
        <w:r>
          <w:fldChar w:fldCharType="begin"/>
        </w:r>
        <w:r>
          <w:instrText>PAGE   \* MERGEFORMAT</w:instrText>
        </w:r>
        <w:r>
          <w:fldChar w:fldCharType="separate"/>
        </w:r>
        <w:r w:rsidR="00673B69">
          <w:rPr>
            <w:noProof/>
          </w:rPr>
          <w:t>2</w:t>
        </w:r>
        <w:r>
          <w:fldChar w:fldCharType="end"/>
        </w:r>
      </w:p>
    </w:sdtContent>
  </w:sdt>
  <w:p w14:paraId="11E7904D" w14:textId="77777777" w:rsidR="006C4E36" w:rsidRDefault="006C4E3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C45CE"/>
    <w:multiLevelType w:val="hybridMultilevel"/>
    <w:tmpl w:val="694AACDC"/>
    <w:lvl w:ilvl="0" w:tplc="E55A647C">
      <w:start w:val="1"/>
      <w:numFmt w:val="bullet"/>
      <w:lvlText w:val="•"/>
      <w:lvlJc w:val="left"/>
      <w:pPr>
        <w:tabs>
          <w:tab w:val="num" w:pos="-1080"/>
        </w:tabs>
        <w:ind w:left="-1080" w:hanging="360"/>
      </w:pPr>
      <w:rPr>
        <w:rFonts w:ascii="Arial" w:hAnsi="Arial" w:hint="default"/>
      </w:rPr>
    </w:lvl>
    <w:lvl w:ilvl="1" w:tplc="4FD2BB66">
      <w:start w:val="1"/>
      <w:numFmt w:val="bullet"/>
      <w:lvlText w:val="•"/>
      <w:lvlJc w:val="left"/>
      <w:pPr>
        <w:tabs>
          <w:tab w:val="num" w:pos="-360"/>
        </w:tabs>
        <w:ind w:left="-360" w:hanging="360"/>
      </w:pPr>
      <w:rPr>
        <w:rFonts w:ascii="Arial" w:hAnsi="Arial" w:hint="default"/>
      </w:rPr>
    </w:lvl>
    <w:lvl w:ilvl="2" w:tplc="D892FAAE" w:tentative="1">
      <w:start w:val="1"/>
      <w:numFmt w:val="bullet"/>
      <w:lvlText w:val="•"/>
      <w:lvlJc w:val="left"/>
      <w:pPr>
        <w:tabs>
          <w:tab w:val="num" w:pos="360"/>
        </w:tabs>
        <w:ind w:left="360" w:hanging="360"/>
      </w:pPr>
      <w:rPr>
        <w:rFonts w:ascii="Arial" w:hAnsi="Arial" w:hint="default"/>
      </w:rPr>
    </w:lvl>
    <w:lvl w:ilvl="3" w:tplc="ADF2A87E" w:tentative="1">
      <w:start w:val="1"/>
      <w:numFmt w:val="bullet"/>
      <w:lvlText w:val="•"/>
      <w:lvlJc w:val="left"/>
      <w:pPr>
        <w:tabs>
          <w:tab w:val="num" w:pos="1080"/>
        </w:tabs>
        <w:ind w:left="1080" w:hanging="360"/>
      </w:pPr>
      <w:rPr>
        <w:rFonts w:ascii="Arial" w:hAnsi="Arial" w:hint="default"/>
      </w:rPr>
    </w:lvl>
    <w:lvl w:ilvl="4" w:tplc="91BA30E8" w:tentative="1">
      <w:start w:val="1"/>
      <w:numFmt w:val="bullet"/>
      <w:lvlText w:val="•"/>
      <w:lvlJc w:val="left"/>
      <w:pPr>
        <w:tabs>
          <w:tab w:val="num" w:pos="1800"/>
        </w:tabs>
        <w:ind w:left="1800" w:hanging="360"/>
      </w:pPr>
      <w:rPr>
        <w:rFonts w:ascii="Arial" w:hAnsi="Arial" w:hint="default"/>
      </w:rPr>
    </w:lvl>
    <w:lvl w:ilvl="5" w:tplc="8390D4AC" w:tentative="1">
      <w:start w:val="1"/>
      <w:numFmt w:val="bullet"/>
      <w:lvlText w:val="•"/>
      <w:lvlJc w:val="left"/>
      <w:pPr>
        <w:tabs>
          <w:tab w:val="num" w:pos="2520"/>
        </w:tabs>
        <w:ind w:left="2520" w:hanging="360"/>
      </w:pPr>
      <w:rPr>
        <w:rFonts w:ascii="Arial" w:hAnsi="Arial" w:hint="default"/>
      </w:rPr>
    </w:lvl>
    <w:lvl w:ilvl="6" w:tplc="4E3A9DA0" w:tentative="1">
      <w:start w:val="1"/>
      <w:numFmt w:val="bullet"/>
      <w:lvlText w:val="•"/>
      <w:lvlJc w:val="left"/>
      <w:pPr>
        <w:tabs>
          <w:tab w:val="num" w:pos="3240"/>
        </w:tabs>
        <w:ind w:left="3240" w:hanging="360"/>
      </w:pPr>
      <w:rPr>
        <w:rFonts w:ascii="Arial" w:hAnsi="Arial" w:hint="default"/>
      </w:rPr>
    </w:lvl>
    <w:lvl w:ilvl="7" w:tplc="8FA66BA4" w:tentative="1">
      <w:start w:val="1"/>
      <w:numFmt w:val="bullet"/>
      <w:lvlText w:val="•"/>
      <w:lvlJc w:val="left"/>
      <w:pPr>
        <w:tabs>
          <w:tab w:val="num" w:pos="3960"/>
        </w:tabs>
        <w:ind w:left="3960" w:hanging="360"/>
      </w:pPr>
      <w:rPr>
        <w:rFonts w:ascii="Arial" w:hAnsi="Arial" w:hint="default"/>
      </w:rPr>
    </w:lvl>
    <w:lvl w:ilvl="8" w:tplc="E76A531E" w:tentative="1">
      <w:start w:val="1"/>
      <w:numFmt w:val="bullet"/>
      <w:lvlText w:val="•"/>
      <w:lvlJc w:val="left"/>
      <w:pPr>
        <w:tabs>
          <w:tab w:val="num" w:pos="4680"/>
        </w:tabs>
        <w:ind w:left="4680" w:hanging="360"/>
      </w:pPr>
      <w:rPr>
        <w:rFonts w:ascii="Arial" w:hAnsi="Arial" w:hint="default"/>
      </w:rPr>
    </w:lvl>
  </w:abstractNum>
  <w:abstractNum w:abstractNumId="1" w15:restartNumberingAfterBreak="0">
    <w:nsid w:val="0DB3374E"/>
    <w:multiLevelType w:val="hybridMultilevel"/>
    <w:tmpl w:val="5574C7DA"/>
    <w:lvl w:ilvl="0" w:tplc="040C0013">
      <w:start w:val="1"/>
      <w:numFmt w:val="upperRoman"/>
      <w:lvlText w:val="%1."/>
      <w:lvlJc w:val="righ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3F84C38"/>
    <w:multiLevelType w:val="hybridMultilevel"/>
    <w:tmpl w:val="96801752"/>
    <w:lvl w:ilvl="0" w:tplc="BF9EAE0C">
      <w:start w:val="1"/>
      <w:numFmt w:val="lowerLetter"/>
      <w:lvlText w:val="%1)"/>
      <w:lvlJc w:val="left"/>
      <w:pPr>
        <w:ind w:left="164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 w15:restartNumberingAfterBreak="0">
    <w:nsid w:val="31456996"/>
    <w:multiLevelType w:val="hybridMultilevel"/>
    <w:tmpl w:val="F63E39A2"/>
    <w:lvl w:ilvl="0" w:tplc="7FCC19B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D671F4"/>
    <w:multiLevelType w:val="hybridMultilevel"/>
    <w:tmpl w:val="22322712"/>
    <w:lvl w:ilvl="0" w:tplc="5336AC0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417B44A9"/>
    <w:multiLevelType w:val="hybridMultilevel"/>
    <w:tmpl w:val="E988ADE0"/>
    <w:lvl w:ilvl="0" w:tplc="7FCC19B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F745119"/>
    <w:multiLevelType w:val="hybridMultilevel"/>
    <w:tmpl w:val="6FE64802"/>
    <w:lvl w:ilvl="0" w:tplc="23480D06">
      <w:start w:val="4"/>
      <w:numFmt w:val="lowerLetter"/>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FBA6AF7"/>
    <w:multiLevelType w:val="hybridMultilevel"/>
    <w:tmpl w:val="36745608"/>
    <w:lvl w:ilvl="0" w:tplc="040C000F">
      <w:start w:val="1"/>
      <w:numFmt w:val="decimal"/>
      <w:lvlText w:val="%1."/>
      <w:lvlJc w:val="left"/>
      <w:pPr>
        <w:ind w:left="720" w:hanging="360"/>
      </w:pPr>
      <w:rPr>
        <w:rFonts w:hint="default"/>
      </w:rPr>
    </w:lvl>
    <w:lvl w:ilvl="1" w:tplc="040C0017">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54D079A1"/>
    <w:multiLevelType w:val="hybridMultilevel"/>
    <w:tmpl w:val="E70078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6C20ED4"/>
    <w:multiLevelType w:val="hybridMultilevel"/>
    <w:tmpl w:val="F10622B6"/>
    <w:lvl w:ilvl="0" w:tplc="083E8D10">
      <w:start w:val="1"/>
      <w:numFmt w:val="upperRoman"/>
      <w:lvlText w:val="%1."/>
      <w:lvlJc w:val="right"/>
      <w:pPr>
        <w:ind w:left="456" w:hanging="360"/>
      </w:pPr>
      <w:rPr>
        <w:rFonts w:hint="default"/>
      </w:rPr>
    </w:lvl>
    <w:lvl w:ilvl="1" w:tplc="040C0019" w:tentative="1">
      <w:start w:val="1"/>
      <w:numFmt w:val="lowerLetter"/>
      <w:lvlText w:val="%2."/>
      <w:lvlJc w:val="left"/>
      <w:pPr>
        <w:ind w:left="1176" w:hanging="360"/>
      </w:pPr>
    </w:lvl>
    <w:lvl w:ilvl="2" w:tplc="040C001B" w:tentative="1">
      <w:start w:val="1"/>
      <w:numFmt w:val="lowerRoman"/>
      <w:lvlText w:val="%3."/>
      <w:lvlJc w:val="right"/>
      <w:pPr>
        <w:ind w:left="1896" w:hanging="180"/>
      </w:pPr>
    </w:lvl>
    <w:lvl w:ilvl="3" w:tplc="040C000F" w:tentative="1">
      <w:start w:val="1"/>
      <w:numFmt w:val="decimal"/>
      <w:lvlText w:val="%4."/>
      <w:lvlJc w:val="left"/>
      <w:pPr>
        <w:ind w:left="2616" w:hanging="360"/>
      </w:pPr>
    </w:lvl>
    <w:lvl w:ilvl="4" w:tplc="040C0019" w:tentative="1">
      <w:start w:val="1"/>
      <w:numFmt w:val="lowerLetter"/>
      <w:lvlText w:val="%5."/>
      <w:lvlJc w:val="left"/>
      <w:pPr>
        <w:ind w:left="3336" w:hanging="360"/>
      </w:pPr>
    </w:lvl>
    <w:lvl w:ilvl="5" w:tplc="040C001B" w:tentative="1">
      <w:start w:val="1"/>
      <w:numFmt w:val="lowerRoman"/>
      <w:lvlText w:val="%6."/>
      <w:lvlJc w:val="right"/>
      <w:pPr>
        <w:ind w:left="4056" w:hanging="180"/>
      </w:pPr>
    </w:lvl>
    <w:lvl w:ilvl="6" w:tplc="040C000F" w:tentative="1">
      <w:start w:val="1"/>
      <w:numFmt w:val="decimal"/>
      <w:lvlText w:val="%7."/>
      <w:lvlJc w:val="left"/>
      <w:pPr>
        <w:ind w:left="4776" w:hanging="360"/>
      </w:pPr>
    </w:lvl>
    <w:lvl w:ilvl="7" w:tplc="040C0019" w:tentative="1">
      <w:start w:val="1"/>
      <w:numFmt w:val="lowerLetter"/>
      <w:lvlText w:val="%8."/>
      <w:lvlJc w:val="left"/>
      <w:pPr>
        <w:ind w:left="5496" w:hanging="360"/>
      </w:pPr>
    </w:lvl>
    <w:lvl w:ilvl="8" w:tplc="040C001B" w:tentative="1">
      <w:start w:val="1"/>
      <w:numFmt w:val="lowerRoman"/>
      <w:lvlText w:val="%9."/>
      <w:lvlJc w:val="right"/>
      <w:pPr>
        <w:ind w:left="6216" w:hanging="180"/>
      </w:pPr>
    </w:lvl>
  </w:abstractNum>
  <w:abstractNum w:abstractNumId="10" w15:restartNumberingAfterBreak="0">
    <w:nsid w:val="70C03D72"/>
    <w:multiLevelType w:val="hybridMultilevel"/>
    <w:tmpl w:val="22E27D1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4C87F8B"/>
    <w:multiLevelType w:val="hybridMultilevel"/>
    <w:tmpl w:val="A4BC602E"/>
    <w:lvl w:ilvl="0" w:tplc="E31E7D8A">
      <w:start w:val="3"/>
      <w:numFmt w:val="lowerLetter"/>
      <w:lvlText w:val="%1)"/>
      <w:lvlJc w:val="left"/>
      <w:pPr>
        <w:ind w:left="1440" w:hanging="360"/>
      </w:pPr>
      <w:rPr>
        <w:rFonts w:hint="default"/>
      </w:rPr>
    </w:lvl>
    <w:lvl w:ilvl="1" w:tplc="040C0017">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7B013009"/>
    <w:multiLevelType w:val="hybridMultilevel"/>
    <w:tmpl w:val="2140DA5E"/>
    <w:lvl w:ilvl="0" w:tplc="D4E29890">
      <w:start w:val="3"/>
      <w:numFmt w:val="lowerLetter"/>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686181619">
    <w:abstractNumId w:val="1"/>
  </w:num>
  <w:num w:numId="2" w16cid:durableId="324817846">
    <w:abstractNumId w:val="5"/>
  </w:num>
  <w:num w:numId="3" w16cid:durableId="1374965082">
    <w:abstractNumId w:val="9"/>
  </w:num>
  <w:num w:numId="4" w16cid:durableId="1791901197">
    <w:abstractNumId w:val="4"/>
  </w:num>
  <w:num w:numId="5" w16cid:durableId="991909197">
    <w:abstractNumId w:val="7"/>
  </w:num>
  <w:num w:numId="6" w16cid:durableId="521360140">
    <w:abstractNumId w:val="0"/>
  </w:num>
  <w:num w:numId="7" w16cid:durableId="903876633">
    <w:abstractNumId w:val="3"/>
  </w:num>
  <w:num w:numId="8" w16cid:durableId="1657801528">
    <w:abstractNumId w:val="2"/>
  </w:num>
  <w:num w:numId="9" w16cid:durableId="1181090024">
    <w:abstractNumId w:val="11"/>
  </w:num>
  <w:num w:numId="10" w16cid:durableId="699864391">
    <w:abstractNumId w:val="12"/>
  </w:num>
  <w:num w:numId="11" w16cid:durableId="134955137">
    <w:abstractNumId w:val="8"/>
  </w:num>
  <w:num w:numId="12" w16cid:durableId="1404598519">
    <w:abstractNumId w:val="10"/>
  </w:num>
  <w:num w:numId="13" w16cid:durableId="1921517880">
    <w:abstractNumId w:val="6"/>
  </w:num>
  <w:num w:numId="14" w16cid:durableId="39331748">
    <w:abstractNumId w:val="1"/>
  </w:num>
  <w:num w:numId="15" w16cid:durableId="14492729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316114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9723036">
    <w:abstractNumId w:val="9"/>
  </w:num>
  <w:num w:numId="18" w16cid:durableId="926498952">
    <w:abstractNumId w:val="4"/>
    <w:lvlOverride w:ilvl="0"/>
    <w:lvlOverride w:ilvl="1"/>
    <w:lvlOverride w:ilvl="2"/>
    <w:lvlOverride w:ilvl="3"/>
    <w:lvlOverride w:ilvl="4"/>
    <w:lvlOverride w:ilvl="5"/>
    <w:lvlOverride w:ilvl="6"/>
    <w:lvlOverride w:ilvl="7"/>
    <w:lvlOverride w:ilv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9C3"/>
    <w:rsid w:val="00003C1A"/>
    <w:rsid w:val="000065A8"/>
    <w:rsid w:val="00012026"/>
    <w:rsid w:val="00014E95"/>
    <w:rsid w:val="00023637"/>
    <w:rsid w:val="0002591C"/>
    <w:rsid w:val="000275B0"/>
    <w:rsid w:val="00037E00"/>
    <w:rsid w:val="000401EC"/>
    <w:rsid w:val="00042BEA"/>
    <w:rsid w:val="000542B2"/>
    <w:rsid w:val="00062656"/>
    <w:rsid w:val="00064AA4"/>
    <w:rsid w:val="00064C10"/>
    <w:rsid w:val="00066993"/>
    <w:rsid w:val="00067266"/>
    <w:rsid w:val="000672C9"/>
    <w:rsid w:val="00073498"/>
    <w:rsid w:val="000754DB"/>
    <w:rsid w:val="00082518"/>
    <w:rsid w:val="000831D7"/>
    <w:rsid w:val="00087370"/>
    <w:rsid w:val="00093716"/>
    <w:rsid w:val="0009658B"/>
    <w:rsid w:val="000A4F52"/>
    <w:rsid w:val="000A6E35"/>
    <w:rsid w:val="000B3D9B"/>
    <w:rsid w:val="000B6673"/>
    <w:rsid w:val="000B6FDB"/>
    <w:rsid w:val="000B766E"/>
    <w:rsid w:val="000C33CC"/>
    <w:rsid w:val="000D1FD1"/>
    <w:rsid w:val="000D487C"/>
    <w:rsid w:val="000D59AD"/>
    <w:rsid w:val="000D65BC"/>
    <w:rsid w:val="000E0046"/>
    <w:rsid w:val="000E43EA"/>
    <w:rsid w:val="000F185A"/>
    <w:rsid w:val="000F54B0"/>
    <w:rsid w:val="00104A33"/>
    <w:rsid w:val="001128DE"/>
    <w:rsid w:val="00113885"/>
    <w:rsid w:val="00113F69"/>
    <w:rsid w:val="00117596"/>
    <w:rsid w:val="00120AF1"/>
    <w:rsid w:val="00140DAB"/>
    <w:rsid w:val="00141C89"/>
    <w:rsid w:val="00142F99"/>
    <w:rsid w:val="0014732C"/>
    <w:rsid w:val="00150575"/>
    <w:rsid w:val="00150844"/>
    <w:rsid w:val="00155678"/>
    <w:rsid w:val="00156756"/>
    <w:rsid w:val="001636CA"/>
    <w:rsid w:val="001661AC"/>
    <w:rsid w:val="00174917"/>
    <w:rsid w:val="00174C1F"/>
    <w:rsid w:val="001820F8"/>
    <w:rsid w:val="00183289"/>
    <w:rsid w:val="00184167"/>
    <w:rsid w:val="001858C7"/>
    <w:rsid w:val="00190C45"/>
    <w:rsid w:val="001934C5"/>
    <w:rsid w:val="001935BC"/>
    <w:rsid w:val="00197B9C"/>
    <w:rsid w:val="001A70D4"/>
    <w:rsid w:val="001B133E"/>
    <w:rsid w:val="001B13E7"/>
    <w:rsid w:val="001B1909"/>
    <w:rsid w:val="001B7A46"/>
    <w:rsid w:val="001C31D5"/>
    <w:rsid w:val="001C3E9C"/>
    <w:rsid w:val="001C4253"/>
    <w:rsid w:val="001C7EC6"/>
    <w:rsid w:val="001D0CDD"/>
    <w:rsid w:val="001D0EFA"/>
    <w:rsid w:val="001D2253"/>
    <w:rsid w:val="001D25EB"/>
    <w:rsid w:val="001D3B77"/>
    <w:rsid w:val="001D3DF9"/>
    <w:rsid w:val="001E3662"/>
    <w:rsid w:val="00203A2C"/>
    <w:rsid w:val="0021096B"/>
    <w:rsid w:val="002154FC"/>
    <w:rsid w:val="0022055C"/>
    <w:rsid w:val="00220CBC"/>
    <w:rsid w:val="00221053"/>
    <w:rsid w:val="002272CB"/>
    <w:rsid w:val="00234C0B"/>
    <w:rsid w:val="002408EE"/>
    <w:rsid w:val="002438C5"/>
    <w:rsid w:val="00250BEA"/>
    <w:rsid w:val="002513EE"/>
    <w:rsid w:val="00254667"/>
    <w:rsid w:val="002606F6"/>
    <w:rsid w:val="002610EA"/>
    <w:rsid w:val="00261D02"/>
    <w:rsid w:val="00263540"/>
    <w:rsid w:val="0027047E"/>
    <w:rsid w:val="002716A0"/>
    <w:rsid w:val="00273DBF"/>
    <w:rsid w:val="002755CD"/>
    <w:rsid w:val="00275DF5"/>
    <w:rsid w:val="00276452"/>
    <w:rsid w:val="00277E8E"/>
    <w:rsid w:val="002809B6"/>
    <w:rsid w:val="00285A26"/>
    <w:rsid w:val="002878EE"/>
    <w:rsid w:val="00293497"/>
    <w:rsid w:val="00293967"/>
    <w:rsid w:val="00293BF1"/>
    <w:rsid w:val="002940E9"/>
    <w:rsid w:val="0029663E"/>
    <w:rsid w:val="002B1EFC"/>
    <w:rsid w:val="002B4060"/>
    <w:rsid w:val="002B4E1A"/>
    <w:rsid w:val="002B624C"/>
    <w:rsid w:val="002B65D7"/>
    <w:rsid w:val="002C10D4"/>
    <w:rsid w:val="002C338D"/>
    <w:rsid w:val="002D0377"/>
    <w:rsid w:val="002D3AA3"/>
    <w:rsid w:val="002D4CC7"/>
    <w:rsid w:val="002D6BBF"/>
    <w:rsid w:val="002E10AA"/>
    <w:rsid w:val="002E59B0"/>
    <w:rsid w:val="002E756C"/>
    <w:rsid w:val="002E7692"/>
    <w:rsid w:val="002F09EE"/>
    <w:rsid w:val="002F318D"/>
    <w:rsid w:val="002F3D6D"/>
    <w:rsid w:val="00300029"/>
    <w:rsid w:val="00301C70"/>
    <w:rsid w:val="00302D62"/>
    <w:rsid w:val="00302FA7"/>
    <w:rsid w:val="003079E6"/>
    <w:rsid w:val="00307A6B"/>
    <w:rsid w:val="00311565"/>
    <w:rsid w:val="0031529F"/>
    <w:rsid w:val="00322C36"/>
    <w:rsid w:val="003257EB"/>
    <w:rsid w:val="00335AC7"/>
    <w:rsid w:val="003371D7"/>
    <w:rsid w:val="00340C7A"/>
    <w:rsid w:val="0034173D"/>
    <w:rsid w:val="00345E21"/>
    <w:rsid w:val="0035082B"/>
    <w:rsid w:val="00350A76"/>
    <w:rsid w:val="00354C55"/>
    <w:rsid w:val="003769D6"/>
    <w:rsid w:val="00376FF4"/>
    <w:rsid w:val="00380A1E"/>
    <w:rsid w:val="00383937"/>
    <w:rsid w:val="003847A3"/>
    <w:rsid w:val="0039662D"/>
    <w:rsid w:val="003B38CD"/>
    <w:rsid w:val="003C0360"/>
    <w:rsid w:val="003C665C"/>
    <w:rsid w:val="003C7D9A"/>
    <w:rsid w:val="003D0E2C"/>
    <w:rsid w:val="003D17D3"/>
    <w:rsid w:val="003D2A26"/>
    <w:rsid w:val="003D34B4"/>
    <w:rsid w:val="003D70F0"/>
    <w:rsid w:val="003E2071"/>
    <w:rsid w:val="003E3C1D"/>
    <w:rsid w:val="003F03A6"/>
    <w:rsid w:val="004004DD"/>
    <w:rsid w:val="00401EE4"/>
    <w:rsid w:val="004045C5"/>
    <w:rsid w:val="00407E05"/>
    <w:rsid w:val="00421525"/>
    <w:rsid w:val="00422EAC"/>
    <w:rsid w:val="00423CED"/>
    <w:rsid w:val="00426EDD"/>
    <w:rsid w:val="00435568"/>
    <w:rsid w:val="00451250"/>
    <w:rsid w:val="00457558"/>
    <w:rsid w:val="0046060C"/>
    <w:rsid w:val="00460A1B"/>
    <w:rsid w:val="0047043A"/>
    <w:rsid w:val="0047117A"/>
    <w:rsid w:val="00474F82"/>
    <w:rsid w:val="004779F8"/>
    <w:rsid w:val="00481EB1"/>
    <w:rsid w:val="00491049"/>
    <w:rsid w:val="00494095"/>
    <w:rsid w:val="00494685"/>
    <w:rsid w:val="0049637F"/>
    <w:rsid w:val="004A27A1"/>
    <w:rsid w:val="004A647A"/>
    <w:rsid w:val="004C3190"/>
    <w:rsid w:val="004C384D"/>
    <w:rsid w:val="004C574E"/>
    <w:rsid w:val="004C5DE7"/>
    <w:rsid w:val="004D06F4"/>
    <w:rsid w:val="004D11F6"/>
    <w:rsid w:val="004D5139"/>
    <w:rsid w:val="004D6DE2"/>
    <w:rsid w:val="004E0D4D"/>
    <w:rsid w:val="004E51F3"/>
    <w:rsid w:val="004E71F8"/>
    <w:rsid w:val="004F03C7"/>
    <w:rsid w:val="004F2BD9"/>
    <w:rsid w:val="004F450F"/>
    <w:rsid w:val="004F539F"/>
    <w:rsid w:val="004F67E3"/>
    <w:rsid w:val="00531917"/>
    <w:rsid w:val="00533FF1"/>
    <w:rsid w:val="00534D46"/>
    <w:rsid w:val="00534EFA"/>
    <w:rsid w:val="00542949"/>
    <w:rsid w:val="005433BD"/>
    <w:rsid w:val="00543B15"/>
    <w:rsid w:val="0054409A"/>
    <w:rsid w:val="00544A11"/>
    <w:rsid w:val="00546345"/>
    <w:rsid w:val="00550462"/>
    <w:rsid w:val="005505D9"/>
    <w:rsid w:val="0055184E"/>
    <w:rsid w:val="00554D49"/>
    <w:rsid w:val="00564B1A"/>
    <w:rsid w:val="005704A8"/>
    <w:rsid w:val="00572086"/>
    <w:rsid w:val="00577075"/>
    <w:rsid w:val="00577796"/>
    <w:rsid w:val="00580805"/>
    <w:rsid w:val="00586304"/>
    <w:rsid w:val="00590C5F"/>
    <w:rsid w:val="005926FB"/>
    <w:rsid w:val="0059447D"/>
    <w:rsid w:val="005976F3"/>
    <w:rsid w:val="005A3907"/>
    <w:rsid w:val="005B0087"/>
    <w:rsid w:val="005B2499"/>
    <w:rsid w:val="005C13FE"/>
    <w:rsid w:val="005C1750"/>
    <w:rsid w:val="005C487A"/>
    <w:rsid w:val="005C7897"/>
    <w:rsid w:val="005D5E2E"/>
    <w:rsid w:val="005E0AC2"/>
    <w:rsid w:val="005E58E1"/>
    <w:rsid w:val="005E6A8B"/>
    <w:rsid w:val="005F0946"/>
    <w:rsid w:val="005F593A"/>
    <w:rsid w:val="005F6B9A"/>
    <w:rsid w:val="00602EE0"/>
    <w:rsid w:val="00605D47"/>
    <w:rsid w:val="00617A6F"/>
    <w:rsid w:val="00621A4B"/>
    <w:rsid w:val="00621E76"/>
    <w:rsid w:val="00622492"/>
    <w:rsid w:val="0062297B"/>
    <w:rsid w:val="00624BE3"/>
    <w:rsid w:val="006252D8"/>
    <w:rsid w:val="00626135"/>
    <w:rsid w:val="00637712"/>
    <w:rsid w:val="006428BE"/>
    <w:rsid w:val="006516F6"/>
    <w:rsid w:val="00653771"/>
    <w:rsid w:val="00655C4A"/>
    <w:rsid w:val="006630E4"/>
    <w:rsid w:val="0066457B"/>
    <w:rsid w:val="00667247"/>
    <w:rsid w:val="00673B69"/>
    <w:rsid w:val="00683F3C"/>
    <w:rsid w:val="006845F5"/>
    <w:rsid w:val="0069202E"/>
    <w:rsid w:val="00696A80"/>
    <w:rsid w:val="006A17C2"/>
    <w:rsid w:val="006A2C62"/>
    <w:rsid w:val="006A3C69"/>
    <w:rsid w:val="006A474E"/>
    <w:rsid w:val="006A4C1D"/>
    <w:rsid w:val="006B1A0C"/>
    <w:rsid w:val="006B1FFB"/>
    <w:rsid w:val="006B58AF"/>
    <w:rsid w:val="006B61E3"/>
    <w:rsid w:val="006C274D"/>
    <w:rsid w:val="006C3459"/>
    <w:rsid w:val="006C42DC"/>
    <w:rsid w:val="006C4E36"/>
    <w:rsid w:val="006C74E9"/>
    <w:rsid w:val="006D31BD"/>
    <w:rsid w:val="006D3F72"/>
    <w:rsid w:val="006D6823"/>
    <w:rsid w:val="006E2938"/>
    <w:rsid w:val="006E58B2"/>
    <w:rsid w:val="006E701D"/>
    <w:rsid w:val="006E78F7"/>
    <w:rsid w:val="006E7B03"/>
    <w:rsid w:val="006F2158"/>
    <w:rsid w:val="006F52B2"/>
    <w:rsid w:val="00700278"/>
    <w:rsid w:val="00700DC2"/>
    <w:rsid w:val="00700F2D"/>
    <w:rsid w:val="007015C4"/>
    <w:rsid w:val="00701BEF"/>
    <w:rsid w:val="007030C0"/>
    <w:rsid w:val="007031B3"/>
    <w:rsid w:val="00703984"/>
    <w:rsid w:val="00705DA3"/>
    <w:rsid w:val="007128CC"/>
    <w:rsid w:val="00717127"/>
    <w:rsid w:val="007216B1"/>
    <w:rsid w:val="00725277"/>
    <w:rsid w:val="00726DEF"/>
    <w:rsid w:val="007321EA"/>
    <w:rsid w:val="00733F42"/>
    <w:rsid w:val="00735BA2"/>
    <w:rsid w:val="007426E2"/>
    <w:rsid w:val="00746D29"/>
    <w:rsid w:val="00751BB1"/>
    <w:rsid w:val="00764544"/>
    <w:rsid w:val="00765338"/>
    <w:rsid w:val="00766392"/>
    <w:rsid w:val="00770EAD"/>
    <w:rsid w:val="00775F7F"/>
    <w:rsid w:val="00776EC0"/>
    <w:rsid w:val="00776EEB"/>
    <w:rsid w:val="00786E03"/>
    <w:rsid w:val="00787B03"/>
    <w:rsid w:val="00793083"/>
    <w:rsid w:val="0079581F"/>
    <w:rsid w:val="007A1424"/>
    <w:rsid w:val="007A3755"/>
    <w:rsid w:val="007A4CC8"/>
    <w:rsid w:val="007A6D38"/>
    <w:rsid w:val="007B313C"/>
    <w:rsid w:val="007C4FD4"/>
    <w:rsid w:val="007C68C4"/>
    <w:rsid w:val="007D346C"/>
    <w:rsid w:val="007D4C27"/>
    <w:rsid w:val="007D6B6F"/>
    <w:rsid w:val="007E5294"/>
    <w:rsid w:val="007E7CAA"/>
    <w:rsid w:val="007F50A9"/>
    <w:rsid w:val="007F6C27"/>
    <w:rsid w:val="00802385"/>
    <w:rsid w:val="0080318F"/>
    <w:rsid w:val="008132F4"/>
    <w:rsid w:val="00824980"/>
    <w:rsid w:val="00824A92"/>
    <w:rsid w:val="00825BD2"/>
    <w:rsid w:val="00826474"/>
    <w:rsid w:val="00827092"/>
    <w:rsid w:val="00827AFE"/>
    <w:rsid w:val="00830408"/>
    <w:rsid w:val="00832484"/>
    <w:rsid w:val="008428F4"/>
    <w:rsid w:val="00854673"/>
    <w:rsid w:val="00873117"/>
    <w:rsid w:val="00874517"/>
    <w:rsid w:val="00875834"/>
    <w:rsid w:val="00877546"/>
    <w:rsid w:val="008836EC"/>
    <w:rsid w:val="00890F44"/>
    <w:rsid w:val="008A146B"/>
    <w:rsid w:val="008A3C28"/>
    <w:rsid w:val="008B6E5B"/>
    <w:rsid w:val="008D1C82"/>
    <w:rsid w:val="008E56DF"/>
    <w:rsid w:val="008E5C6C"/>
    <w:rsid w:val="008E783C"/>
    <w:rsid w:val="008F3F4B"/>
    <w:rsid w:val="008F5C70"/>
    <w:rsid w:val="008F681E"/>
    <w:rsid w:val="0090428A"/>
    <w:rsid w:val="00904B90"/>
    <w:rsid w:val="0090791E"/>
    <w:rsid w:val="009117A0"/>
    <w:rsid w:val="0092025C"/>
    <w:rsid w:val="0092735D"/>
    <w:rsid w:val="00937859"/>
    <w:rsid w:val="00940D47"/>
    <w:rsid w:val="009462F3"/>
    <w:rsid w:val="00953381"/>
    <w:rsid w:val="00956776"/>
    <w:rsid w:val="009612CA"/>
    <w:rsid w:val="00962830"/>
    <w:rsid w:val="00965822"/>
    <w:rsid w:val="00972502"/>
    <w:rsid w:val="00973146"/>
    <w:rsid w:val="0097782D"/>
    <w:rsid w:val="0098090E"/>
    <w:rsid w:val="009858D9"/>
    <w:rsid w:val="00986E38"/>
    <w:rsid w:val="00993000"/>
    <w:rsid w:val="00994BC1"/>
    <w:rsid w:val="0099674E"/>
    <w:rsid w:val="00997E50"/>
    <w:rsid w:val="009A1B97"/>
    <w:rsid w:val="009B07BE"/>
    <w:rsid w:val="009B19B1"/>
    <w:rsid w:val="009B2144"/>
    <w:rsid w:val="009B4159"/>
    <w:rsid w:val="009B65F0"/>
    <w:rsid w:val="009B6D20"/>
    <w:rsid w:val="009C57FD"/>
    <w:rsid w:val="009D0B93"/>
    <w:rsid w:val="009D5A0E"/>
    <w:rsid w:val="009D74F0"/>
    <w:rsid w:val="009E0DE7"/>
    <w:rsid w:val="009E670D"/>
    <w:rsid w:val="009F095A"/>
    <w:rsid w:val="009F251E"/>
    <w:rsid w:val="009F3C8D"/>
    <w:rsid w:val="009F5F72"/>
    <w:rsid w:val="009F6ECC"/>
    <w:rsid w:val="00A0318D"/>
    <w:rsid w:val="00A16EDD"/>
    <w:rsid w:val="00A211EA"/>
    <w:rsid w:val="00A22A29"/>
    <w:rsid w:val="00A22C0B"/>
    <w:rsid w:val="00A26991"/>
    <w:rsid w:val="00A3258B"/>
    <w:rsid w:val="00A33520"/>
    <w:rsid w:val="00A35133"/>
    <w:rsid w:val="00A361B5"/>
    <w:rsid w:val="00A404A7"/>
    <w:rsid w:val="00A44F06"/>
    <w:rsid w:val="00A52716"/>
    <w:rsid w:val="00A52B18"/>
    <w:rsid w:val="00A57F9A"/>
    <w:rsid w:val="00A70CEB"/>
    <w:rsid w:val="00A72EFE"/>
    <w:rsid w:val="00A86494"/>
    <w:rsid w:val="00A91E35"/>
    <w:rsid w:val="00A921E5"/>
    <w:rsid w:val="00A93185"/>
    <w:rsid w:val="00A93C2D"/>
    <w:rsid w:val="00AA01BA"/>
    <w:rsid w:val="00AA2157"/>
    <w:rsid w:val="00AA39FA"/>
    <w:rsid w:val="00AA43C1"/>
    <w:rsid w:val="00AB51F4"/>
    <w:rsid w:val="00AB76CE"/>
    <w:rsid w:val="00AB7F53"/>
    <w:rsid w:val="00AC63DE"/>
    <w:rsid w:val="00AD2DFB"/>
    <w:rsid w:val="00AD5088"/>
    <w:rsid w:val="00AF078C"/>
    <w:rsid w:val="00AF0CD8"/>
    <w:rsid w:val="00AF29DF"/>
    <w:rsid w:val="00B02538"/>
    <w:rsid w:val="00B049B2"/>
    <w:rsid w:val="00B07F7B"/>
    <w:rsid w:val="00B1268E"/>
    <w:rsid w:val="00B17079"/>
    <w:rsid w:val="00B2016E"/>
    <w:rsid w:val="00B202B2"/>
    <w:rsid w:val="00B236ED"/>
    <w:rsid w:val="00B23E20"/>
    <w:rsid w:val="00B31087"/>
    <w:rsid w:val="00B3474C"/>
    <w:rsid w:val="00B35C83"/>
    <w:rsid w:val="00B4069C"/>
    <w:rsid w:val="00B43A2E"/>
    <w:rsid w:val="00B4401E"/>
    <w:rsid w:val="00B47D40"/>
    <w:rsid w:val="00B5193F"/>
    <w:rsid w:val="00B5260B"/>
    <w:rsid w:val="00B6448A"/>
    <w:rsid w:val="00B64D89"/>
    <w:rsid w:val="00B67BF3"/>
    <w:rsid w:val="00B707C5"/>
    <w:rsid w:val="00B73965"/>
    <w:rsid w:val="00B76102"/>
    <w:rsid w:val="00B7665F"/>
    <w:rsid w:val="00B804A2"/>
    <w:rsid w:val="00B86667"/>
    <w:rsid w:val="00B94883"/>
    <w:rsid w:val="00B94EC3"/>
    <w:rsid w:val="00B9629E"/>
    <w:rsid w:val="00BA16C4"/>
    <w:rsid w:val="00BA6B5F"/>
    <w:rsid w:val="00BB0628"/>
    <w:rsid w:val="00BB35CC"/>
    <w:rsid w:val="00BB6416"/>
    <w:rsid w:val="00BC02AC"/>
    <w:rsid w:val="00BC16D6"/>
    <w:rsid w:val="00BC5227"/>
    <w:rsid w:val="00BD462E"/>
    <w:rsid w:val="00BE6DFE"/>
    <w:rsid w:val="00BE7B0F"/>
    <w:rsid w:val="00BF23B2"/>
    <w:rsid w:val="00BF6F1C"/>
    <w:rsid w:val="00BF7841"/>
    <w:rsid w:val="00C02C3A"/>
    <w:rsid w:val="00C05C34"/>
    <w:rsid w:val="00C10A67"/>
    <w:rsid w:val="00C11A18"/>
    <w:rsid w:val="00C11D70"/>
    <w:rsid w:val="00C14F4E"/>
    <w:rsid w:val="00C20101"/>
    <w:rsid w:val="00C22994"/>
    <w:rsid w:val="00C229D8"/>
    <w:rsid w:val="00C33B45"/>
    <w:rsid w:val="00C40735"/>
    <w:rsid w:val="00C41C5B"/>
    <w:rsid w:val="00C43331"/>
    <w:rsid w:val="00C43B65"/>
    <w:rsid w:val="00C4450A"/>
    <w:rsid w:val="00C44B9B"/>
    <w:rsid w:val="00C46F23"/>
    <w:rsid w:val="00C47651"/>
    <w:rsid w:val="00C51616"/>
    <w:rsid w:val="00C53CBB"/>
    <w:rsid w:val="00C635D5"/>
    <w:rsid w:val="00C641F6"/>
    <w:rsid w:val="00C67474"/>
    <w:rsid w:val="00C7213A"/>
    <w:rsid w:val="00C74A7A"/>
    <w:rsid w:val="00C8074A"/>
    <w:rsid w:val="00C82603"/>
    <w:rsid w:val="00C83639"/>
    <w:rsid w:val="00C8523A"/>
    <w:rsid w:val="00C87BFE"/>
    <w:rsid w:val="00C903F3"/>
    <w:rsid w:val="00C9455D"/>
    <w:rsid w:val="00CA0FD4"/>
    <w:rsid w:val="00CA1B38"/>
    <w:rsid w:val="00CA2402"/>
    <w:rsid w:val="00CA2B88"/>
    <w:rsid w:val="00CA2ECA"/>
    <w:rsid w:val="00CA3A6C"/>
    <w:rsid w:val="00CA657C"/>
    <w:rsid w:val="00CA75EC"/>
    <w:rsid w:val="00CB017C"/>
    <w:rsid w:val="00CB47DA"/>
    <w:rsid w:val="00CC08DE"/>
    <w:rsid w:val="00CC13C5"/>
    <w:rsid w:val="00CC1CC5"/>
    <w:rsid w:val="00CD1DBF"/>
    <w:rsid w:val="00CD3F6F"/>
    <w:rsid w:val="00CD4B6D"/>
    <w:rsid w:val="00CE39BC"/>
    <w:rsid w:val="00CE55DE"/>
    <w:rsid w:val="00CE5A6D"/>
    <w:rsid w:val="00CF2BF5"/>
    <w:rsid w:val="00D000B7"/>
    <w:rsid w:val="00D01479"/>
    <w:rsid w:val="00D019AB"/>
    <w:rsid w:val="00D25010"/>
    <w:rsid w:val="00D27A09"/>
    <w:rsid w:val="00D30DFE"/>
    <w:rsid w:val="00D335DB"/>
    <w:rsid w:val="00D412D4"/>
    <w:rsid w:val="00D44B87"/>
    <w:rsid w:val="00D5289D"/>
    <w:rsid w:val="00D536DD"/>
    <w:rsid w:val="00D56822"/>
    <w:rsid w:val="00D575E8"/>
    <w:rsid w:val="00D62692"/>
    <w:rsid w:val="00D63699"/>
    <w:rsid w:val="00D75887"/>
    <w:rsid w:val="00D81681"/>
    <w:rsid w:val="00D8775B"/>
    <w:rsid w:val="00D90134"/>
    <w:rsid w:val="00DA32A5"/>
    <w:rsid w:val="00DA5700"/>
    <w:rsid w:val="00DA6BC0"/>
    <w:rsid w:val="00DC0FF5"/>
    <w:rsid w:val="00DC5D30"/>
    <w:rsid w:val="00DC64B7"/>
    <w:rsid w:val="00DD0682"/>
    <w:rsid w:val="00DD6D81"/>
    <w:rsid w:val="00DE0D27"/>
    <w:rsid w:val="00DF7703"/>
    <w:rsid w:val="00DF7C6A"/>
    <w:rsid w:val="00E000CA"/>
    <w:rsid w:val="00E01EFC"/>
    <w:rsid w:val="00E039C3"/>
    <w:rsid w:val="00E04C31"/>
    <w:rsid w:val="00E12259"/>
    <w:rsid w:val="00E148F9"/>
    <w:rsid w:val="00E218B9"/>
    <w:rsid w:val="00E3321E"/>
    <w:rsid w:val="00E360B9"/>
    <w:rsid w:val="00E3742F"/>
    <w:rsid w:val="00E37CB5"/>
    <w:rsid w:val="00E420CB"/>
    <w:rsid w:val="00E42177"/>
    <w:rsid w:val="00E563FB"/>
    <w:rsid w:val="00E6137C"/>
    <w:rsid w:val="00E700BE"/>
    <w:rsid w:val="00E717F3"/>
    <w:rsid w:val="00E729FE"/>
    <w:rsid w:val="00E73082"/>
    <w:rsid w:val="00E75A9F"/>
    <w:rsid w:val="00E76928"/>
    <w:rsid w:val="00E846F9"/>
    <w:rsid w:val="00E8528A"/>
    <w:rsid w:val="00E85A60"/>
    <w:rsid w:val="00EB0191"/>
    <w:rsid w:val="00EC4FC3"/>
    <w:rsid w:val="00EC7049"/>
    <w:rsid w:val="00ED39AA"/>
    <w:rsid w:val="00ED5063"/>
    <w:rsid w:val="00EE1650"/>
    <w:rsid w:val="00EE1713"/>
    <w:rsid w:val="00EF66CB"/>
    <w:rsid w:val="00EF7844"/>
    <w:rsid w:val="00F00B80"/>
    <w:rsid w:val="00F0135E"/>
    <w:rsid w:val="00F064BD"/>
    <w:rsid w:val="00F065F7"/>
    <w:rsid w:val="00F101AA"/>
    <w:rsid w:val="00F24DA2"/>
    <w:rsid w:val="00F25CC8"/>
    <w:rsid w:val="00F31502"/>
    <w:rsid w:val="00F3202B"/>
    <w:rsid w:val="00F36006"/>
    <w:rsid w:val="00F43BB7"/>
    <w:rsid w:val="00F456BF"/>
    <w:rsid w:val="00F46A12"/>
    <w:rsid w:val="00F50DEC"/>
    <w:rsid w:val="00F53306"/>
    <w:rsid w:val="00F54FE9"/>
    <w:rsid w:val="00F7531B"/>
    <w:rsid w:val="00F76ABF"/>
    <w:rsid w:val="00F77714"/>
    <w:rsid w:val="00F81E41"/>
    <w:rsid w:val="00F829BB"/>
    <w:rsid w:val="00F83B55"/>
    <w:rsid w:val="00F927D8"/>
    <w:rsid w:val="00F95C7C"/>
    <w:rsid w:val="00FB0154"/>
    <w:rsid w:val="00FB068D"/>
    <w:rsid w:val="00FB76E5"/>
    <w:rsid w:val="00FC0F15"/>
    <w:rsid w:val="00FC56CA"/>
    <w:rsid w:val="00FC73D2"/>
    <w:rsid w:val="00FD00C4"/>
    <w:rsid w:val="00FD5BF8"/>
    <w:rsid w:val="00FE1848"/>
    <w:rsid w:val="00FE26F5"/>
    <w:rsid w:val="00FE2B97"/>
    <w:rsid w:val="00FE31D1"/>
    <w:rsid w:val="00FE3BA2"/>
    <w:rsid w:val="00FE6F8A"/>
    <w:rsid w:val="00FF0E05"/>
    <w:rsid w:val="00FF4B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5E6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C31D5"/>
  </w:style>
  <w:style w:type="paragraph" w:styleId="Titre5">
    <w:name w:val="heading 5"/>
    <w:basedOn w:val="Normal"/>
    <w:link w:val="Titre5Car"/>
    <w:uiPriority w:val="9"/>
    <w:qFormat/>
    <w:rsid w:val="00956776"/>
    <w:pPr>
      <w:spacing w:before="100" w:beforeAutospacing="1" w:after="100" w:afterAutospacing="1"/>
      <w:outlineLvl w:val="4"/>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1-Expditeur">
    <w:name w:val="1-Expéditeur"/>
    <w:basedOn w:val="Normal"/>
    <w:next w:val="Normal"/>
    <w:rsid w:val="001C31D5"/>
    <w:pPr>
      <w:tabs>
        <w:tab w:val="left" w:pos="6521"/>
      </w:tabs>
      <w:spacing w:line="0" w:lineRule="atLeast"/>
      <w:jc w:val="both"/>
    </w:pPr>
    <w:rPr>
      <w:rFonts w:ascii="Helvetica" w:eastAsia="Times" w:hAnsi="Helvetica" w:cs="Helvetica"/>
    </w:rPr>
  </w:style>
  <w:style w:type="paragraph" w:styleId="En-tte">
    <w:name w:val="header"/>
    <w:basedOn w:val="Normal"/>
    <w:link w:val="En-tteCar"/>
    <w:uiPriority w:val="99"/>
    <w:rsid w:val="001C31D5"/>
    <w:pPr>
      <w:tabs>
        <w:tab w:val="center" w:pos="4536"/>
        <w:tab w:val="right" w:pos="9072"/>
      </w:tabs>
    </w:pPr>
    <w:rPr>
      <w:rFonts w:ascii="Arial" w:hAnsi="Arial" w:cs="Arial"/>
      <w:sz w:val="22"/>
      <w:szCs w:val="22"/>
    </w:rPr>
  </w:style>
  <w:style w:type="paragraph" w:customStyle="1" w:styleId="StyletitreCP">
    <w:name w:val="Style titre CP"/>
    <w:basedOn w:val="Normal"/>
    <w:rsid w:val="001B1909"/>
    <w:pPr>
      <w:spacing w:before="2000" w:after="540"/>
      <w:jc w:val="center"/>
    </w:pPr>
    <w:rPr>
      <w:rFonts w:ascii="Arial" w:hAnsi="Arial" w:cs="Arial"/>
      <w:b/>
      <w:bCs/>
      <w:caps/>
      <w:sz w:val="24"/>
      <w:szCs w:val="24"/>
    </w:rPr>
  </w:style>
  <w:style w:type="paragraph" w:customStyle="1" w:styleId="styletexteCP">
    <w:name w:val="style texte CP"/>
    <w:basedOn w:val="StyletitreCP"/>
    <w:rsid w:val="00A57F9A"/>
    <w:pPr>
      <w:spacing w:before="0" w:after="0"/>
      <w:jc w:val="both"/>
    </w:pPr>
    <w:rPr>
      <w:b w:val="0"/>
      <w:bCs w:val="0"/>
      <w:sz w:val="22"/>
      <w:szCs w:val="22"/>
    </w:rPr>
  </w:style>
  <w:style w:type="character" w:styleId="Numrodepage">
    <w:name w:val="page number"/>
    <w:basedOn w:val="Policepardfaut"/>
    <w:rsid w:val="001C31D5"/>
  </w:style>
  <w:style w:type="paragraph" w:styleId="Textedebulles">
    <w:name w:val="Balloon Text"/>
    <w:basedOn w:val="Normal"/>
    <w:semiHidden/>
    <w:rsid w:val="00B64D89"/>
    <w:rPr>
      <w:rFonts w:ascii="Tahoma" w:hAnsi="Tahoma" w:cs="Tahoma"/>
      <w:sz w:val="16"/>
      <w:szCs w:val="16"/>
    </w:rPr>
  </w:style>
  <w:style w:type="paragraph" w:customStyle="1" w:styleId="StyledateCP">
    <w:name w:val="Style date CP"/>
    <w:basedOn w:val="Normal"/>
    <w:rsid w:val="0092025C"/>
    <w:pPr>
      <w:spacing w:before="2400" w:line="280" w:lineRule="atLeast"/>
      <w:ind w:left="3780"/>
    </w:pPr>
    <w:rPr>
      <w:rFonts w:ascii="Arial" w:hAnsi="Arial" w:cs="Arial"/>
      <w:b/>
      <w:bCs/>
      <w:sz w:val="22"/>
      <w:szCs w:val="22"/>
      <w:u w:val="single"/>
    </w:rPr>
  </w:style>
  <w:style w:type="paragraph" w:styleId="Pieddepage">
    <w:name w:val="footer"/>
    <w:basedOn w:val="Normal"/>
    <w:rsid w:val="00203A2C"/>
    <w:pPr>
      <w:tabs>
        <w:tab w:val="center" w:pos="4536"/>
        <w:tab w:val="right" w:pos="9072"/>
      </w:tabs>
    </w:pPr>
  </w:style>
  <w:style w:type="paragraph" w:styleId="Paragraphedeliste">
    <w:name w:val="List Paragraph"/>
    <w:aliases w:val="Paragraphe EI,Paragraphe de liste1,EC,Paragraphe de liste2,Colorful List Accent 1,Liste couleur - Accent 11,Paragraphe de liste11,List Paragraph,Liste couleur - Accent 111,Policy_Paragraph,List Paragraph1,Issue Action POC,3,Dot pt,L"/>
    <w:basedOn w:val="Normal"/>
    <w:link w:val="ParagraphedelisteCar"/>
    <w:uiPriority w:val="34"/>
    <w:qFormat/>
    <w:rsid w:val="00AB76CE"/>
    <w:pPr>
      <w:ind w:left="720"/>
    </w:pPr>
    <w:rPr>
      <w:rFonts w:ascii="Calibri" w:eastAsiaTheme="minorHAnsi" w:hAnsi="Calibri"/>
      <w:sz w:val="22"/>
      <w:szCs w:val="22"/>
      <w:lang w:eastAsia="en-US"/>
    </w:rPr>
  </w:style>
  <w:style w:type="table" w:styleId="Grilledutableau">
    <w:name w:val="Table Grid"/>
    <w:basedOn w:val="TableauNormal"/>
    <w:uiPriority w:val="59"/>
    <w:rsid w:val="005E58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aliases w:val="Note de bas de page Car2 Car,Note de bas de page Car1 Car Car,Note de bas de page Car Car Car Car,Note de bas de page Car1 Car Car Car Car,Note de bas de page Car Car Car Car Car Car,Note de bas de page Car2"/>
    <w:basedOn w:val="Normal"/>
    <w:link w:val="NotedebasdepageCar"/>
    <w:uiPriority w:val="99"/>
    <w:rsid w:val="00B86667"/>
  </w:style>
  <w:style w:type="character" w:customStyle="1" w:styleId="NotedebasdepageCar">
    <w:name w:val="Note de bas de page Car"/>
    <w:aliases w:val="Note de bas de page Car2 Car Car,Note de bas de page Car1 Car Car Car,Note de bas de page Car Car Car Car Car,Note de bas de page Car1 Car Car Car Car Car,Note de bas de page Car Car Car Car Car Car Car"/>
    <w:basedOn w:val="Policepardfaut"/>
    <w:link w:val="Notedebasdepage"/>
    <w:uiPriority w:val="99"/>
    <w:rsid w:val="00B86667"/>
  </w:style>
  <w:style w:type="character" w:styleId="Appelnotedebasdep">
    <w:name w:val="footnote reference"/>
    <w:aliases w:val="Footnote number,SUPERS,BVI fnr,titre,Footnote Reference Number,Footnote Reference_LVL6,Footnote Reference_LVL61,Footnote Reference_LVL62,Footnote Reference_LVL63,Footnote Reference_LVL64,HAppel note de bas de p.,note de bas de p."/>
    <w:basedOn w:val="Policepardfaut"/>
    <w:uiPriority w:val="99"/>
    <w:qFormat/>
    <w:rsid w:val="00B86667"/>
    <w:rPr>
      <w:vertAlign w:val="superscript"/>
    </w:rPr>
  </w:style>
  <w:style w:type="character" w:customStyle="1" w:styleId="st1">
    <w:name w:val="st1"/>
    <w:basedOn w:val="Policepardfaut"/>
    <w:rsid w:val="00B86667"/>
  </w:style>
  <w:style w:type="character" w:customStyle="1" w:styleId="En-tteCar">
    <w:name w:val="En-tête Car"/>
    <w:basedOn w:val="Policepardfaut"/>
    <w:link w:val="En-tte"/>
    <w:uiPriority w:val="99"/>
    <w:rsid w:val="006C4E36"/>
    <w:rPr>
      <w:rFonts w:ascii="Arial" w:hAnsi="Arial" w:cs="Arial"/>
      <w:sz w:val="22"/>
      <w:szCs w:val="22"/>
    </w:rPr>
  </w:style>
  <w:style w:type="character" w:styleId="Marquedecommentaire">
    <w:name w:val="annotation reference"/>
    <w:basedOn w:val="Policepardfaut"/>
    <w:uiPriority w:val="99"/>
    <w:rsid w:val="00AA43C1"/>
    <w:rPr>
      <w:sz w:val="16"/>
      <w:szCs w:val="16"/>
    </w:rPr>
  </w:style>
  <w:style w:type="paragraph" w:styleId="Commentaire">
    <w:name w:val="annotation text"/>
    <w:basedOn w:val="Normal"/>
    <w:link w:val="CommentaireCar"/>
    <w:uiPriority w:val="99"/>
    <w:rsid w:val="00AA43C1"/>
  </w:style>
  <w:style w:type="character" w:customStyle="1" w:styleId="CommentaireCar">
    <w:name w:val="Commentaire Car"/>
    <w:basedOn w:val="Policepardfaut"/>
    <w:link w:val="Commentaire"/>
    <w:uiPriority w:val="99"/>
    <w:rsid w:val="00AA43C1"/>
  </w:style>
  <w:style w:type="paragraph" w:styleId="Objetducommentaire">
    <w:name w:val="annotation subject"/>
    <w:basedOn w:val="Commentaire"/>
    <w:next w:val="Commentaire"/>
    <w:link w:val="ObjetducommentaireCar"/>
    <w:rsid w:val="00AA43C1"/>
    <w:rPr>
      <w:b/>
      <w:bCs/>
    </w:rPr>
  </w:style>
  <w:style w:type="character" w:customStyle="1" w:styleId="ObjetducommentaireCar">
    <w:name w:val="Objet du commentaire Car"/>
    <w:basedOn w:val="CommentaireCar"/>
    <w:link w:val="Objetducommentaire"/>
    <w:rsid w:val="00AA43C1"/>
    <w:rPr>
      <w:b/>
      <w:bCs/>
    </w:rPr>
  </w:style>
  <w:style w:type="paragraph" w:styleId="Rvision">
    <w:name w:val="Revision"/>
    <w:hidden/>
    <w:uiPriority w:val="99"/>
    <w:semiHidden/>
    <w:rsid w:val="00590C5F"/>
  </w:style>
  <w:style w:type="paragraph" w:styleId="Textebrut">
    <w:name w:val="Plain Text"/>
    <w:basedOn w:val="Normal"/>
    <w:link w:val="TextebrutCar"/>
    <w:uiPriority w:val="99"/>
    <w:unhideWhenUsed/>
    <w:rsid w:val="008B6E5B"/>
    <w:rPr>
      <w:rFonts w:ascii="Calibri" w:eastAsiaTheme="minorEastAsia" w:hAnsi="Calibri"/>
      <w:sz w:val="22"/>
      <w:szCs w:val="21"/>
    </w:rPr>
  </w:style>
  <w:style w:type="character" w:customStyle="1" w:styleId="TextebrutCar">
    <w:name w:val="Texte brut Car"/>
    <w:basedOn w:val="Policepardfaut"/>
    <w:link w:val="Textebrut"/>
    <w:uiPriority w:val="99"/>
    <w:rsid w:val="008B6E5B"/>
    <w:rPr>
      <w:rFonts w:ascii="Calibri" w:eastAsiaTheme="minorEastAsia" w:hAnsi="Calibri"/>
      <w:sz w:val="22"/>
      <w:szCs w:val="21"/>
    </w:rPr>
  </w:style>
  <w:style w:type="paragraph" w:customStyle="1" w:styleId="Default">
    <w:name w:val="Default"/>
    <w:rsid w:val="004F539F"/>
    <w:pPr>
      <w:autoSpaceDE w:val="0"/>
      <w:autoSpaceDN w:val="0"/>
      <w:adjustRightInd w:val="0"/>
    </w:pPr>
    <w:rPr>
      <w:rFonts w:ascii="Arial" w:eastAsiaTheme="minorHAnsi" w:hAnsi="Arial" w:cs="Arial"/>
      <w:color w:val="000000"/>
      <w:sz w:val="24"/>
      <w:szCs w:val="24"/>
      <w:lang w:eastAsia="en-US"/>
    </w:rPr>
  </w:style>
  <w:style w:type="character" w:styleId="Lienhypertexte">
    <w:name w:val="Hyperlink"/>
    <w:basedOn w:val="Policepardfaut"/>
    <w:uiPriority w:val="99"/>
    <w:unhideWhenUsed/>
    <w:rsid w:val="00D412D4"/>
    <w:rPr>
      <w:color w:val="0000FF"/>
      <w:u w:val="single"/>
    </w:rPr>
  </w:style>
  <w:style w:type="paragraph" w:customStyle="1" w:styleId="normal1">
    <w:name w:val="normal 1"/>
    <w:basedOn w:val="Normal"/>
    <w:autoRedefine/>
    <w:rsid w:val="00BB6416"/>
    <w:pPr>
      <w:spacing w:after="160" w:line="240" w:lineRule="exact"/>
    </w:pPr>
    <w:rPr>
      <w:rFonts w:ascii="Arial" w:hAnsi="Arial"/>
      <w:b/>
      <w:i/>
      <w:sz w:val="22"/>
      <w:lang w:val="en-US" w:eastAsia="en-US"/>
    </w:rPr>
  </w:style>
  <w:style w:type="character" w:customStyle="1" w:styleId="bold1">
    <w:name w:val="bold1"/>
    <w:basedOn w:val="Policepardfaut"/>
    <w:rsid w:val="009D0B93"/>
    <w:rPr>
      <w:b/>
      <w:bCs/>
    </w:rPr>
  </w:style>
  <w:style w:type="paragraph" w:styleId="Sansinterligne">
    <w:name w:val="No Spacing"/>
    <w:basedOn w:val="Normal"/>
    <w:uiPriority w:val="1"/>
    <w:qFormat/>
    <w:rsid w:val="002154FC"/>
    <w:rPr>
      <w:rFonts w:ascii="Calibri" w:eastAsiaTheme="minorHAnsi" w:hAnsi="Calibri" w:cs="Calibri"/>
      <w:sz w:val="22"/>
      <w:szCs w:val="22"/>
      <w:lang w:eastAsia="en-US"/>
    </w:rPr>
  </w:style>
  <w:style w:type="character" w:customStyle="1" w:styleId="ParagraphedelisteCar">
    <w:name w:val="Paragraphe de liste Car"/>
    <w:aliases w:val="Paragraphe EI Car,Paragraphe de liste1 Car,EC Car,Paragraphe de liste2 Car,Colorful List Accent 1 Car,Liste couleur - Accent 11 Car,Paragraphe de liste11 Car,List Paragraph Car,Liste couleur - Accent 111 Car,Policy_Paragraph Car"/>
    <w:basedOn w:val="Policepardfaut"/>
    <w:link w:val="Paragraphedeliste"/>
    <w:uiPriority w:val="34"/>
    <w:qFormat/>
    <w:locked/>
    <w:rsid w:val="002154FC"/>
    <w:rPr>
      <w:rFonts w:ascii="Calibri" w:eastAsiaTheme="minorHAnsi" w:hAnsi="Calibri"/>
      <w:sz w:val="22"/>
      <w:szCs w:val="22"/>
      <w:lang w:eastAsia="en-US"/>
    </w:rPr>
  </w:style>
  <w:style w:type="paragraph" w:styleId="NormalWeb">
    <w:name w:val="Normal (Web)"/>
    <w:basedOn w:val="Normal"/>
    <w:uiPriority w:val="99"/>
    <w:unhideWhenUsed/>
    <w:rsid w:val="002154FC"/>
    <w:pPr>
      <w:spacing w:before="100" w:beforeAutospacing="1" w:after="100" w:afterAutospacing="1"/>
    </w:pPr>
    <w:rPr>
      <w:sz w:val="24"/>
      <w:szCs w:val="24"/>
    </w:rPr>
  </w:style>
  <w:style w:type="character" w:styleId="Accentuation">
    <w:name w:val="Emphasis"/>
    <w:basedOn w:val="Policepardfaut"/>
    <w:uiPriority w:val="20"/>
    <w:qFormat/>
    <w:rsid w:val="002154FC"/>
    <w:rPr>
      <w:i/>
      <w:iCs/>
    </w:rPr>
  </w:style>
  <w:style w:type="paragraph" w:customStyle="1" w:styleId="pf0">
    <w:name w:val="pf0"/>
    <w:basedOn w:val="Normal"/>
    <w:rsid w:val="002809B6"/>
    <w:pPr>
      <w:spacing w:before="100" w:beforeAutospacing="1" w:after="100" w:afterAutospacing="1"/>
    </w:pPr>
    <w:rPr>
      <w:sz w:val="24"/>
      <w:szCs w:val="24"/>
    </w:rPr>
  </w:style>
  <w:style w:type="character" w:customStyle="1" w:styleId="cf01">
    <w:name w:val="cf01"/>
    <w:basedOn w:val="Policepardfaut"/>
    <w:rsid w:val="002809B6"/>
    <w:rPr>
      <w:rFonts w:ascii="Segoe UI" w:hAnsi="Segoe UI" w:cs="Segoe UI" w:hint="default"/>
      <w:sz w:val="18"/>
      <w:szCs w:val="18"/>
    </w:rPr>
  </w:style>
  <w:style w:type="character" w:customStyle="1" w:styleId="Titre5Car">
    <w:name w:val="Titre 5 Car"/>
    <w:basedOn w:val="Policepardfaut"/>
    <w:link w:val="Titre5"/>
    <w:uiPriority w:val="9"/>
    <w:rsid w:val="0095677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093659">
      <w:bodyDiv w:val="1"/>
      <w:marLeft w:val="0"/>
      <w:marRight w:val="0"/>
      <w:marTop w:val="0"/>
      <w:marBottom w:val="0"/>
      <w:divBdr>
        <w:top w:val="none" w:sz="0" w:space="0" w:color="auto"/>
        <w:left w:val="none" w:sz="0" w:space="0" w:color="auto"/>
        <w:bottom w:val="none" w:sz="0" w:space="0" w:color="auto"/>
        <w:right w:val="none" w:sz="0" w:space="0" w:color="auto"/>
      </w:divBdr>
    </w:div>
    <w:div w:id="147987178">
      <w:bodyDiv w:val="1"/>
      <w:marLeft w:val="0"/>
      <w:marRight w:val="0"/>
      <w:marTop w:val="0"/>
      <w:marBottom w:val="0"/>
      <w:divBdr>
        <w:top w:val="none" w:sz="0" w:space="0" w:color="auto"/>
        <w:left w:val="none" w:sz="0" w:space="0" w:color="auto"/>
        <w:bottom w:val="none" w:sz="0" w:space="0" w:color="auto"/>
        <w:right w:val="none" w:sz="0" w:space="0" w:color="auto"/>
      </w:divBdr>
    </w:div>
    <w:div w:id="190262945">
      <w:bodyDiv w:val="1"/>
      <w:marLeft w:val="0"/>
      <w:marRight w:val="0"/>
      <w:marTop w:val="0"/>
      <w:marBottom w:val="0"/>
      <w:divBdr>
        <w:top w:val="none" w:sz="0" w:space="0" w:color="auto"/>
        <w:left w:val="none" w:sz="0" w:space="0" w:color="auto"/>
        <w:bottom w:val="none" w:sz="0" w:space="0" w:color="auto"/>
        <w:right w:val="none" w:sz="0" w:space="0" w:color="auto"/>
      </w:divBdr>
    </w:div>
    <w:div w:id="338505110">
      <w:bodyDiv w:val="1"/>
      <w:marLeft w:val="0"/>
      <w:marRight w:val="0"/>
      <w:marTop w:val="0"/>
      <w:marBottom w:val="0"/>
      <w:divBdr>
        <w:top w:val="none" w:sz="0" w:space="0" w:color="auto"/>
        <w:left w:val="none" w:sz="0" w:space="0" w:color="auto"/>
        <w:bottom w:val="none" w:sz="0" w:space="0" w:color="auto"/>
        <w:right w:val="none" w:sz="0" w:space="0" w:color="auto"/>
      </w:divBdr>
    </w:div>
    <w:div w:id="642925633">
      <w:bodyDiv w:val="1"/>
      <w:marLeft w:val="0"/>
      <w:marRight w:val="0"/>
      <w:marTop w:val="0"/>
      <w:marBottom w:val="0"/>
      <w:divBdr>
        <w:top w:val="none" w:sz="0" w:space="0" w:color="auto"/>
        <w:left w:val="none" w:sz="0" w:space="0" w:color="auto"/>
        <w:bottom w:val="none" w:sz="0" w:space="0" w:color="auto"/>
        <w:right w:val="none" w:sz="0" w:space="0" w:color="auto"/>
      </w:divBdr>
    </w:div>
    <w:div w:id="665787913">
      <w:bodyDiv w:val="1"/>
      <w:marLeft w:val="0"/>
      <w:marRight w:val="0"/>
      <w:marTop w:val="0"/>
      <w:marBottom w:val="0"/>
      <w:divBdr>
        <w:top w:val="none" w:sz="0" w:space="0" w:color="auto"/>
        <w:left w:val="none" w:sz="0" w:space="0" w:color="auto"/>
        <w:bottom w:val="none" w:sz="0" w:space="0" w:color="auto"/>
        <w:right w:val="none" w:sz="0" w:space="0" w:color="auto"/>
      </w:divBdr>
    </w:div>
    <w:div w:id="742993153">
      <w:bodyDiv w:val="1"/>
      <w:marLeft w:val="0"/>
      <w:marRight w:val="0"/>
      <w:marTop w:val="0"/>
      <w:marBottom w:val="0"/>
      <w:divBdr>
        <w:top w:val="none" w:sz="0" w:space="0" w:color="auto"/>
        <w:left w:val="none" w:sz="0" w:space="0" w:color="auto"/>
        <w:bottom w:val="none" w:sz="0" w:space="0" w:color="auto"/>
        <w:right w:val="none" w:sz="0" w:space="0" w:color="auto"/>
      </w:divBdr>
    </w:div>
    <w:div w:id="746877247">
      <w:bodyDiv w:val="1"/>
      <w:marLeft w:val="0"/>
      <w:marRight w:val="0"/>
      <w:marTop w:val="0"/>
      <w:marBottom w:val="0"/>
      <w:divBdr>
        <w:top w:val="none" w:sz="0" w:space="0" w:color="auto"/>
        <w:left w:val="none" w:sz="0" w:space="0" w:color="auto"/>
        <w:bottom w:val="none" w:sz="0" w:space="0" w:color="auto"/>
        <w:right w:val="none" w:sz="0" w:space="0" w:color="auto"/>
      </w:divBdr>
      <w:divsChild>
        <w:div w:id="38670161">
          <w:marLeft w:val="360"/>
          <w:marRight w:val="0"/>
          <w:marTop w:val="200"/>
          <w:marBottom w:val="0"/>
          <w:divBdr>
            <w:top w:val="none" w:sz="0" w:space="0" w:color="auto"/>
            <w:left w:val="none" w:sz="0" w:space="0" w:color="auto"/>
            <w:bottom w:val="none" w:sz="0" w:space="0" w:color="auto"/>
            <w:right w:val="none" w:sz="0" w:space="0" w:color="auto"/>
          </w:divBdr>
        </w:div>
        <w:div w:id="1339849941">
          <w:marLeft w:val="1080"/>
          <w:marRight w:val="0"/>
          <w:marTop w:val="100"/>
          <w:marBottom w:val="0"/>
          <w:divBdr>
            <w:top w:val="none" w:sz="0" w:space="0" w:color="auto"/>
            <w:left w:val="none" w:sz="0" w:space="0" w:color="auto"/>
            <w:bottom w:val="none" w:sz="0" w:space="0" w:color="auto"/>
            <w:right w:val="none" w:sz="0" w:space="0" w:color="auto"/>
          </w:divBdr>
        </w:div>
        <w:div w:id="1681615157">
          <w:marLeft w:val="1080"/>
          <w:marRight w:val="0"/>
          <w:marTop w:val="100"/>
          <w:marBottom w:val="0"/>
          <w:divBdr>
            <w:top w:val="none" w:sz="0" w:space="0" w:color="auto"/>
            <w:left w:val="none" w:sz="0" w:space="0" w:color="auto"/>
            <w:bottom w:val="none" w:sz="0" w:space="0" w:color="auto"/>
            <w:right w:val="none" w:sz="0" w:space="0" w:color="auto"/>
          </w:divBdr>
        </w:div>
        <w:div w:id="43867700">
          <w:marLeft w:val="1080"/>
          <w:marRight w:val="0"/>
          <w:marTop w:val="100"/>
          <w:marBottom w:val="0"/>
          <w:divBdr>
            <w:top w:val="none" w:sz="0" w:space="0" w:color="auto"/>
            <w:left w:val="none" w:sz="0" w:space="0" w:color="auto"/>
            <w:bottom w:val="none" w:sz="0" w:space="0" w:color="auto"/>
            <w:right w:val="none" w:sz="0" w:space="0" w:color="auto"/>
          </w:divBdr>
        </w:div>
        <w:div w:id="1902406368">
          <w:marLeft w:val="1080"/>
          <w:marRight w:val="0"/>
          <w:marTop w:val="100"/>
          <w:marBottom w:val="0"/>
          <w:divBdr>
            <w:top w:val="none" w:sz="0" w:space="0" w:color="auto"/>
            <w:left w:val="none" w:sz="0" w:space="0" w:color="auto"/>
            <w:bottom w:val="none" w:sz="0" w:space="0" w:color="auto"/>
            <w:right w:val="none" w:sz="0" w:space="0" w:color="auto"/>
          </w:divBdr>
        </w:div>
        <w:div w:id="1523593674">
          <w:marLeft w:val="1080"/>
          <w:marRight w:val="0"/>
          <w:marTop w:val="100"/>
          <w:marBottom w:val="0"/>
          <w:divBdr>
            <w:top w:val="none" w:sz="0" w:space="0" w:color="auto"/>
            <w:left w:val="none" w:sz="0" w:space="0" w:color="auto"/>
            <w:bottom w:val="none" w:sz="0" w:space="0" w:color="auto"/>
            <w:right w:val="none" w:sz="0" w:space="0" w:color="auto"/>
          </w:divBdr>
        </w:div>
      </w:divsChild>
    </w:div>
    <w:div w:id="817184527">
      <w:bodyDiv w:val="1"/>
      <w:marLeft w:val="0"/>
      <w:marRight w:val="0"/>
      <w:marTop w:val="0"/>
      <w:marBottom w:val="0"/>
      <w:divBdr>
        <w:top w:val="none" w:sz="0" w:space="0" w:color="auto"/>
        <w:left w:val="none" w:sz="0" w:space="0" w:color="auto"/>
        <w:bottom w:val="none" w:sz="0" w:space="0" w:color="auto"/>
        <w:right w:val="none" w:sz="0" w:space="0" w:color="auto"/>
      </w:divBdr>
    </w:div>
    <w:div w:id="882835652">
      <w:bodyDiv w:val="1"/>
      <w:marLeft w:val="0"/>
      <w:marRight w:val="0"/>
      <w:marTop w:val="0"/>
      <w:marBottom w:val="0"/>
      <w:divBdr>
        <w:top w:val="none" w:sz="0" w:space="0" w:color="auto"/>
        <w:left w:val="none" w:sz="0" w:space="0" w:color="auto"/>
        <w:bottom w:val="none" w:sz="0" w:space="0" w:color="auto"/>
        <w:right w:val="none" w:sz="0" w:space="0" w:color="auto"/>
      </w:divBdr>
    </w:div>
    <w:div w:id="933392944">
      <w:bodyDiv w:val="1"/>
      <w:marLeft w:val="0"/>
      <w:marRight w:val="0"/>
      <w:marTop w:val="0"/>
      <w:marBottom w:val="0"/>
      <w:divBdr>
        <w:top w:val="none" w:sz="0" w:space="0" w:color="auto"/>
        <w:left w:val="none" w:sz="0" w:space="0" w:color="auto"/>
        <w:bottom w:val="none" w:sz="0" w:space="0" w:color="auto"/>
        <w:right w:val="none" w:sz="0" w:space="0" w:color="auto"/>
      </w:divBdr>
    </w:div>
    <w:div w:id="1040129701">
      <w:bodyDiv w:val="1"/>
      <w:marLeft w:val="0"/>
      <w:marRight w:val="0"/>
      <w:marTop w:val="0"/>
      <w:marBottom w:val="0"/>
      <w:divBdr>
        <w:top w:val="none" w:sz="0" w:space="0" w:color="auto"/>
        <w:left w:val="none" w:sz="0" w:space="0" w:color="auto"/>
        <w:bottom w:val="none" w:sz="0" w:space="0" w:color="auto"/>
        <w:right w:val="none" w:sz="0" w:space="0" w:color="auto"/>
      </w:divBdr>
      <w:divsChild>
        <w:div w:id="1773436248">
          <w:marLeft w:val="274"/>
          <w:marRight w:val="0"/>
          <w:marTop w:val="0"/>
          <w:marBottom w:val="0"/>
          <w:divBdr>
            <w:top w:val="none" w:sz="0" w:space="0" w:color="auto"/>
            <w:left w:val="none" w:sz="0" w:space="0" w:color="auto"/>
            <w:bottom w:val="none" w:sz="0" w:space="0" w:color="auto"/>
            <w:right w:val="none" w:sz="0" w:space="0" w:color="auto"/>
          </w:divBdr>
        </w:div>
      </w:divsChild>
    </w:div>
    <w:div w:id="1043945769">
      <w:bodyDiv w:val="1"/>
      <w:marLeft w:val="0"/>
      <w:marRight w:val="0"/>
      <w:marTop w:val="0"/>
      <w:marBottom w:val="0"/>
      <w:divBdr>
        <w:top w:val="none" w:sz="0" w:space="0" w:color="auto"/>
        <w:left w:val="none" w:sz="0" w:space="0" w:color="auto"/>
        <w:bottom w:val="none" w:sz="0" w:space="0" w:color="auto"/>
        <w:right w:val="none" w:sz="0" w:space="0" w:color="auto"/>
      </w:divBdr>
    </w:div>
    <w:div w:id="1120147379">
      <w:bodyDiv w:val="1"/>
      <w:marLeft w:val="0"/>
      <w:marRight w:val="0"/>
      <w:marTop w:val="0"/>
      <w:marBottom w:val="0"/>
      <w:divBdr>
        <w:top w:val="none" w:sz="0" w:space="0" w:color="auto"/>
        <w:left w:val="none" w:sz="0" w:space="0" w:color="auto"/>
        <w:bottom w:val="none" w:sz="0" w:space="0" w:color="auto"/>
        <w:right w:val="none" w:sz="0" w:space="0" w:color="auto"/>
      </w:divBdr>
    </w:div>
    <w:div w:id="1127699775">
      <w:bodyDiv w:val="1"/>
      <w:marLeft w:val="0"/>
      <w:marRight w:val="0"/>
      <w:marTop w:val="0"/>
      <w:marBottom w:val="0"/>
      <w:divBdr>
        <w:top w:val="none" w:sz="0" w:space="0" w:color="auto"/>
        <w:left w:val="none" w:sz="0" w:space="0" w:color="auto"/>
        <w:bottom w:val="none" w:sz="0" w:space="0" w:color="auto"/>
        <w:right w:val="none" w:sz="0" w:space="0" w:color="auto"/>
      </w:divBdr>
    </w:div>
    <w:div w:id="1173910980">
      <w:bodyDiv w:val="1"/>
      <w:marLeft w:val="0"/>
      <w:marRight w:val="0"/>
      <w:marTop w:val="0"/>
      <w:marBottom w:val="0"/>
      <w:divBdr>
        <w:top w:val="none" w:sz="0" w:space="0" w:color="auto"/>
        <w:left w:val="none" w:sz="0" w:space="0" w:color="auto"/>
        <w:bottom w:val="none" w:sz="0" w:space="0" w:color="auto"/>
        <w:right w:val="none" w:sz="0" w:space="0" w:color="auto"/>
      </w:divBdr>
    </w:div>
    <w:div w:id="1181702959">
      <w:bodyDiv w:val="1"/>
      <w:marLeft w:val="0"/>
      <w:marRight w:val="0"/>
      <w:marTop w:val="0"/>
      <w:marBottom w:val="0"/>
      <w:divBdr>
        <w:top w:val="none" w:sz="0" w:space="0" w:color="auto"/>
        <w:left w:val="none" w:sz="0" w:space="0" w:color="auto"/>
        <w:bottom w:val="none" w:sz="0" w:space="0" w:color="auto"/>
        <w:right w:val="none" w:sz="0" w:space="0" w:color="auto"/>
      </w:divBdr>
    </w:div>
    <w:div w:id="1197934388">
      <w:bodyDiv w:val="1"/>
      <w:marLeft w:val="0"/>
      <w:marRight w:val="0"/>
      <w:marTop w:val="0"/>
      <w:marBottom w:val="0"/>
      <w:divBdr>
        <w:top w:val="none" w:sz="0" w:space="0" w:color="auto"/>
        <w:left w:val="none" w:sz="0" w:space="0" w:color="auto"/>
        <w:bottom w:val="none" w:sz="0" w:space="0" w:color="auto"/>
        <w:right w:val="none" w:sz="0" w:space="0" w:color="auto"/>
      </w:divBdr>
    </w:div>
    <w:div w:id="1210193440">
      <w:bodyDiv w:val="1"/>
      <w:marLeft w:val="0"/>
      <w:marRight w:val="0"/>
      <w:marTop w:val="0"/>
      <w:marBottom w:val="0"/>
      <w:divBdr>
        <w:top w:val="none" w:sz="0" w:space="0" w:color="auto"/>
        <w:left w:val="none" w:sz="0" w:space="0" w:color="auto"/>
        <w:bottom w:val="none" w:sz="0" w:space="0" w:color="auto"/>
        <w:right w:val="none" w:sz="0" w:space="0" w:color="auto"/>
      </w:divBdr>
    </w:div>
    <w:div w:id="1225682608">
      <w:bodyDiv w:val="1"/>
      <w:marLeft w:val="0"/>
      <w:marRight w:val="0"/>
      <w:marTop w:val="0"/>
      <w:marBottom w:val="0"/>
      <w:divBdr>
        <w:top w:val="none" w:sz="0" w:space="0" w:color="auto"/>
        <w:left w:val="none" w:sz="0" w:space="0" w:color="auto"/>
        <w:bottom w:val="none" w:sz="0" w:space="0" w:color="auto"/>
        <w:right w:val="none" w:sz="0" w:space="0" w:color="auto"/>
      </w:divBdr>
    </w:div>
    <w:div w:id="1249851071">
      <w:bodyDiv w:val="1"/>
      <w:marLeft w:val="0"/>
      <w:marRight w:val="0"/>
      <w:marTop w:val="0"/>
      <w:marBottom w:val="0"/>
      <w:divBdr>
        <w:top w:val="none" w:sz="0" w:space="0" w:color="auto"/>
        <w:left w:val="none" w:sz="0" w:space="0" w:color="auto"/>
        <w:bottom w:val="none" w:sz="0" w:space="0" w:color="auto"/>
        <w:right w:val="none" w:sz="0" w:space="0" w:color="auto"/>
      </w:divBdr>
    </w:div>
    <w:div w:id="1293098820">
      <w:bodyDiv w:val="1"/>
      <w:marLeft w:val="0"/>
      <w:marRight w:val="0"/>
      <w:marTop w:val="0"/>
      <w:marBottom w:val="0"/>
      <w:divBdr>
        <w:top w:val="none" w:sz="0" w:space="0" w:color="auto"/>
        <w:left w:val="none" w:sz="0" w:space="0" w:color="auto"/>
        <w:bottom w:val="none" w:sz="0" w:space="0" w:color="auto"/>
        <w:right w:val="none" w:sz="0" w:space="0" w:color="auto"/>
      </w:divBdr>
    </w:div>
    <w:div w:id="1331636054">
      <w:bodyDiv w:val="1"/>
      <w:marLeft w:val="0"/>
      <w:marRight w:val="0"/>
      <w:marTop w:val="0"/>
      <w:marBottom w:val="0"/>
      <w:divBdr>
        <w:top w:val="none" w:sz="0" w:space="0" w:color="auto"/>
        <w:left w:val="none" w:sz="0" w:space="0" w:color="auto"/>
        <w:bottom w:val="none" w:sz="0" w:space="0" w:color="auto"/>
        <w:right w:val="none" w:sz="0" w:space="0" w:color="auto"/>
      </w:divBdr>
    </w:div>
    <w:div w:id="1370032121">
      <w:bodyDiv w:val="1"/>
      <w:marLeft w:val="0"/>
      <w:marRight w:val="0"/>
      <w:marTop w:val="0"/>
      <w:marBottom w:val="0"/>
      <w:divBdr>
        <w:top w:val="none" w:sz="0" w:space="0" w:color="auto"/>
        <w:left w:val="none" w:sz="0" w:space="0" w:color="auto"/>
        <w:bottom w:val="none" w:sz="0" w:space="0" w:color="auto"/>
        <w:right w:val="none" w:sz="0" w:space="0" w:color="auto"/>
      </w:divBdr>
      <w:divsChild>
        <w:div w:id="167671712">
          <w:marLeft w:val="75"/>
          <w:marRight w:val="75"/>
          <w:marTop w:val="75"/>
          <w:marBottom w:val="75"/>
          <w:divBdr>
            <w:top w:val="none" w:sz="0" w:space="0" w:color="auto"/>
            <w:left w:val="none" w:sz="0" w:space="0" w:color="auto"/>
            <w:bottom w:val="none" w:sz="0" w:space="0" w:color="auto"/>
            <w:right w:val="none" w:sz="0" w:space="0" w:color="auto"/>
          </w:divBdr>
          <w:divsChild>
            <w:div w:id="889879861">
              <w:marLeft w:val="0"/>
              <w:marRight w:val="0"/>
              <w:marTop w:val="0"/>
              <w:marBottom w:val="0"/>
              <w:divBdr>
                <w:top w:val="none" w:sz="0" w:space="0" w:color="auto"/>
                <w:left w:val="none" w:sz="0" w:space="0" w:color="auto"/>
                <w:bottom w:val="none" w:sz="0" w:space="0" w:color="auto"/>
                <w:right w:val="none" w:sz="0" w:space="0" w:color="auto"/>
              </w:divBdr>
              <w:divsChild>
                <w:div w:id="465664076">
                  <w:marLeft w:val="225"/>
                  <w:marRight w:val="75"/>
                  <w:marTop w:val="450"/>
                  <w:marBottom w:val="0"/>
                  <w:divBdr>
                    <w:top w:val="none" w:sz="0" w:space="0" w:color="auto"/>
                    <w:left w:val="none" w:sz="0" w:space="0" w:color="auto"/>
                    <w:bottom w:val="none" w:sz="0" w:space="0" w:color="auto"/>
                    <w:right w:val="none" w:sz="0" w:space="0" w:color="auto"/>
                  </w:divBdr>
                  <w:divsChild>
                    <w:div w:id="2093433121">
                      <w:marLeft w:val="0"/>
                      <w:marRight w:val="0"/>
                      <w:marTop w:val="0"/>
                      <w:marBottom w:val="0"/>
                      <w:divBdr>
                        <w:top w:val="none" w:sz="0" w:space="0" w:color="auto"/>
                        <w:left w:val="none" w:sz="0" w:space="0" w:color="auto"/>
                        <w:bottom w:val="none" w:sz="0" w:space="0" w:color="auto"/>
                        <w:right w:val="none" w:sz="0" w:space="0" w:color="auto"/>
                      </w:divBdr>
                      <w:divsChild>
                        <w:div w:id="6918770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375697923">
      <w:bodyDiv w:val="1"/>
      <w:marLeft w:val="0"/>
      <w:marRight w:val="0"/>
      <w:marTop w:val="0"/>
      <w:marBottom w:val="0"/>
      <w:divBdr>
        <w:top w:val="none" w:sz="0" w:space="0" w:color="auto"/>
        <w:left w:val="none" w:sz="0" w:space="0" w:color="auto"/>
        <w:bottom w:val="none" w:sz="0" w:space="0" w:color="auto"/>
        <w:right w:val="none" w:sz="0" w:space="0" w:color="auto"/>
      </w:divBdr>
    </w:div>
    <w:div w:id="1412311694">
      <w:bodyDiv w:val="1"/>
      <w:marLeft w:val="0"/>
      <w:marRight w:val="0"/>
      <w:marTop w:val="0"/>
      <w:marBottom w:val="0"/>
      <w:divBdr>
        <w:top w:val="none" w:sz="0" w:space="0" w:color="auto"/>
        <w:left w:val="none" w:sz="0" w:space="0" w:color="auto"/>
        <w:bottom w:val="none" w:sz="0" w:space="0" w:color="auto"/>
        <w:right w:val="none" w:sz="0" w:space="0" w:color="auto"/>
      </w:divBdr>
    </w:div>
    <w:div w:id="1461731347">
      <w:bodyDiv w:val="1"/>
      <w:marLeft w:val="0"/>
      <w:marRight w:val="0"/>
      <w:marTop w:val="0"/>
      <w:marBottom w:val="0"/>
      <w:divBdr>
        <w:top w:val="none" w:sz="0" w:space="0" w:color="auto"/>
        <w:left w:val="none" w:sz="0" w:space="0" w:color="auto"/>
        <w:bottom w:val="none" w:sz="0" w:space="0" w:color="auto"/>
        <w:right w:val="none" w:sz="0" w:space="0" w:color="auto"/>
      </w:divBdr>
    </w:div>
    <w:div w:id="1504665163">
      <w:bodyDiv w:val="1"/>
      <w:marLeft w:val="0"/>
      <w:marRight w:val="0"/>
      <w:marTop w:val="0"/>
      <w:marBottom w:val="0"/>
      <w:divBdr>
        <w:top w:val="none" w:sz="0" w:space="0" w:color="auto"/>
        <w:left w:val="none" w:sz="0" w:space="0" w:color="auto"/>
        <w:bottom w:val="none" w:sz="0" w:space="0" w:color="auto"/>
        <w:right w:val="none" w:sz="0" w:space="0" w:color="auto"/>
      </w:divBdr>
      <w:divsChild>
        <w:div w:id="667292025">
          <w:marLeft w:val="274"/>
          <w:marRight w:val="0"/>
          <w:marTop w:val="0"/>
          <w:marBottom w:val="0"/>
          <w:divBdr>
            <w:top w:val="none" w:sz="0" w:space="0" w:color="auto"/>
            <w:left w:val="none" w:sz="0" w:space="0" w:color="auto"/>
            <w:bottom w:val="none" w:sz="0" w:space="0" w:color="auto"/>
            <w:right w:val="none" w:sz="0" w:space="0" w:color="auto"/>
          </w:divBdr>
        </w:div>
      </w:divsChild>
    </w:div>
    <w:div w:id="1506093309">
      <w:bodyDiv w:val="1"/>
      <w:marLeft w:val="0"/>
      <w:marRight w:val="0"/>
      <w:marTop w:val="0"/>
      <w:marBottom w:val="0"/>
      <w:divBdr>
        <w:top w:val="none" w:sz="0" w:space="0" w:color="auto"/>
        <w:left w:val="none" w:sz="0" w:space="0" w:color="auto"/>
        <w:bottom w:val="none" w:sz="0" w:space="0" w:color="auto"/>
        <w:right w:val="none" w:sz="0" w:space="0" w:color="auto"/>
      </w:divBdr>
    </w:div>
    <w:div w:id="1516766450">
      <w:bodyDiv w:val="1"/>
      <w:marLeft w:val="0"/>
      <w:marRight w:val="0"/>
      <w:marTop w:val="0"/>
      <w:marBottom w:val="0"/>
      <w:divBdr>
        <w:top w:val="none" w:sz="0" w:space="0" w:color="auto"/>
        <w:left w:val="none" w:sz="0" w:space="0" w:color="auto"/>
        <w:bottom w:val="none" w:sz="0" w:space="0" w:color="auto"/>
        <w:right w:val="none" w:sz="0" w:space="0" w:color="auto"/>
      </w:divBdr>
    </w:div>
    <w:div w:id="1535312115">
      <w:bodyDiv w:val="1"/>
      <w:marLeft w:val="0"/>
      <w:marRight w:val="0"/>
      <w:marTop w:val="0"/>
      <w:marBottom w:val="0"/>
      <w:divBdr>
        <w:top w:val="none" w:sz="0" w:space="0" w:color="auto"/>
        <w:left w:val="none" w:sz="0" w:space="0" w:color="auto"/>
        <w:bottom w:val="none" w:sz="0" w:space="0" w:color="auto"/>
        <w:right w:val="none" w:sz="0" w:space="0" w:color="auto"/>
      </w:divBdr>
    </w:div>
    <w:div w:id="1546912807">
      <w:bodyDiv w:val="1"/>
      <w:marLeft w:val="0"/>
      <w:marRight w:val="0"/>
      <w:marTop w:val="0"/>
      <w:marBottom w:val="0"/>
      <w:divBdr>
        <w:top w:val="none" w:sz="0" w:space="0" w:color="auto"/>
        <w:left w:val="none" w:sz="0" w:space="0" w:color="auto"/>
        <w:bottom w:val="none" w:sz="0" w:space="0" w:color="auto"/>
        <w:right w:val="none" w:sz="0" w:space="0" w:color="auto"/>
      </w:divBdr>
    </w:div>
    <w:div w:id="1584727493">
      <w:bodyDiv w:val="1"/>
      <w:marLeft w:val="0"/>
      <w:marRight w:val="0"/>
      <w:marTop w:val="0"/>
      <w:marBottom w:val="0"/>
      <w:divBdr>
        <w:top w:val="none" w:sz="0" w:space="0" w:color="auto"/>
        <w:left w:val="none" w:sz="0" w:space="0" w:color="auto"/>
        <w:bottom w:val="none" w:sz="0" w:space="0" w:color="auto"/>
        <w:right w:val="none" w:sz="0" w:space="0" w:color="auto"/>
      </w:divBdr>
    </w:div>
    <w:div w:id="1797404185">
      <w:bodyDiv w:val="1"/>
      <w:marLeft w:val="0"/>
      <w:marRight w:val="0"/>
      <w:marTop w:val="0"/>
      <w:marBottom w:val="0"/>
      <w:divBdr>
        <w:top w:val="none" w:sz="0" w:space="0" w:color="auto"/>
        <w:left w:val="none" w:sz="0" w:space="0" w:color="auto"/>
        <w:bottom w:val="none" w:sz="0" w:space="0" w:color="auto"/>
        <w:right w:val="none" w:sz="0" w:space="0" w:color="auto"/>
      </w:divBdr>
      <w:divsChild>
        <w:div w:id="1406147061">
          <w:marLeft w:val="1080"/>
          <w:marRight w:val="0"/>
          <w:marTop w:val="100"/>
          <w:marBottom w:val="0"/>
          <w:divBdr>
            <w:top w:val="none" w:sz="0" w:space="0" w:color="auto"/>
            <w:left w:val="none" w:sz="0" w:space="0" w:color="auto"/>
            <w:bottom w:val="none" w:sz="0" w:space="0" w:color="auto"/>
            <w:right w:val="none" w:sz="0" w:space="0" w:color="auto"/>
          </w:divBdr>
        </w:div>
      </w:divsChild>
    </w:div>
    <w:div w:id="1856573173">
      <w:bodyDiv w:val="1"/>
      <w:marLeft w:val="0"/>
      <w:marRight w:val="0"/>
      <w:marTop w:val="0"/>
      <w:marBottom w:val="0"/>
      <w:divBdr>
        <w:top w:val="none" w:sz="0" w:space="0" w:color="auto"/>
        <w:left w:val="none" w:sz="0" w:space="0" w:color="auto"/>
        <w:bottom w:val="none" w:sz="0" w:space="0" w:color="auto"/>
        <w:right w:val="none" w:sz="0" w:space="0" w:color="auto"/>
      </w:divBdr>
    </w:div>
    <w:div w:id="1951163411">
      <w:bodyDiv w:val="1"/>
      <w:marLeft w:val="0"/>
      <w:marRight w:val="0"/>
      <w:marTop w:val="0"/>
      <w:marBottom w:val="0"/>
      <w:divBdr>
        <w:top w:val="none" w:sz="0" w:space="0" w:color="auto"/>
        <w:left w:val="none" w:sz="0" w:space="0" w:color="auto"/>
        <w:bottom w:val="none" w:sz="0" w:space="0" w:color="auto"/>
        <w:right w:val="none" w:sz="0" w:space="0" w:color="auto"/>
      </w:divBdr>
    </w:div>
    <w:div w:id="1953703728">
      <w:bodyDiv w:val="1"/>
      <w:marLeft w:val="0"/>
      <w:marRight w:val="0"/>
      <w:marTop w:val="0"/>
      <w:marBottom w:val="0"/>
      <w:divBdr>
        <w:top w:val="none" w:sz="0" w:space="0" w:color="auto"/>
        <w:left w:val="none" w:sz="0" w:space="0" w:color="auto"/>
        <w:bottom w:val="none" w:sz="0" w:space="0" w:color="auto"/>
        <w:right w:val="none" w:sz="0" w:space="0" w:color="auto"/>
      </w:divBdr>
    </w:div>
    <w:div w:id="1962035704">
      <w:bodyDiv w:val="1"/>
      <w:marLeft w:val="0"/>
      <w:marRight w:val="0"/>
      <w:marTop w:val="0"/>
      <w:marBottom w:val="0"/>
      <w:divBdr>
        <w:top w:val="none" w:sz="0" w:space="0" w:color="auto"/>
        <w:left w:val="none" w:sz="0" w:space="0" w:color="auto"/>
        <w:bottom w:val="none" w:sz="0" w:space="0" w:color="auto"/>
        <w:right w:val="none" w:sz="0" w:space="0" w:color="auto"/>
      </w:divBdr>
      <w:divsChild>
        <w:div w:id="1108088679">
          <w:marLeft w:val="1080"/>
          <w:marRight w:val="0"/>
          <w:marTop w:val="100"/>
          <w:marBottom w:val="0"/>
          <w:divBdr>
            <w:top w:val="none" w:sz="0" w:space="0" w:color="auto"/>
            <w:left w:val="none" w:sz="0" w:space="0" w:color="auto"/>
            <w:bottom w:val="none" w:sz="0" w:space="0" w:color="auto"/>
            <w:right w:val="none" w:sz="0" w:space="0" w:color="auto"/>
          </w:divBdr>
        </w:div>
        <w:div w:id="1921405832">
          <w:marLeft w:val="1080"/>
          <w:marRight w:val="0"/>
          <w:marTop w:val="100"/>
          <w:marBottom w:val="0"/>
          <w:divBdr>
            <w:top w:val="none" w:sz="0" w:space="0" w:color="auto"/>
            <w:left w:val="none" w:sz="0" w:space="0" w:color="auto"/>
            <w:bottom w:val="none" w:sz="0" w:space="0" w:color="auto"/>
            <w:right w:val="none" w:sz="0" w:space="0" w:color="auto"/>
          </w:divBdr>
        </w:div>
        <w:div w:id="1850869039">
          <w:marLeft w:val="1080"/>
          <w:marRight w:val="0"/>
          <w:marTop w:val="100"/>
          <w:marBottom w:val="0"/>
          <w:divBdr>
            <w:top w:val="none" w:sz="0" w:space="0" w:color="auto"/>
            <w:left w:val="none" w:sz="0" w:space="0" w:color="auto"/>
            <w:bottom w:val="none" w:sz="0" w:space="0" w:color="auto"/>
            <w:right w:val="none" w:sz="0" w:space="0" w:color="auto"/>
          </w:divBdr>
        </w:div>
        <w:div w:id="1688630046">
          <w:marLeft w:val="1080"/>
          <w:marRight w:val="0"/>
          <w:marTop w:val="1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eic.ec.europa.eu/eic-board-members_en"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Word" ma:contentTypeID="0x0101003C79CFFF4B5C42CFBF3E958612ADA9A300FF278770609E4E3DBAD07D763F702F6E00CC358C0A5A3A1948B757CF49CA30EA3E" ma:contentTypeVersion="10" ma:contentTypeDescription="Document au format .Docx" ma:contentTypeScope="" ma:versionID="9834871ac33800680adf21cd45df4e6d">
  <xsd:schema xmlns:xsd="http://www.w3.org/2001/XMLSchema" xmlns:xs="http://www.w3.org/2001/XMLSchema" xmlns:p="http://schemas.microsoft.com/office/2006/metadata/properties" xmlns:ns2="2f2c228b-9c1e-46ca-bae4-d89b7cbb1aac" xmlns:ns3="5be41352-6c03-4da3-9bd1-bbf4efd58abb" xmlns:ns4="1e46f7fe-3764-40b5-abd1-1746c716214b" targetNamespace="http://schemas.microsoft.com/office/2006/metadata/properties" ma:root="true" ma:fieldsID="3fa370d3ec9ae12adcf14e477e2016bc" ns2:_="" ns3:_="" ns4:_="">
    <xsd:import namespace="2f2c228b-9c1e-46ca-bae4-d89b7cbb1aac"/>
    <xsd:import namespace="5be41352-6c03-4da3-9bd1-bbf4efd58abb"/>
    <xsd:import namespace="1e46f7fe-3764-40b5-abd1-1746c716214b"/>
    <xsd:element name="properties">
      <xsd:complexType>
        <xsd:sequence>
          <xsd:element name="documentManagement">
            <xsd:complexType>
              <xsd:all>
                <xsd:element ref="ns2:_dlc_DocId" minOccurs="0"/>
                <xsd:element ref="ns2:_dlc_DocIdUrl" minOccurs="0"/>
                <xsd:element ref="ns2:_dlc_DocIdPersistId" minOccurs="0"/>
                <xsd:element ref="ns3:FlagChrono" minOccurs="0"/>
                <xsd:element ref="ns3:Type_docFBFTaxHTField0" minOccurs="0"/>
                <xsd:element ref="ns3:Destination_docFBFTaxHTField0" minOccurs="0"/>
                <xsd:element ref="ns3:Source_docFBFTaxHTField0" minOccurs="0"/>
                <xsd:element ref="ns3:Theme_docFBFTaxHTField0" minOccurs="0"/>
                <xsd:element ref="ns3:Position" minOccurs="0"/>
                <xsd:element ref="ns3:Date_du_document"/>
                <xsd:element ref="ns3:Auteur" minOccurs="0"/>
                <xsd:element ref="ns4:TaxCatchAll" minOccurs="0"/>
                <xsd:element ref="ns4: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2c228b-9c1e-46ca-bae4-d89b7cbb1aac"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be41352-6c03-4da3-9bd1-bbf4efd58abb" elementFormDefault="qualified">
    <xsd:import namespace="http://schemas.microsoft.com/office/2006/documentManagement/types"/>
    <xsd:import namespace="http://schemas.microsoft.com/office/infopath/2007/PartnerControls"/>
    <xsd:element name="FlagChrono" ma:index="11" nillable="true" ma:displayName="Nom du document" ma:internalName="FlagChrono">
      <xsd:simpleType>
        <xsd:restriction base="dms:Text">
          <xsd:maxLength value="255"/>
        </xsd:restriction>
      </xsd:simpleType>
    </xsd:element>
    <xsd:element name="Type_docFBFTaxHTField0" ma:index="12" nillable="true" ma:taxonomy="true" ma:internalName="Type_docFBFTaxHTField0" ma:taxonomyFieldName="Type_docFBF" ma:displayName="Type" ma:fieldId="{7731117e-801e-4d7c-a9e5-621edca36438}" ma:sspId="380fdde9-80c6-49ce-b025-9a22ec97f8d5" ma:termSetId="e1595945-9332-4534-bb97-7ac4ca55f5fd" ma:anchorId="00000000-0000-0000-0000-000000000000" ma:open="false" ma:isKeyword="false">
      <xsd:complexType>
        <xsd:sequence>
          <xsd:element ref="pc:Terms" minOccurs="0" maxOccurs="1"/>
        </xsd:sequence>
      </xsd:complexType>
    </xsd:element>
    <xsd:element name="Destination_docFBFTaxHTField0" ma:index="14" nillable="true" ma:taxonomy="true" ma:internalName="Destination_docFBFTaxHTField0" ma:taxonomyFieldName="Destination_docFBF" ma:displayName="Destination" ma:default="4;#Commission de prospective|c2a5e569-8c32-4611-818b-673afcb7cab4" ma:fieldId="{c07b9c17-0389-4faf-a859-563b2b1c1754}" ma:sspId="380fdde9-80c6-49ce-b025-9a22ec97f8d5" ma:termSetId="6dfb751e-6b65-40c0-ba0e-52df074bfaec" ma:anchorId="00000000-0000-0000-0000-000000000000" ma:open="false" ma:isKeyword="false">
      <xsd:complexType>
        <xsd:sequence>
          <xsd:element ref="pc:Terms" minOccurs="0" maxOccurs="1"/>
        </xsd:sequence>
      </xsd:complexType>
    </xsd:element>
    <xsd:element name="Source_docFBFTaxHTField0" ma:index="16" nillable="true" ma:taxonomy="true" ma:internalName="Source_docFBFTaxHTField0" ma:taxonomyFieldName="Source_docFBF" ma:displayName="Source" ma:fieldId="{fbcdecc4-fc2d-4ca5-ba48-da0e686bdfcb}" ma:sspId="380fdde9-80c6-49ce-b025-9a22ec97f8d5" ma:termSetId="b2899185-813f-4f02-bc83-9d1b9348ec36" ma:anchorId="00000000-0000-0000-0000-000000000000" ma:open="false" ma:isKeyword="false">
      <xsd:complexType>
        <xsd:sequence>
          <xsd:element ref="pc:Terms" minOccurs="0" maxOccurs="1"/>
        </xsd:sequence>
      </xsd:complexType>
    </xsd:element>
    <xsd:element name="Theme_docFBFTaxHTField0" ma:index="18" nillable="true" ma:taxonomy="true" ma:internalName="Theme_docFBFTaxHTField0" ma:taxonomyFieldName="Theme_docFBF" ma:displayName="Thème" ma:fieldId="{bba149cf-f7cb-484e-a57c-16c312b5412f}" ma:sspId="380fdde9-80c6-49ce-b025-9a22ec97f8d5" ma:termSetId="1908658b-373e-4251-8a22-7d7d4cbae502" ma:anchorId="00000000-0000-0000-0000-000000000000" ma:open="false" ma:isKeyword="false">
      <xsd:complexType>
        <xsd:sequence>
          <xsd:element ref="pc:Terms" minOccurs="0" maxOccurs="1"/>
        </xsd:sequence>
      </xsd:complexType>
    </xsd:element>
    <xsd:element name="Position" ma:index="20" nillable="true" ma:displayName="Position" ma:internalName="Position">
      <xsd:simpleType>
        <xsd:restriction base="dms:Text">
          <xsd:maxLength value="255"/>
        </xsd:restriction>
      </xsd:simpleType>
    </xsd:element>
    <xsd:element name="Date_du_document" ma:index="21" ma:displayName="Date du document" ma:default="[today]" ma:format="DateOnly" ma:internalName="Date_du_document">
      <xsd:simpleType>
        <xsd:restriction base="dms:DateTime"/>
      </xsd:simpleType>
    </xsd:element>
    <xsd:element name="Auteur" ma:index="22" nillable="true" ma:displayName="Auteur" ma:internalName="Auteur">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e46f7fe-3764-40b5-abd1-1746c716214b" elementFormDefault="qualified">
    <xsd:import namespace="http://schemas.microsoft.com/office/2006/documentManagement/types"/>
    <xsd:import namespace="http://schemas.microsoft.com/office/infopath/2007/PartnerControls"/>
    <xsd:element name="TaxCatchAll" ma:index="24" nillable="true" ma:displayName="Taxonomy Catch All Column" ma:description="" ma:hidden="true" ma:list="{482278BF-A8D9-40DA-A353-FA7E4899496C}" ma:internalName="TaxCatchAll" ma:showField="CatchAllData">
      <xsd:complexType>
        <xsd:complexContent>
          <xsd:extension base="dms:MultiChoiceLookup">
            <xsd:sequence>
              <xsd:element name="Value" type="dms:Lookup" maxOccurs="unbounded" minOccurs="0" nillable="true"/>
            </xsd:sequence>
          </xsd:extension>
        </xsd:complexContent>
      </xsd:complexType>
    </xsd:element>
    <xsd:element name="TaxCatchAllLabel" ma:index="25" nillable="true" ma:displayName="Taxonomy Catch All Column1" ma:description="" ma:hidden="true" ma:list="{482278BF-A8D9-40DA-A353-FA7E4899496C}" ma:internalName="TaxCatchAllLabel" ma:readOnly="true" ma:showField="CatchAllDataLabel">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Libellé"/>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FlagChrono xmlns="5be41352-6c03-4da3-9bd1-bbf4efd58abb">CP_A3_Feuille_route_numérique</FlagChrono>
    <Theme_docFBFTaxHTField0 xmlns="5be41352-6c03-4da3-9bd1-bbf4efd58abb">
      <Terms xmlns="http://schemas.microsoft.com/office/infopath/2007/PartnerControls"/>
    </Theme_docFBFTaxHTField0>
    <Auteur xmlns="5be41352-6c03-4da3-9bd1-bbf4efd58abb" xsi:nil="true"/>
    <TaxCatchAll xmlns="1e46f7fe-3764-40b5-abd1-1746c716214b">
      <Value>4</Value>
    </TaxCatchAll>
    <Position xmlns="5be41352-6c03-4da3-9bd1-bbf4efd58abb" xsi:nil="true"/>
    <Date_du_document xmlns="5be41352-6c03-4da3-9bd1-bbf4efd58abb">2022-01-03T23:00:00+00:00</Date_du_document>
    <Destination_docFBFTaxHTField0 xmlns="5be41352-6c03-4da3-9bd1-bbf4efd58abb">
      <Terms xmlns="http://schemas.microsoft.com/office/infopath/2007/PartnerControls">
        <TermInfo xmlns="http://schemas.microsoft.com/office/infopath/2007/PartnerControls">
          <TermName xmlns="http://schemas.microsoft.com/office/infopath/2007/PartnerControls">Commission de prospective</TermName>
          <TermId xmlns="http://schemas.microsoft.com/office/infopath/2007/PartnerControls">c2a5e569-8c32-4611-818b-673afcb7cab4</TermId>
        </TermInfo>
      </Terms>
    </Destination_docFBFTaxHTField0>
    <Source_docFBFTaxHTField0 xmlns="5be41352-6c03-4da3-9bd1-bbf4efd58abb">
      <Terms xmlns="http://schemas.microsoft.com/office/infopath/2007/PartnerControls"/>
    </Source_docFBFTaxHTField0>
    <Type_docFBFTaxHTField0 xmlns="5be41352-6c03-4da3-9bd1-bbf4efd58abb">
      <Terms xmlns="http://schemas.microsoft.com/office/infopath/2007/PartnerControls"/>
    </Type_docFBFTaxHTField0>
  </documentManagement>
</p:properties>
</file>

<file path=customXml/item5.xml><?xml version="1.0" encoding="utf-8"?>
<?mso-contentType ?>
<spe:Receivers xmlns:spe="http://schemas.microsoft.com/sharepoint/events"/>
</file>

<file path=customXml/item6.xml><?xml version="1.0" encoding="utf-8"?>
<?mso-contentType ?>
<SharedContentType xmlns="Microsoft.SharePoint.Taxonomy.ContentTypeSync" SourceId="380fdde9-80c6-49ce-b025-9a22ec97f8d5" ContentTypeId="0x0101003C79CFFF4B5C42CFBF3E958612ADA9A300FF278770609E4E3DBAD07D763F702F6E" PreviousValue="false"/>
</file>

<file path=customXml/itemProps1.xml><?xml version="1.0" encoding="utf-8"?>
<ds:datastoreItem xmlns:ds="http://schemas.openxmlformats.org/officeDocument/2006/customXml" ds:itemID="{5F81CED5-6D5E-4C27-8B83-25E2EF56AFA8}">
  <ds:schemaRefs>
    <ds:schemaRef ds:uri="http://schemas.openxmlformats.org/officeDocument/2006/bibliography"/>
  </ds:schemaRefs>
</ds:datastoreItem>
</file>

<file path=customXml/itemProps2.xml><?xml version="1.0" encoding="utf-8"?>
<ds:datastoreItem xmlns:ds="http://schemas.openxmlformats.org/officeDocument/2006/customXml" ds:itemID="{94AC8574-0570-4D3E-9A11-5D88283F2F47}">
  <ds:schemaRefs>
    <ds:schemaRef ds:uri="http://schemas.microsoft.com/sharepoint/v3/contenttype/forms"/>
  </ds:schemaRefs>
</ds:datastoreItem>
</file>

<file path=customXml/itemProps3.xml><?xml version="1.0" encoding="utf-8"?>
<ds:datastoreItem xmlns:ds="http://schemas.openxmlformats.org/officeDocument/2006/customXml" ds:itemID="{F7D6DDCF-60A6-4DB4-B4E1-941756D32F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2c228b-9c1e-46ca-bae4-d89b7cbb1aac"/>
    <ds:schemaRef ds:uri="5be41352-6c03-4da3-9bd1-bbf4efd58abb"/>
    <ds:schemaRef ds:uri="1e46f7fe-3764-40b5-abd1-1746c71621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6323F4D-2636-44E7-9682-3499A835ED2B}">
  <ds:schemaRefs>
    <ds:schemaRef ds:uri="http://schemas.microsoft.com/office/2006/metadata/properties"/>
    <ds:schemaRef ds:uri="http://schemas.microsoft.com/office/infopath/2007/PartnerControls"/>
    <ds:schemaRef ds:uri="5be41352-6c03-4da3-9bd1-bbf4efd58abb"/>
    <ds:schemaRef ds:uri="1e46f7fe-3764-40b5-abd1-1746c716214b"/>
  </ds:schemaRefs>
</ds:datastoreItem>
</file>

<file path=customXml/itemProps5.xml><?xml version="1.0" encoding="utf-8"?>
<ds:datastoreItem xmlns:ds="http://schemas.openxmlformats.org/officeDocument/2006/customXml" ds:itemID="{30178427-24AF-4D46-AEC5-4AED63A4BE2B}">
  <ds:schemaRefs>
    <ds:schemaRef ds:uri="http://schemas.microsoft.com/sharepoint/events"/>
  </ds:schemaRefs>
</ds:datastoreItem>
</file>

<file path=customXml/itemProps6.xml><?xml version="1.0" encoding="utf-8"?>
<ds:datastoreItem xmlns:ds="http://schemas.openxmlformats.org/officeDocument/2006/customXml" ds:itemID="{A9ECCD83-873C-4AEF-A1F2-0DBA17ADD3C6}">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1668</Words>
  <Characters>9177</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20220104_CP_A3_Feuille_route_numérique_revSL</vt:lpstr>
    </vt:vector>
  </TitlesOfParts>
  <Company/>
  <LinksUpToDate>false</LinksUpToDate>
  <CharactersWithSpaces>10824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20220104_CP_A3_Feuille_route_numérique_revSL</dc:title>
  <dc:creator/>
  <cp:lastModifiedBy/>
  <cp:revision>1</cp:revision>
  <dcterms:created xsi:type="dcterms:W3CDTF">2022-07-05T17:09:00Z</dcterms:created>
  <dcterms:modified xsi:type="dcterms:W3CDTF">2022-07-05T17:10:00Z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0x0101003C79CFFF4B5C42CFBF3E958612ADA9A300FF278770609E4E3DBAD07D763F702F6E00CC358C0A5A3A1948B757CF49CA30EA3E</vt:lpwstr>
  </property>
  <property fmtid="{D5CDD505-2E9C-101B-9397-08002B2CF9AE}" pid="3" name="Destination_docFBF">
    <vt:lpwstr>4;#Commission de prospective|c2a5e569-8c32-4611-818b-673afcb7cab4</vt:lpwstr>
  </property>
  <property fmtid="{D5CDD505-2E9C-101B-9397-08002B2CF9AE}" pid="4" name="Source_docFBF">
    <vt:lpwstr/>
  </property>
  <property fmtid="{D5CDD505-2E9C-101B-9397-08002B2CF9AE}" pid="5" name="Theme_docFBF">
    <vt:lpwstr/>
  </property>
  <property fmtid="{D5CDD505-2E9C-101B-9397-08002B2CF9AE}" pid="6" name="Type_docFBF">
    <vt:lpwstr/>
  </property>
  <property fmtid="{D5CDD505-2E9C-101B-9397-08002B2CF9AE}" pid="7" name="Order">
    <vt:r8>400000</vt:r8>
  </property>
</Properties>
</file>