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6B96A9" w14:textId="77777777" w:rsidR="00DD5AF8" w:rsidRPr="001D0D2A" w:rsidRDefault="00DD5AF8" w:rsidP="00DD5AF8">
      <w:pPr>
        <w:rPr>
          <w:b/>
          <w:lang w:val="en-US"/>
        </w:rPr>
      </w:pPr>
      <w:r w:rsidRPr="001D0D2A">
        <w:rPr>
          <w:b/>
          <w:lang w:val="en-US"/>
        </w:rPr>
        <w:t>TARGETED CONSULTATION</w:t>
      </w:r>
    </w:p>
    <w:p w14:paraId="177F8FBD" w14:textId="77777777" w:rsidR="00DD5AF8" w:rsidRPr="001D0D2A" w:rsidRDefault="00DD5AF8" w:rsidP="00DD5AF8">
      <w:pPr>
        <w:rPr>
          <w:b/>
          <w:lang w:val="en-US"/>
        </w:rPr>
      </w:pPr>
      <w:r w:rsidRPr="001D0D2A">
        <w:rPr>
          <w:b/>
          <w:lang w:val="en-US"/>
        </w:rPr>
        <w:t>ON IMPROVING</w:t>
      </w:r>
      <w:r w:rsidRPr="001D0D2A">
        <w:rPr>
          <w:b/>
          <w:spacing w:val="-2"/>
          <w:lang w:val="en-US"/>
        </w:rPr>
        <w:t xml:space="preserve"> </w:t>
      </w:r>
      <w:r w:rsidRPr="001D0D2A">
        <w:rPr>
          <w:b/>
          <w:lang w:val="en-US"/>
        </w:rPr>
        <w:t>THE</w:t>
      </w:r>
      <w:r w:rsidRPr="001D0D2A">
        <w:rPr>
          <w:b/>
          <w:spacing w:val="1"/>
          <w:lang w:val="en-US"/>
        </w:rPr>
        <w:t xml:space="preserve"> </w:t>
      </w:r>
      <w:r w:rsidRPr="001D0D2A">
        <w:rPr>
          <w:b/>
          <w:lang w:val="en-US"/>
        </w:rPr>
        <w:t>EU’S MACROPRUDENTIAL FRAMEWORK FOR THE BANKING</w:t>
      </w:r>
      <w:r w:rsidRPr="001D0D2A">
        <w:rPr>
          <w:b/>
          <w:spacing w:val="-2"/>
          <w:lang w:val="en-US"/>
        </w:rPr>
        <w:t xml:space="preserve"> </w:t>
      </w:r>
      <w:r w:rsidRPr="001D0D2A">
        <w:rPr>
          <w:b/>
          <w:lang w:val="en-US"/>
        </w:rPr>
        <w:t>SECTOR</w:t>
      </w:r>
    </w:p>
    <w:p w14:paraId="13B9FDEF" w14:textId="77777777" w:rsidR="00DD5AF8" w:rsidRPr="001D0D2A" w:rsidRDefault="00DD5AF8" w:rsidP="00DD5AF8">
      <w:pPr>
        <w:jc w:val="both"/>
        <w:rPr>
          <w:lang w:val="en-US"/>
        </w:rPr>
      </w:pPr>
    </w:p>
    <w:p w14:paraId="49ABACF0" w14:textId="71BB20BB" w:rsidR="009A1675" w:rsidRPr="001D0D2A" w:rsidRDefault="00020846" w:rsidP="001D0D2A">
      <w:pPr>
        <w:pStyle w:val="Response"/>
        <w:jc w:val="center"/>
        <w:rPr>
          <w:b/>
          <w:bCs/>
          <w:color w:val="auto"/>
          <w:sz w:val="24"/>
          <w:szCs w:val="24"/>
          <w:u w:val="single"/>
        </w:rPr>
      </w:pPr>
      <w:r w:rsidRPr="001D0D2A">
        <w:rPr>
          <w:b/>
          <w:bCs/>
          <w:color w:val="auto"/>
          <w:sz w:val="24"/>
          <w:szCs w:val="24"/>
          <w:u w:val="single"/>
        </w:rPr>
        <w:t>Executive summary</w:t>
      </w:r>
    </w:p>
    <w:p w14:paraId="4CFAF4F0" w14:textId="77777777" w:rsidR="00020846" w:rsidRPr="001D0D2A" w:rsidRDefault="00020846" w:rsidP="009A1675">
      <w:pPr>
        <w:pStyle w:val="Response"/>
        <w:rPr>
          <w:color w:val="auto"/>
        </w:rPr>
      </w:pPr>
    </w:p>
    <w:p w14:paraId="0C954817" w14:textId="6BA7CE30" w:rsidR="00A261EA" w:rsidRPr="001D0D2A" w:rsidRDefault="00A261EA" w:rsidP="009A1675">
      <w:pPr>
        <w:pStyle w:val="Response"/>
        <w:rPr>
          <w:color w:val="auto"/>
        </w:rPr>
      </w:pPr>
    </w:p>
    <w:p w14:paraId="008DD8E3" w14:textId="77777777" w:rsidR="00D07A22" w:rsidRPr="001D0D2A" w:rsidRDefault="00D07A22" w:rsidP="00D07A22">
      <w:pPr>
        <w:pStyle w:val="Response"/>
        <w:rPr>
          <w:b/>
          <w:bCs/>
          <w:color w:val="auto"/>
        </w:rPr>
      </w:pPr>
      <w:r w:rsidRPr="001D0D2A">
        <w:rPr>
          <w:b/>
          <w:bCs/>
          <w:color w:val="auto"/>
        </w:rPr>
        <w:t xml:space="preserve">Whichever reform is adopted following this consultation, it is of utmost importance that it does not translate into an increase in the overall level of capital requirements. </w:t>
      </w:r>
    </w:p>
    <w:p w14:paraId="285A30C6" w14:textId="1923235D" w:rsidR="00D07A22" w:rsidRPr="001D0D2A" w:rsidRDefault="00D07A22" w:rsidP="00404C04">
      <w:pPr>
        <w:pStyle w:val="Response"/>
        <w:numPr>
          <w:ilvl w:val="0"/>
          <w:numId w:val="57"/>
        </w:numPr>
        <w:rPr>
          <w:color w:val="auto"/>
        </w:rPr>
      </w:pPr>
      <w:r w:rsidRPr="001D0D2A">
        <w:rPr>
          <w:color w:val="auto"/>
        </w:rPr>
        <w:t xml:space="preserve">Banks indeed hold “excess capital”, as demonstrated by the results of the 2021 EU-wide stress testing showing that the adverse scenario would have a negative impact of 485 bps on banks' CET1 fully loaded capital ratio, leading to a 10.2% CET1 capital ratio at the end of </w:t>
      </w:r>
      <w:r w:rsidR="00404C04" w:rsidRPr="001D0D2A">
        <w:rPr>
          <w:color w:val="auto"/>
        </w:rPr>
        <w:t>2023.</w:t>
      </w:r>
    </w:p>
    <w:p w14:paraId="1F9DE939" w14:textId="0A3E5683" w:rsidR="00D07A22" w:rsidRPr="001D0D2A" w:rsidRDefault="00D07A22" w:rsidP="00404C04">
      <w:pPr>
        <w:pStyle w:val="Response"/>
        <w:numPr>
          <w:ilvl w:val="0"/>
          <w:numId w:val="57"/>
        </w:numPr>
        <w:rPr>
          <w:color w:val="auto"/>
        </w:rPr>
      </w:pPr>
      <w:r w:rsidRPr="001D0D2A">
        <w:rPr>
          <w:color w:val="auto"/>
        </w:rPr>
        <w:t>Very significant amounts of capital are “frozen” because of this accumulation of buffers, while such resources could be usefully invested in the economy.</w:t>
      </w:r>
    </w:p>
    <w:p w14:paraId="14898C8D" w14:textId="27B991ED" w:rsidR="00811762" w:rsidRPr="001D0D2A" w:rsidRDefault="00811762" w:rsidP="00404C04">
      <w:pPr>
        <w:pStyle w:val="Response"/>
        <w:numPr>
          <w:ilvl w:val="0"/>
          <w:numId w:val="57"/>
        </w:numPr>
        <w:rPr>
          <w:color w:val="auto"/>
        </w:rPr>
      </w:pPr>
      <w:r w:rsidRPr="001D0D2A">
        <w:rPr>
          <w:color w:val="auto"/>
        </w:rPr>
        <w:t>It is of no help, from a financial stability perspective, to have elevated buffers, if the consequence is that return on equity and Price to book is low, and therefore the bank has no access to raise capital in the market.</w:t>
      </w:r>
    </w:p>
    <w:p w14:paraId="151FF55C" w14:textId="1C075797" w:rsidR="001F4F98" w:rsidRPr="001D0D2A" w:rsidRDefault="001F4F98" w:rsidP="00404C04">
      <w:pPr>
        <w:pStyle w:val="Response"/>
        <w:numPr>
          <w:ilvl w:val="0"/>
          <w:numId w:val="57"/>
        </w:numPr>
        <w:rPr>
          <w:color w:val="auto"/>
        </w:rPr>
      </w:pPr>
      <w:r w:rsidRPr="001D0D2A">
        <w:rPr>
          <w:color w:val="auto"/>
        </w:rPr>
        <w:t>The existence of implicit market capital requirements that are influenced by – but higher than - the level of capital requirements in normal times and relatively stable compared to the latter tends to reduce the effectiveness of changes in official capital requirements during the cycle or according to specific circumstances. This is a strong argument towards a calibration of official requirements closest to the optimal level and not excessively high in normal times, in order to preserve the ability of the banking system to limit downturns and support recoveries, namely in situations where the capital releases decided by the supervisor would not be totally effective in practice.</w:t>
      </w:r>
    </w:p>
    <w:p w14:paraId="59091242" w14:textId="696CB080" w:rsidR="00F447A4" w:rsidRPr="001D0D2A" w:rsidRDefault="00F447A4" w:rsidP="00404C04">
      <w:pPr>
        <w:pStyle w:val="Response"/>
        <w:numPr>
          <w:ilvl w:val="0"/>
          <w:numId w:val="57"/>
        </w:numPr>
        <w:rPr>
          <w:color w:val="auto"/>
        </w:rPr>
      </w:pPr>
      <w:r w:rsidRPr="001D0D2A">
        <w:rPr>
          <w:color w:val="auto"/>
        </w:rPr>
        <w:t>In any case, the EU should avoid increase in buffers in crisis times (in € terms).</w:t>
      </w:r>
    </w:p>
    <w:p w14:paraId="583F90E6" w14:textId="66288B75" w:rsidR="00D07A22" w:rsidRPr="001D0D2A" w:rsidRDefault="00D07A22" w:rsidP="009A1675">
      <w:pPr>
        <w:pStyle w:val="Response"/>
        <w:rPr>
          <w:color w:val="auto"/>
        </w:rPr>
      </w:pPr>
    </w:p>
    <w:p w14:paraId="27A0D42B" w14:textId="19672CC7" w:rsidR="009A1675" w:rsidRPr="001D0D2A" w:rsidRDefault="009A1675" w:rsidP="009A1675">
      <w:pPr>
        <w:pStyle w:val="Response"/>
        <w:rPr>
          <w:color w:val="auto"/>
        </w:rPr>
      </w:pPr>
      <w:r w:rsidRPr="001D0D2A">
        <w:rPr>
          <w:color w:val="auto"/>
        </w:rPr>
        <w:t xml:space="preserve">We would </w:t>
      </w:r>
      <w:r w:rsidR="00D07A22" w:rsidRPr="001D0D2A">
        <w:rPr>
          <w:color w:val="auto"/>
        </w:rPr>
        <w:t xml:space="preserve">also </w:t>
      </w:r>
      <w:r w:rsidRPr="001D0D2A">
        <w:rPr>
          <w:color w:val="auto"/>
        </w:rPr>
        <w:t>like to highlight that the EU buffer framework largely derives from, and gold-plates, Basel standards. This has several consequences on the way this consultation should be handled:</w:t>
      </w:r>
    </w:p>
    <w:p w14:paraId="5FF84ABD" w14:textId="04FEEBF2" w:rsidR="009A1675" w:rsidRPr="001D0D2A" w:rsidRDefault="009A1675" w:rsidP="009A1675">
      <w:pPr>
        <w:pStyle w:val="Response"/>
        <w:numPr>
          <w:ilvl w:val="0"/>
          <w:numId w:val="10"/>
        </w:numPr>
        <w:rPr>
          <w:color w:val="auto"/>
        </w:rPr>
      </w:pPr>
      <w:r w:rsidRPr="001D0D2A">
        <w:rPr>
          <w:color w:val="auto"/>
        </w:rPr>
        <w:t>First, discussions on its design and calibration must be performed not only in the EU but also at global level, given room for maneuver at EU level is limited and does not allow holistic reform of the framework. In addition, the BCBS has initiated a review of the buffer framework, following its report on lessons learnt from Covid-19, as part of its Evaluation Task Force. We suggest that the EU does not reform its macroprudential framework unilaterally, before changes are discussed and adopted at Basel level, which is essential for Europe to be faithful to multilateral standards.</w:t>
      </w:r>
    </w:p>
    <w:p w14:paraId="53581BB0" w14:textId="77777777" w:rsidR="009A1675" w:rsidRPr="001D0D2A" w:rsidRDefault="009A1675" w:rsidP="009A1675">
      <w:pPr>
        <w:pStyle w:val="Response"/>
        <w:numPr>
          <w:ilvl w:val="0"/>
          <w:numId w:val="10"/>
        </w:numPr>
        <w:rPr>
          <w:color w:val="auto"/>
        </w:rPr>
      </w:pPr>
      <w:r w:rsidRPr="001D0D2A">
        <w:rPr>
          <w:color w:val="auto"/>
        </w:rPr>
        <w:t>Second, as new BCBS and EU standards (leverage buffers, output floor, MREL) are being implemented in the EU and many other jurisdictions, it is essential to take into account the changes introduced by these new rules. The most significant change is probably the Output Floor, which substantially modifies the nature and measurement of risks that are addressed as part of Pillar 1.</w:t>
      </w:r>
    </w:p>
    <w:p w14:paraId="762AFF68" w14:textId="77777777" w:rsidR="009A1675" w:rsidRPr="001D0D2A" w:rsidRDefault="009A1675" w:rsidP="009A1675">
      <w:pPr>
        <w:pStyle w:val="Response"/>
        <w:rPr>
          <w:color w:val="auto"/>
        </w:rPr>
      </w:pPr>
    </w:p>
    <w:p w14:paraId="6A953C21" w14:textId="0365F088" w:rsidR="009A1675" w:rsidRPr="001D0D2A" w:rsidRDefault="009A1675" w:rsidP="009A1675">
      <w:pPr>
        <w:pStyle w:val="Response"/>
        <w:rPr>
          <w:color w:val="auto"/>
        </w:rPr>
      </w:pPr>
      <w:r w:rsidRPr="001D0D2A">
        <w:rPr>
          <w:color w:val="auto"/>
        </w:rPr>
        <w:t>This is also the reason why we respond to this consultation taking into consideration all the buffers</w:t>
      </w:r>
      <w:r w:rsidR="007D17ED" w:rsidRPr="001D0D2A">
        <w:rPr>
          <w:color w:val="auto"/>
        </w:rPr>
        <w:t xml:space="preserve">:, i.e. </w:t>
      </w:r>
      <w:r w:rsidRPr="001D0D2A">
        <w:rPr>
          <w:color w:val="auto"/>
        </w:rPr>
        <w:t>current and future P1 &amp; P2 buffers, as well as so-called “management buffers” or “capital headroom”</w:t>
      </w:r>
      <w:r w:rsidR="00CF5E18" w:rsidRPr="001D0D2A">
        <w:rPr>
          <w:color w:val="auto"/>
        </w:rPr>
        <w:t xml:space="preserve"> imposed by supervisors</w:t>
      </w:r>
      <w:r w:rsidRPr="001D0D2A">
        <w:rPr>
          <w:color w:val="auto"/>
        </w:rPr>
        <w:t xml:space="preserve"> that exist on top of minimum capital requirements</w:t>
      </w:r>
      <w:r w:rsidR="00CF5E18" w:rsidRPr="001D0D2A">
        <w:rPr>
          <w:color w:val="auto"/>
        </w:rPr>
        <w:t>, but also the other stacks i.e. leverage and MREL</w:t>
      </w:r>
      <w:r w:rsidRPr="001D0D2A">
        <w:rPr>
          <w:color w:val="auto"/>
        </w:rPr>
        <w:t xml:space="preserve">, and not only macroprudential buffers. </w:t>
      </w:r>
      <w:r w:rsidR="007D17ED" w:rsidRPr="001D0D2A">
        <w:rPr>
          <w:color w:val="auto"/>
        </w:rPr>
        <w:t xml:space="preserve">Importantly, IFRS9 should also be taken into account as part of an overall review of the capital framework, as lifetime provisioning equates to the building-up of a capital buffer. </w:t>
      </w:r>
      <w:r w:rsidRPr="001D0D2A">
        <w:rPr>
          <w:color w:val="auto"/>
        </w:rPr>
        <w:t>A holistic view is necessary to avoid overlaps between requirements that may address similar risks and “risk drivers”</w:t>
      </w:r>
      <w:r w:rsidR="00CF5E18" w:rsidRPr="001D0D2A">
        <w:rPr>
          <w:color w:val="auto"/>
        </w:rPr>
        <w:t xml:space="preserve"> and ensure consistency across the stacks</w:t>
      </w:r>
      <w:r w:rsidRPr="001D0D2A">
        <w:rPr>
          <w:color w:val="auto"/>
        </w:rPr>
        <w:t xml:space="preserve">. </w:t>
      </w:r>
    </w:p>
    <w:p w14:paraId="7A30A7DC" w14:textId="77777777" w:rsidR="009A1675" w:rsidRPr="001D0D2A" w:rsidRDefault="009A1675" w:rsidP="009A1675">
      <w:pPr>
        <w:pStyle w:val="Response"/>
        <w:rPr>
          <w:color w:val="auto"/>
        </w:rPr>
      </w:pPr>
    </w:p>
    <w:p w14:paraId="37A49603" w14:textId="45744007" w:rsidR="009A1675" w:rsidRPr="001D0D2A" w:rsidRDefault="009A1675" w:rsidP="009A1675">
      <w:pPr>
        <w:pStyle w:val="Response"/>
        <w:rPr>
          <w:color w:val="auto"/>
        </w:rPr>
      </w:pPr>
      <w:r w:rsidRPr="001D0D2A">
        <w:rPr>
          <w:color w:val="auto"/>
        </w:rPr>
        <w:t>While the avoidance of overlaps would require specific definitions of risks to be covered by each buffer, another approach, potentially more pragmatic</w:t>
      </w:r>
      <w:r w:rsidR="00CF5E18" w:rsidRPr="001D0D2A">
        <w:rPr>
          <w:color w:val="auto"/>
        </w:rPr>
        <w:t xml:space="preserve"> and which would give more readability to the framework</w:t>
      </w:r>
      <w:r w:rsidRPr="001D0D2A">
        <w:rPr>
          <w:color w:val="auto"/>
        </w:rPr>
        <w:t>, could be to calibrate the buffers in a holistic way (which also requires a change in governance).</w:t>
      </w:r>
    </w:p>
    <w:p w14:paraId="401BCAEE" w14:textId="7846E5A1" w:rsidR="009A1675" w:rsidRPr="001D0D2A" w:rsidRDefault="009A1675" w:rsidP="009A1675">
      <w:pPr>
        <w:pStyle w:val="Response"/>
        <w:numPr>
          <w:ilvl w:val="0"/>
          <w:numId w:val="5"/>
        </w:numPr>
        <w:rPr>
          <w:color w:val="auto"/>
        </w:rPr>
      </w:pPr>
      <w:r w:rsidRPr="001D0D2A">
        <w:rPr>
          <w:color w:val="auto"/>
        </w:rPr>
        <w:lastRenderedPageBreak/>
        <w:t>Indeed, in real-life, there are no different “layers” of capital that are meant to absorb losses stemming from specific risks. On the contrary, bank</w:t>
      </w:r>
      <w:r w:rsidR="008556BB" w:rsidRPr="001D0D2A">
        <w:rPr>
          <w:color w:val="auto"/>
        </w:rPr>
        <w:t>s</w:t>
      </w:r>
      <w:r w:rsidRPr="001D0D2A">
        <w:rPr>
          <w:color w:val="auto"/>
        </w:rPr>
        <w:t xml:space="preserve"> hold a certain amount of capital and eligible liabilities (CET1, AT1, T2, MREL) that are available to absorb losses, in a fungible way. Consequently, the argument that some layers of capital used to comply with a given requirement should not be used to comply with other, parallel requirements, is not </w:t>
      </w:r>
      <w:r w:rsidR="00C37FF4" w:rsidRPr="001D0D2A">
        <w:rPr>
          <w:color w:val="auto"/>
        </w:rPr>
        <w:t>appropriate</w:t>
      </w:r>
      <w:r w:rsidRPr="001D0D2A">
        <w:rPr>
          <w:color w:val="auto"/>
        </w:rPr>
        <w:t>.</w:t>
      </w:r>
    </w:p>
    <w:p w14:paraId="0544DE23" w14:textId="38FDB5C8" w:rsidR="009A1675" w:rsidRPr="001D0D2A" w:rsidRDefault="009A1675" w:rsidP="009A1675">
      <w:pPr>
        <w:pStyle w:val="Response"/>
        <w:numPr>
          <w:ilvl w:val="0"/>
          <w:numId w:val="5"/>
        </w:numPr>
        <w:rPr>
          <w:color w:val="auto"/>
        </w:rPr>
      </w:pPr>
      <w:r w:rsidRPr="001D0D2A">
        <w:rPr>
          <w:color w:val="auto"/>
        </w:rPr>
        <w:t xml:space="preserve">In real life also, losses do not always stem from one specific risk but from a certain number of risks that can materialize at similar or distinct times and are sometimes interdependent, in particular between micro v. macro-prudential losses and/or idiosyncratic v. systemic risks. </w:t>
      </w:r>
    </w:p>
    <w:p w14:paraId="3E0A97BE" w14:textId="1FC0DDC9" w:rsidR="009A1675" w:rsidRPr="001D0D2A" w:rsidRDefault="009A1675" w:rsidP="009A1675">
      <w:pPr>
        <w:pStyle w:val="Response"/>
        <w:numPr>
          <w:ilvl w:val="0"/>
          <w:numId w:val="5"/>
        </w:numPr>
        <w:rPr>
          <w:color w:val="auto"/>
        </w:rPr>
      </w:pPr>
      <w:r w:rsidRPr="001D0D2A">
        <w:rPr>
          <w:color w:val="auto"/>
        </w:rPr>
        <w:t>Every risk should not (and cannot) be addressed by a macroprudential capital charge. We guard against the temptation to establish an (endless) list of risks that banks could be exposed to and that would justify the creation of additional layers of capital requirements.</w:t>
      </w:r>
    </w:p>
    <w:p w14:paraId="4509211D" w14:textId="337C6ABC" w:rsidR="00F447A4" w:rsidRPr="001D0D2A" w:rsidRDefault="00F447A4" w:rsidP="00BA05D6">
      <w:pPr>
        <w:pStyle w:val="ListParagraph"/>
        <w:numPr>
          <w:ilvl w:val="0"/>
          <w:numId w:val="5"/>
        </w:numPr>
        <w:rPr>
          <w:rFonts w:cstheme="minorBidi"/>
          <w:sz w:val="22"/>
          <w:szCs w:val="22"/>
        </w:rPr>
      </w:pPr>
      <w:r w:rsidRPr="001D0D2A">
        <w:rPr>
          <w:rFonts w:cstheme="minorBidi"/>
          <w:sz w:val="22"/>
          <w:szCs w:val="22"/>
        </w:rPr>
        <w:t>All risks are adequately tackled as part of existing Pillar 1 framework and/or via Pillar 2.</w:t>
      </w:r>
    </w:p>
    <w:p w14:paraId="376C2240" w14:textId="77777777" w:rsidR="009A1675" w:rsidRPr="001D0D2A" w:rsidRDefault="009A1675" w:rsidP="009A1675">
      <w:pPr>
        <w:pStyle w:val="Response"/>
        <w:rPr>
          <w:color w:val="auto"/>
        </w:rPr>
      </w:pPr>
    </w:p>
    <w:p w14:paraId="4A6ABD01" w14:textId="77777777" w:rsidR="009A1675" w:rsidRPr="001D0D2A" w:rsidRDefault="009A1675" w:rsidP="009A1675">
      <w:pPr>
        <w:pStyle w:val="Response"/>
        <w:rPr>
          <w:color w:val="auto"/>
        </w:rPr>
      </w:pPr>
      <w:r w:rsidRPr="001D0D2A">
        <w:rPr>
          <w:color w:val="auto"/>
        </w:rPr>
        <w:t>We would also like to stress two important considerations on the optimal amount of capital to be accumulated by banks and on the way it can be used in order to absorb losses while supporting lending:</w:t>
      </w:r>
    </w:p>
    <w:p w14:paraId="44D74501" w14:textId="4E0689DC" w:rsidR="009A1675" w:rsidRPr="001D0D2A" w:rsidRDefault="009A1675" w:rsidP="00404C04">
      <w:pPr>
        <w:pStyle w:val="Response"/>
        <w:numPr>
          <w:ilvl w:val="0"/>
          <w:numId w:val="5"/>
        </w:numPr>
        <w:rPr>
          <w:color w:val="auto"/>
        </w:rPr>
      </w:pPr>
      <w:r w:rsidRPr="001D0D2A">
        <w:rPr>
          <w:color w:val="auto"/>
        </w:rPr>
        <w:t xml:space="preserve">The consultation paper seems to rely on the basic axiom that financial stability increases linearly with increases in capital requirements. </w:t>
      </w:r>
      <w:r w:rsidR="00404C04" w:rsidRPr="001D0D2A">
        <w:rPr>
          <w:color w:val="auto"/>
        </w:rPr>
        <w:t xml:space="preserve">It </w:t>
      </w:r>
      <w:r w:rsidR="007D1606" w:rsidRPr="001D0D2A">
        <w:rPr>
          <w:color w:val="auto"/>
        </w:rPr>
        <w:t>s</w:t>
      </w:r>
      <w:r w:rsidRPr="001D0D2A">
        <w:rPr>
          <w:color w:val="auto"/>
        </w:rPr>
        <w:t>hould be at least recognized that capital accumulation beyond a certain level stifles investments and deteriorates institutions’ revenue generation capacity.</w:t>
      </w:r>
      <w:r w:rsidR="007D1606" w:rsidRPr="001D0D2A">
        <w:rPr>
          <w:color w:val="auto"/>
        </w:rPr>
        <w:t>A</w:t>
      </w:r>
      <w:r w:rsidR="002A70DA" w:rsidRPr="001D0D2A">
        <w:rPr>
          <w:color w:val="auto"/>
        </w:rPr>
        <w:t xml:space="preserve"> recent ECB </w:t>
      </w:r>
      <w:hyperlink r:id="rId7" w:history="1">
        <w:r w:rsidR="002A70DA" w:rsidRPr="001D0D2A">
          <w:rPr>
            <w:rStyle w:val="Hyperlink"/>
            <w:color w:val="auto"/>
          </w:rPr>
          <w:t>research paper</w:t>
        </w:r>
      </w:hyperlink>
      <w:r w:rsidR="002A70DA" w:rsidRPr="001D0D2A">
        <w:rPr>
          <w:color w:val="auto"/>
        </w:rPr>
        <w:t xml:space="preserve"> evidenced a 10.9% turning point, meaning that banks’ creditors perceived capital accumulation beyond 10.9% of their RWA as “inefficient and hampering their profitability”. As emphasized by the authors of the ECB,“(…) these results could also inform </w:t>
      </w:r>
      <w:r w:rsidR="002A70DA" w:rsidRPr="001D0D2A">
        <w:rPr>
          <w:b/>
          <w:color w:val="auto"/>
        </w:rPr>
        <w:t>the calibration of macroprudential capital policy measures</w:t>
      </w:r>
      <w:r w:rsidR="002A70DA" w:rsidRPr="001D0D2A">
        <w:rPr>
          <w:color w:val="auto"/>
        </w:rPr>
        <w:t>, such as the countercyclical capital buffer</w:t>
      </w:r>
      <w:r w:rsidR="00404C04" w:rsidRPr="001D0D2A">
        <w:rPr>
          <w:color w:val="auto"/>
        </w:rPr>
        <w:t>”.</w:t>
      </w:r>
      <w:r w:rsidR="007D1606" w:rsidRPr="001D0D2A">
        <w:rPr>
          <w:rStyle w:val="FootnoteReference"/>
          <w:color w:val="auto"/>
        </w:rPr>
        <w:t xml:space="preserve"> </w:t>
      </w:r>
      <w:r w:rsidR="007D1606" w:rsidRPr="001D0D2A">
        <w:rPr>
          <w:rStyle w:val="FootnoteReference"/>
          <w:color w:val="auto"/>
        </w:rPr>
        <w:footnoteReference w:id="1"/>
      </w:r>
    </w:p>
    <w:p w14:paraId="117F13FA" w14:textId="6BE3964F" w:rsidR="009A1675" w:rsidRPr="001D0D2A" w:rsidRDefault="009A1675" w:rsidP="009A1675">
      <w:pPr>
        <w:pStyle w:val="Response"/>
        <w:numPr>
          <w:ilvl w:val="0"/>
          <w:numId w:val="5"/>
        </w:numPr>
        <w:rPr>
          <w:color w:val="auto"/>
        </w:rPr>
      </w:pPr>
      <w:r w:rsidRPr="001D0D2A">
        <w:rPr>
          <w:color w:val="auto"/>
        </w:rPr>
        <w:t xml:space="preserve">In addition, as acknowledged by the BCBS, a very important metric to explain banks’ reluctance to use their capital resources in times of stress is not the absolute amount of capital they hold but rather their “capital headroom” i.e. the “distance to the MDA”: “quantitative work regarding a large sample of international banks and more granular analysis in the euro area suggest that banks closer to their regulatory buffers have been more likely to constrain lending”. </w:t>
      </w:r>
    </w:p>
    <w:p w14:paraId="532E24C7" w14:textId="34D6DC69" w:rsidR="009A1675" w:rsidRPr="001D0D2A" w:rsidRDefault="009A1675" w:rsidP="009A1675">
      <w:pPr>
        <w:pStyle w:val="Response"/>
        <w:rPr>
          <w:b/>
          <w:color w:val="auto"/>
        </w:rPr>
      </w:pPr>
    </w:p>
    <w:p w14:paraId="3F357733" w14:textId="54308E75" w:rsidR="00F447A4" w:rsidRPr="001D0D2A" w:rsidRDefault="00F447A4" w:rsidP="00F447A4">
      <w:pPr>
        <w:pStyle w:val="Response"/>
        <w:rPr>
          <w:b/>
          <w:color w:val="auto"/>
        </w:rPr>
      </w:pPr>
      <w:r w:rsidRPr="001D0D2A">
        <w:rPr>
          <w:b/>
          <w:color w:val="auto"/>
        </w:rPr>
        <w:t>“Usability” does not work</w:t>
      </w:r>
      <w:r w:rsidR="00020846" w:rsidRPr="001D0D2A">
        <w:rPr>
          <w:b/>
          <w:color w:val="auto"/>
        </w:rPr>
        <w:t>: t</w:t>
      </w:r>
      <w:r w:rsidRPr="001D0D2A">
        <w:rPr>
          <w:b/>
          <w:color w:val="auto"/>
        </w:rPr>
        <w:t xml:space="preserve">here should be more “releasability” embedded in the buffer framework. </w:t>
      </w:r>
      <w:r w:rsidRPr="001D0D2A">
        <w:rPr>
          <w:bCs/>
          <w:color w:val="auto"/>
        </w:rPr>
        <w:t xml:space="preserve">To remedy with the present limited usability of the buffer framework (only CCyB usable), two solutions are described thereafter. </w:t>
      </w:r>
    </w:p>
    <w:p w14:paraId="42A2220D" w14:textId="77777777" w:rsidR="00F447A4" w:rsidRPr="001D0D2A" w:rsidRDefault="00F447A4" w:rsidP="00F447A4">
      <w:pPr>
        <w:pStyle w:val="Response"/>
        <w:rPr>
          <w:bCs/>
          <w:color w:val="auto"/>
        </w:rPr>
      </w:pPr>
    </w:p>
    <w:p w14:paraId="410590F8" w14:textId="4FACDBB3" w:rsidR="00F447A4" w:rsidRPr="001D0D2A" w:rsidRDefault="00FB1F8A" w:rsidP="00F447A4">
      <w:pPr>
        <w:pStyle w:val="Response"/>
        <w:rPr>
          <w:bCs/>
          <w:color w:val="auto"/>
        </w:rPr>
      </w:pPr>
      <w:r w:rsidRPr="001D0D2A">
        <w:rPr>
          <w:b/>
          <w:color w:val="auto"/>
        </w:rPr>
        <w:t>As European banks will face an increase in their micro-prudential requirements through CRR3/CRD6, it is essential to avoid piling up multiple buffers on top of those increased requirements. EU regulators should revisit the whole framework and design a better articulated, simpler framework, differentiating clearly a micro-prudential requirement and a macro-prudential buffer. Such solution could be similar to</w:t>
      </w:r>
      <w:r w:rsidR="00F447A4" w:rsidRPr="001D0D2A">
        <w:rPr>
          <w:b/>
          <w:color w:val="auto"/>
        </w:rPr>
        <w:t xml:space="preserve"> the Stress Capital Buffer system, which has proved its effectiveness</w:t>
      </w:r>
      <w:r w:rsidRPr="001D0D2A">
        <w:rPr>
          <w:b/>
          <w:color w:val="auto"/>
        </w:rPr>
        <w:t xml:space="preserve"> in the United States</w:t>
      </w:r>
      <w:r w:rsidR="00F447A4" w:rsidRPr="001D0D2A">
        <w:rPr>
          <w:b/>
          <w:color w:val="auto"/>
        </w:rPr>
        <w:t xml:space="preserve"> and would ensure a </w:t>
      </w:r>
      <w:r w:rsidRPr="001D0D2A">
        <w:rPr>
          <w:b/>
          <w:color w:val="auto"/>
        </w:rPr>
        <w:t>better comparability</w:t>
      </w:r>
      <w:r w:rsidR="00F447A4" w:rsidRPr="001D0D2A">
        <w:rPr>
          <w:b/>
          <w:color w:val="auto"/>
        </w:rPr>
        <w:t xml:space="preserve"> for the major European banks</w:t>
      </w:r>
      <w:r w:rsidRPr="001D0D2A">
        <w:rPr>
          <w:b/>
          <w:color w:val="auto"/>
        </w:rPr>
        <w:t>, and market participants</w:t>
      </w:r>
      <w:r w:rsidR="00F447A4" w:rsidRPr="001D0D2A">
        <w:rPr>
          <w:b/>
          <w:color w:val="auto"/>
        </w:rPr>
        <w:t>.</w:t>
      </w:r>
      <w:r w:rsidR="00F447A4" w:rsidRPr="001D0D2A">
        <w:rPr>
          <w:bCs/>
          <w:color w:val="auto"/>
        </w:rPr>
        <w:t xml:space="preserve"> </w:t>
      </w:r>
    </w:p>
    <w:p w14:paraId="032CF429" w14:textId="77777777" w:rsidR="00F447A4" w:rsidRPr="001D0D2A" w:rsidRDefault="00F447A4" w:rsidP="00F447A4">
      <w:pPr>
        <w:pStyle w:val="Response"/>
        <w:numPr>
          <w:ilvl w:val="0"/>
          <w:numId w:val="63"/>
        </w:numPr>
        <w:rPr>
          <w:color w:val="auto"/>
        </w:rPr>
      </w:pPr>
      <w:r w:rsidRPr="001D0D2A">
        <w:rPr>
          <w:bCs/>
          <w:color w:val="auto"/>
        </w:rPr>
        <w:t>M</w:t>
      </w:r>
      <w:r w:rsidRPr="001D0D2A">
        <w:rPr>
          <w:color w:val="auto"/>
        </w:rPr>
        <w:t xml:space="preserve">erging the CCoB, CCyB, SyRB and Pillar 2 components into a Stress Capital Buffer, would entail a </w:t>
      </w:r>
      <w:r w:rsidRPr="001D0D2A">
        <w:rPr>
          <w:color w:val="auto"/>
          <w:u w:val="single"/>
        </w:rPr>
        <w:t>strong simplification</w:t>
      </w:r>
      <w:r w:rsidRPr="001D0D2A">
        <w:rPr>
          <w:color w:val="auto"/>
        </w:rPr>
        <w:t xml:space="preserve"> of a more complex framework, both in terms of buffer architecture and governance. </w:t>
      </w:r>
    </w:p>
    <w:p w14:paraId="78EE891D" w14:textId="77777777" w:rsidR="00F447A4" w:rsidRPr="001D0D2A" w:rsidRDefault="00F447A4" w:rsidP="00F447A4">
      <w:pPr>
        <w:pStyle w:val="Response"/>
        <w:numPr>
          <w:ilvl w:val="0"/>
          <w:numId w:val="63"/>
        </w:numPr>
        <w:rPr>
          <w:color w:val="auto"/>
        </w:rPr>
      </w:pPr>
      <w:r w:rsidRPr="001D0D2A">
        <w:rPr>
          <w:color w:val="auto"/>
        </w:rPr>
        <w:t xml:space="preserve">A major benefit of this approach would be to replace buffers that are set arbitrarily without explicit reference to risk metrics with a buffer that </w:t>
      </w:r>
      <w:r w:rsidRPr="001D0D2A">
        <w:rPr>
          <w:color w:val="auto"/>
          <w:u w:val="single"/>
        </w:rPr>
        <w:t>captures the specific vulnerability of each bank’s balance sheet</w:t>
      </w:r>
      <w:r w:rsidRPr="001D0D2A">
        <w:rPr>
          <w:color w:val="auto"/>
        </w:rPr>
        <w:t xml:space="preserve"> to a given macroeconomic scenario. </w:t>
      </w:r>
    </w:p>
    <w:p w14:paraId="45909477" w14:textId="77777777" w:rsidR="00F447A4" w:rsidRPr="001D0D2A" w:rsidRDefault="00F447A4" w:rsidP="00F447A4">
      <w:pPr>
        <w:pStyle w:val="Response"/>
        <w:numPr>
          <w:ilvl w:val="0"/>
          <w:numId w:val="63"/>
        </w:numPr>
        <w:rPr>
          <w:color w:val="auto"/>
        </w:rPr>
      </w:pPr>
      <w:r w:rsidRPr="001D0D2A">
        <w:rPr>
          <w:color w:val="auto"/>
        </w:rPr>
        <w:t xml:space="preserve">It is also the option that would provide the </w:t>
      </w:r>
      <w:r w:rsidRPr="001D0D2A">
        <w:rPr>
          <w:color w:val="auto"/>
          <w:u w:val="single"/>
        </w:rPr>
        <w:t>greatest “releasability”</w:t>
      </w:r>
      <w:r w:rsidRPr="001D0D2A">
        <w:rPr>
          <w:color w:val="auto"/>
        </w:rPr>
        <w:t xml:space="preserve"> in the capital framework, while also responding effectively tackling growing risk (in “overheating situations”) via stress tests. </w:t>
      </w:r>
    </w:p>
    <w:p w14:paraId="5EC46132" w14:textId="77777777" w:rsidR="00020846" w:rsidRPr="001D0D2A" w:rsidRDefault="00F447A4" w:rsidP="00F447A4">
      <w:pPr>
        <w:pStyle w:val="Response"/>
        <w:numPr>
          <w:ilvl w:val="0"/>
          <w:numId w:val="63"/>
        </w:numPr>
        <w:rPr>
          <w:color w:val="auto"/>
        </w:rPr>
      </w:pPr>
      <w:r w:rsidRPr="001D0D2A">
        <w:rPr>
          <w:color w:val="auto"/>
        </w:rPr>
        <w:lastRenderedPageBreak/>
        <w:t xml:space="preserve">Importantly, it </w:t>
      </w:r>
      <w:r w:rsidRPr="001D0D2A">
        <w:rPr>
          <w:color w:val="auto"/>
          <w:u w:val="single"/>
        </w:rPr>
        <w:t>can be implemented without any deviation from Basel standards</w:t>
      </w:r>
      <w:r w:rsidRPr="001D0D2A">
        <w:rPr>
          <w:color w:val="auto"/>
        </w:rPr>
        <w:t xml:space="preserve">, provided a 2.5% floor is introduced. </w:t>
      </w:r>
    </w:p>
    <w:p w14:paraId="5D1F7651" w14:textId="7B89A607" w:rsidR="00F447A4" w:rsidRPr="001D0D2A" w:rsidRDefault="00F447A4" w:rsidP="00BA05D6">
      <w:pPr>
        <w:pStyle w:val="Response"/>
        <w:numPr>
          <w:ilvl w:val="0"/>
          <w:numId w:val="63"/>
        </w:numPr>
        <w:rPr>
          <w:color w:val="auto"/>
        </w:rPr>
      </w:pPr>
      <w:r w:rsidRPr="001D0D2A">
        <w:rPr>
          <w:color w:val="auto"/>
        </w:rPr>
        <w:t xml:space="preserve">It would </w:t>
      </w:r>
      <w:r w:rsidRPr="001D0D2A">
        <w:rPr>
          <w:color w:val="auto"/>
          <w:u w:val="single"/>
        </w:rPr>
        <w:t>improve competitiveness of the EU banking sector</w:t>
      </w:r>
      <w:r w:rsidRPr="001D0D2A">
        <w:rPr>
          <w:color w:val="auto"/>
        </w:rPr>
        <w:t xml:space="preserve">, as part of the EU strategic autonomy stance. </w:t>
      </w:r>
    </w:p>
    <w:p w14:paraId="037385E1" w14:textId="77777777" w:rsidR="00F447A4" w:rsidRPr="001D0D2A" w:rsidRDefault="00F447A4" w:rsidP="00F447A4">
      <w:pPr>
        <w:pStyle w:val="Response"/>
        <w:numPr>
          <w:ilvl w:val="0"/>
          <w:numId w:val="63"/>
        </w:numPr>
        <w:rPr>
          <w:color w:val="auto"/>
        </w:rPr>
      </w:pPr>
      <w:r w:rsidRPr="001D0D2A">
        <w:rPr>
          <w:color w:val="auto"/>
        </w:rPr>
        <w:t xml:space="preserve">For the SCB approach to deliver the targeted releasability, it would be necessary to ensure that regulatory adverse scenarios are designed as countercyclical, in line with the US. </w:t>
      </w:r>
    </w:p>
    <w:p w14:paraId="13DA07AC" w14:textId="29595D32" w:rsidR="00F447A4" w:rsidRPr="001D0D2A" w:rsidRDefault="00F447A4" w:rsidP="00BA05D6">
      <w:pPr>
        <w:pStyle w:val="Response"/>
        <w:numPr>
          <w:ilvl w:val="0"/>
          <w:numId w:val="63"/>
        </w:numPr>
        <w:rPr>
          <w:color w:val="auto"/>
        </w:rPr>
      </w:pPr>
      <w:r w:rsidRPr="001D0D2A">
        <w:rPr>
          <w:color w:val="auto"/>
        </w:rPr>
        <w:t>Given the importance of scenario-setting in this option, the governance of macro-economic stress scenarios should be strengthened.</w:t>
      </w:r>
    </w:p>
    <w:p w14:paraId="4CD7B1AD" w14:textId="4AD8B0F8" w:rsidR="00F447A4" w:rsidRPr="001D0D2A" w:rsidRDefault="00F447A4" w:rsidP="00C01228">
      <w:pPr>
        <w:pStyle w:val="Response"/>
        <w:numPr>
          <w:ilvl w:val="0"/>
          <w:numId w:val="63"/>
        </w:numPr>
        <w:rPr>
          <w:color w:val="auto"/>
        </w:rPr>
      </w:pPr>
      <w:r w:rsidRPr="001D0D2A">
        <w:rPr>
          <w:color w:val="auto"/>
        </w:rPr>
        <w:t xml:space="preserve">In any way, the amount of the SCB should not derive automatically from the outcome of the stress-tests, i.e. a mechanism should be in place so that authorities can exercise supervisory judgment when setting the SCB. </w:t>
      </w:r>
    </w:p>
    <w:p w14:paraId="7609EF36" w14:textId="77777777" w:rsidR="00F447A4" w:rsidRPr="001D0D2A" w:rsidRDefault="00F447A4" w:rsidP="00431A6B">
      <w:pPr>
        <w:pStyle w:val="Response"/>
        <w:rPr>
          <w:color w:val="auto"/>
        </w:rPr>
      </w:pPr>
    </w:p>
    <w:p w14:paraId="09C81F61" w14:textId="19506A7A" w:rsidR="00F447A4" w:rsidRPr="001D0D2A" w:rsidRDefault="00F447A4" w:rsidP="00F447A4">
      <w:pPr>
        <w:pStyle w:val="Response"/>
        <w:rPr>
          <w:color w:val="auto"/>
        </w:rPr>
      </w:pPr>
      <w:r w:rsidRPr="001D0D2A">
        <w:rPr>
          <w:b/>
          <w:bCs/>
          <w:color w:val="auto"/>
        </w:rPr>
        <w:t>Another o</w:t>
      </w:r>
      <w:r w:rsidR="00020846" w:rsidRPr="001D0D2A">
        <w:rPr>
          <w:b/>
          <w:bCs/>
          <w:color w:val="auto"/>
        </w:rPr>
        <w:t>p</w:t>
      </w:r>
      <w:r w:rsidRPr="001D0D2A">
        <w:rPr>
          <w:b/>
          <w:bCs/>
          <w:color w:val="auto"/>
        </w:rPr>
        <w:t>tion</w:t>
      </w:r>
      <w:r w:rsidRPr="001D0D2A">
        <w:rPr>
          <w:color w:val="auto"/>
        </w:rPr>
        <w:t xml:space="preserve"> would provide more flexibility compared to the current framework thanks to two distinct buffers being releasable in crisis times: the CCoB would be available in case of exogenous shock and/or the CCyB could be released in case the risks associated with excessive credit growth materialize. This solution would also ensure a balance between EU and national authorities. On the downside, this option requires changes in Basel standards. </w:t>
      </w:r>
    </w:p>
    <w:p w14:paraId="556F540D" w14:textId="48D28B46" w:rsidR="00F447A4" w:rsidRPr="001D0D2A" w:rsidRDefault="00F447A4" w:rsidP="00F447A4">
      <w:pPr>
        <w:pStyle w:val="Response"/>
        <w:rPr>
          <w:bCs/>
          <w:color w:val="auto"/>
        </w:rPr>
      </w:pPr>
    </w:p>
    <w:p w14:paraId="5035DD9C" w14:textId="7D92DEEF" w:rsidR="00F447A4" w:rsidRPr="001D0D2A" w:rsidRDefault="00F447A4" w:rsidP="00F447A4">
      <w:pPr>
        <w:pStyle w:val="Response"/>
        <w:rPr>
          <w:bCs/>
          <w:color w:val="auto"/>
        </w:rPr>
      </w:pPr>
      <w:r w:rsidRPr="001D0D2A">
        <w:rPr>
          <w:noProof/>
          <w:color w:val="auto"/>
        </w:rPr>
        <w:drawing>
          <wp:inline distT="0" distB="0" distL="0" distR="0" wp14:anchorId="067F64BF" wp14:editId="423D7539">
            <wp:extent cx="6026150" cy="35845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026150" cy="3584575"/>
                    </a:xfrm>
                    <a:prstGeom prst="rect">
                      <a:avLst/>
                    </a:prstGeom>
                  </pic:spPr>
                </pic:pic>
              </a:graphicData>
            </a:graphic>
          </wp:inline>
        </w:drawing>
      </w:r>
    </w:p>
    <w:p w14:paraId="56D87377" w14:textId="77777777" w:rsidR="00F447A4" w:rsidRPr="001D0D2A" w:rsidRDefault="00F447A4" w:rsidP="00F447A4">
      <w:pPr>
        <w:pStyle w:val="Response"/>
        <w:rPr>
          <w:bCs/>
          <w:color w:val="auto"/>
        </w:rPr>
      </w:pPr>
    </w:p>
    <w:p w14:paraId="46730B66" w14:textId="490CB94B" w:rsidR="00F447A4" w:rsidRPr="001D0D2A" w:rsidRDefault="00F447A4" w:rsidP="00F447A4">
      <w:pPr>
        <w:pStyle w:val="Response"/>
        <w:rPr>
          <w:bCs/>
          <w:color w:val="auto"/>
        </w:rPr>
      </w:pPr>
      <w:r w:rsidRPr="001D0D2A">
        <w:rPr>
          <w:b/>
          <w:color w:val="auto"/>
        </w:rPr>
        <w:t>In any case, the reform should avoid positive CCyB in normal times in accordance with explicit BCBS definition.</w:t>
      </w:r>
      <w:r w:rsidRPr="001D0D2A">
        <w:rPr>
          <w:bCs/>
          <w:color w:val="auto"/>
        </w:rPr>
        <w:t xml:space="preserve"> Indeed, the CCyB aims to “ensure that the banking sector builds up additional capital defenses in periods where the risks of system-wide stress are growing markedly” […] “this focus on excess aggregate credit growth means that jurisdictions are likely to only need to deploy the buffer on an infrequent basis” [source: BCBS RBC 30.6/30.7]. If a “positive neutral” CCyB were imposed, commensurate offset would be needed to avoid capital increase.</w:t>
      </w:r>
    </w:p>
    <w:p w14:paraId="16CEF564" w14:textId="77777777" w:rsidR="00F447A4" w:rsidRPr="001D0D2A" w:rsidRDefault="00F447A4" w:rsidP="00F447A4">
      <w:pPr>
        <w:pStyle w:val="Response"/>
        <w:rPr>
          <w:bCs/>
          <w:color w:val="auto"/>
        </w:rPr>
      </w:pPr>
    </w:p>
    <w:p w14:paraId="25281694" w14:textId="3C3CF7AB" w:rsidR="00F447A4" w:rsidRPr="001D0D2A" w:rsidRDefault="00F447A4" w:rsidP="009A1675">
      <w:pPr>
        <w:pStyle w:val="Response"/>
        <w:rPr>
          <w:b/>
          <w:color w:val="auto"/>
        </w:rPr>
      </w:pPr>
      <w:r w:rsidRPr="001D0D2A">
        <w:rPr>
          <w:b/>
          <w:color w:val="auto"/>
        </w:rPr>
        <w:t>Importantly, we believe that relief must be granted in a harmonized way and at the same time across the different stacks (risk-based, leverage, resolution). Otherwise, any relief would be tied up by other constraints.</w:t>
      </w:r>
    </w:p>
    <w:p w14:paraId="6E79C73D" w14:textId="77777777" w:rsidR="00F447A4" w:rsidRPr="001D0D2A" w:rsidRDefault="00F447A4" w:rsidP="00C01228">
      <w:pPr>
        <w:pStyle w:val="Response"/>
        <w:numPr>
          <w:ilvl w:val="0"/>
          <w:numId w:val="62"/>
        </w:numPr>
        <w:rPr>
          <w:bCs/>
          <w:color w:val="auto"/>
        </w:rPr>
      </w:pPr>
      <w:r w:rsidRPr="001D0D2A">
        <w:rPr>
          <w:bCs/>
          <w:color w:val="auto"/>
        </w:rPr>
        <w:lastRenderedPageBreak/>
        <w:t>Introduction of leverage buffers (G-SIB, P2R-LR, P2G-LR) will make the leverage ratio increasingly binding, hence proportional releasability of leverage requirements will become all the more necessary.</w:t>
      </w:r>
    </w:p>
    <w:p w14:paraId="09F63E08" w14:textId="79773D5B" w:rsidR="00F447A4" w:rsidRPr="001D0D2A" w:rsidRDefault="00F447A4" w:rsidP="00BA05D6">
      <w:pPr>
        <w:pStyle w:val="Response"/>
        <w:numPr>
          <w:ilvl w:val="0"/>
          <w:numId w:val="62"/>
        </w:numPr>
        <w:rPr>
          <w:bCs/>
          <w:color w:val="auto"/>
        </w:rPr>
      </w:pPr>
      <w:r w:rsidRPr="001D0D2A">
        <w:rPr>
          <w:bCs/>
          <w:color w:val="auto"/>
        </w:rPr>
        <w:t>MREL/TLAC requirements are derived from risk-based buffers and leverage. When buffers are released, commensurate adjustments of MREL/TLAC should be automatic and immediate. When buffers are rebuilt, adequate time should be left to banks to reach MREL targets.</w:t>
      </w:r>
    </w:p>
    <w:p w14:paraId="5745EC80" w14:textId="53B8E30D" w:rsidR="00F447A4" w:rsidRPr="001D0D2A" w:rsidRDefault="00F447A4" w:rsidP="009A1675">
      <w:pPr>
        <w:pStyle w:val="Response"/>
        <w:rPr>
          <w:b/>
          <w:color w:val="auto"/>
          <w:highlight w:val="yellow"/>
        </w:rPr>
      </w:pPr>
    </w:p>
    <w:p w14:paraId="06C3569F" w14:textId="77777777" w:rsidR="007D1606" w:rsidRPr="001D0D2A" w:rsidRDefault="007D1606" w:rsidP="00BA05D6">
      <w:pPr>
        <w:pStyle w:val="Response"/>
        <w:rPr>
          <w:b/>
          <w:color w:val="auto"/>
        </w:rPr>
      </w:pPr>
      <w:r w:rsidRPr="001D0D2A">
        <w:rPr>
          <w:b/>
          <w:bCs/>
          <w:color w:val="auto"/>
        </w:rPr>
        <w:t>Additionally, some issues need to be handled:</w:t>
      </w:r>
    </w:p>
    <w:p w14:paraId="0EDEC158" w14:textId="30768F98" w:rsidR="007D1606" w:rsidRPr="001D0D2A" w:rsidRDefault="007D1606" w:rsidP="00431A6B">
      <w:pPr>
        <w:pStyle w:val="Response"/>
        <w:numPr>
          <w:ilvl w:val="0"/>
          <w:numId w:val="59"/>
        </w:numPr>
        <w:rPr>
          <w:color w:val="auto"/>
        </w:rPr>
      </w:pPr>
      <w:r w:rsidRPr="001D0D2A">
        <w:rPr>
          <w:color w:val="auto"/>
        </w:rPr>
        <w:t xml:space="preserve">Countercyclical Buffer, which should be neutral in normal situations, should be released promptly when needed and targeted measures should be preferred, in particular to include non-bank business. </w:t>
      </w:r>
    </w:p>
    <w:p w14:paraId="705B2A1B" w14:textId="3E68AF86" w:rsidR="007D1606" w:rsidRPr="001D0D2A" w:rsidRDefault="007D1606" w:rsidP="00431A6B">
      <w:pPr>
        <w:pStyle w:val="Response"/>
        <w:numPr>
          <w:ilvl w:val="0"/>
          <w:numId w:val="59"/>
        </w:numPr>
        <w:rPr>
          <w:color w:val="auto"/>
        </w:rPr>
      </w:pPr>
      <w:r w:rsidRPr="001D0D2A">
        <w:rPr>
          <w:color w:val="auto"/>
        </w:rPr>
        <w:t>Treatment of new risks (ESG, Cyber risk) should not lead to capital requirements because of the need to avoid double counting as:</w:t>
      </w:r>
      <w:r w:rsidR="00F447A4" w:rsidRPr="001D0D2A">
        <w:rPr>
          <w:color w:val="auto"/>
        </w:rPr>
        <w:t xml:space="preserve"> (i) </w:t>
      </w:r>
      <w:r w:rsidRPr="001D0D2A">
        <w:rPr>
          <w:color w:val="auto"/>
        </w:rPr>
        <w:t>ESG risks are risk drivers of existing credit, market, and operational risks</w:t>
      </w:r>
      <w:r w:rsidR="00F447A4" w:rsidRPr="001D0D2A">
        <w:rPr>
          <w:color w:val="auto"/>
        </w:rPr>
        <w:t>, (ii) c</w:t>
      </w:r>
      <w:r w:rsidRPr="001D0D2A">
        <w:rPr>
          <w:color w:val="auto"/>
        </w:rPr>
        <w:t>yber risks are risk drivers of operational risk</w:t>
      </w:r>
      <w:r w:rsidR="00F447A4" w:rsidRPr="001D0D2A">
        <w:rPr>
          <w:color w:val="auto"/>
        </w:rPr>
        <w:t>, (iii) r</w:t>
      </w:r>
      <w:r w:rsidRPr="001D0D2A">
        <w:rPr>
          <w:color w:val="auto"/>
        </w:rPr>
        <w:t>ecent reinstalment of Countercyclical and Systemic buffers is premature</w:t>
      </w:r>
      <w:r w:rsidR="00F447A4" w:rsidRPr="001D0D2A">
        <w:rPr>
          <w:color w:val="auto"/>
        </w:rPr>
        <w:t xml:space="preserve">. Also, </w:t>
      </w:r>
      <w:r w:rsidRPr="001D0D2A">
        <w:rPr>
          <w:color w:val="auto"/>
        </w:rPr>
        <w:t>proper sequencing between QE tapering, progressive normalization of monetary policy, and implementation of macro-prudential measures</w:t>
      </w:r>
      <w:r w:rsidR="00F447A4" w:rsidRPr="001D0D2A">
        <w:rPr>
          <w:color w:val="auto"/>
        </w:rPr>
        <w:t xml:space="preserve"> is needed</w:t>
      </w:r>
      <w:r w:rsidRPr="001D0D2A">
        <w:rPr>
          <w:color w:val="auto"/>
        </w:rPr>
        <w:t>. Simultaneous activation of all levers may endanger a still fragile recovery</w:t>
      </w:r>
      <w:r w:rsidR="00F447A4" w:rsidRPr="001D0D2A">
        <w:rPr>
          <w:color w:val="auto"/>
        </w:rPr>
        <w:t>.</w:t>
      </w:r>
    </w:p>
    <w:p w14:paraId="32602FDC" w14:textId="0D50EB70" w:rsidR="007D1606" w:rsidRPr="001D0D2A" w:rsidRDefault="00F447A4" w:rsidP="00BA05D6">
      <w:pPr>
        <w:pStyle w:val="Response"/>
        <w:numPr>
          <w:ilvl w:val="0"/>
          <w:numId w:val="59"/>
        </w:numPr>
        <w:rPr>
          <w:bCs/>
          <w:color w:val="auto"/>
        </w:rPr>
      </w:pPr>
      <w:r w:rsidRPr="001D0D2A">
        <w:rPr>
          <w:bCs/>
          <w:color w:val="auto"/>
        </w:rPr>
        <w:t>There is no need to modify the MDA framework, but rather to ensure it is implemented. In the COVID crisis, supervisors took distribution restrictions” much above MDA trigger. We welcome EC’s statement that “at the current juncture, the Commission does not see a need for additional supervisory powers to be granted to the competent authorities to impose restrictions on distributions by institutions in exceptional circumstances. Otherwise, the MDA framework should be removed, to reduce complexity of the capital stack, all the more given the spill over on leverage MDA and MREL.</w:t>
      </w:r>
    </w:p>
    <w:p w14:paraId="7FC18F86" w14:textId="143EF328" w:rsidR="007D1606" w:rsidRPr="001D0D2A" w:rsidRDefault="007D1606" w:rsidP="00BA05D6">
      <w:pPr>
        <w:pStyle w:val="Response"/>
        <w:ind w:left="360"/>
        <w:rPr>
          <w:b/>
          <w:color w:val="auto"/>
        </w:rPr>
      </w:pPr>
    </w:p>
    <w:p w14:paraId="40F54949" w14:textId="4696EB5D" w:rsidR="00A24BED" w:rsidRPr="001D0D2A" w:rsidRDefault="00D07A22" w:rsidP="00DD5AF8">
      <w:pPr>
        <w:jc w:val="both"/>
        <w:rPr>
          <w:lang w:val="en-US"/>
        </w:rPr>
      </w:pPr>
      <w:r w:rsidRPr="001D0D2A">
        <w:rPr>
          <w:noProof/>
          <w:lang w:val="en-US"/>
        </w:rPr>
        <w:t xml:space="preserve"> </w:t>
      </w:r>
      <w:r w:rsidRPr="001D0D2A">
        <w:rPr>
          <w:noProof/>
        </w:rPr>
        <w:drawing>
          <wp:inline distT="0" distB="0" distL="0" distR="0" wp14:anchorId="4F7868A7" wp14:editId="2A42743C">
            <wp:extent cx="6026150" cy="3618865"/>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026150" cy="3618865"/>
                    </a:xfrm>
                    <a:prstGeom prst="rect">
                      <a:avLst/>
                    </a:prstGeom>
                  </pic:spPr>
                </pic:pic>
              </a:graphicData>
            </a:graphic>
          </wp:inline>
        </w:drawing>
      </w:r>
    </w:p>
    <w:p w14:paraId="79C0E2A0" w14:textId="77777777" w:rsidR="001D0D2A" w:rsidRPr="001D0D2A" w:rsidRDefault="001D0D2A" w:rsidP="001A409E">
      <w:pPr>
        <w:pStyle w:val="Response"/>
        <w:rPr>
          <w:color w:val="auto"/>
        </w:rPr>
      </w:pPr>
    </w:p>
    <w:sectPr w:rsidR="001D0D2A" w:rsidRPr="001D0D2A" w:rsidSect="001D0D2A">
      <w:footerReference w:type="default" r:id="rId10"/>
      <w:type w:val="continuous"/>
      <w:pgSz w:w="11910" w:h="16840"/>
      <w:pgMar w:top="1080" w:right="940" w:bottom="990" w:left="148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079F42" w14:textId="77777777" w:rsidR="00C01228" w:rsidRDefault="00C01228" w:rsidP="00DD5AF8">
      <w:pPr>
        <w:spacing w:line="240" w:lineRule="auto"/>
      </w:pPr>
      <w:r>
        <w:separator/>
      </w:r>
    </w:p>
  </w:endnote>
  <w:endnote w:type="continuationSeparator" w:id="0">
    <w:p w14:paraId="3676B11B" w14:textId="77777777" w:rsidR="00C01228" w:rsidRDefault="00C01228" w:rsidP="00DD5AF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7E1568" w14:textId="5599AD1E" w:rsidR="001D0D2A" w:rsidRDefault="001D0D2A">
    <w:pPr>
      <w:pStyle w:val="Footer"/>
    </w:pPr>
    <w:r>
      <w:rPr>
        <w:noProof/>
      </w:rPr>
      <mc:AlternateContent>
        <mc:Choice Requires="wps">
          <w:drawing>
            <wp:anchor distT="0" distB="0" distL="114300" distR="114300" simplePos="0" relativeHeight="251659264" behindDoc="0" locked="0" layoutInCell="0" allowOverlap="1" wp14:anchorId="03933FD4" wp14:editId="0D07FA27">
              <wp:simplePos x="0" y="0"/>
              <wp:positionH relativeFrom="page">
                <wp:posOffset>0</wp:posOffset>
              </wp:positionH>
              <wp:positionV relativeFrom="page">
                <wp:posOffset>10229215</wp:posOffset>
              </wp:positionV>
              <wp:extent cx="7562850" cy="273050"/>
              <wp:effectExtent l="0" t="0" r="0" b="12700"/>
              <wp:wrapNone/>
              <wp:docPr id="3" name="MSIPCM86454769a2fe544926a30da4" descr="{&quot;HashCode&quot;:1859994762,&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285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8D7E6B7" w14:textId="346D5F7C" w:rsidR="001D0D2A" w:rsidRPr="001D0D2A" w:rsidRDefault="001D0D2A" w:rsidP="001D0D2A">
                          <w:pPr>
                            <w:jc w:val="right"/>
                            <w:rPr>
                              <w:rFonts w:ascii="Calibri" w:hAnsi="Calibri" w:cs="Calibri"/>
                              <w:color w:val="0000FF"/>
                              <w:sz w:val="20"/>
                            </w:rPr>
                          </w:pPr>
                          <w:r w:rsidRPr="001D0D2A">
                            <w:rPr>
                              <w:rFonts w:ascii="Calibri" w:hAnsi="Calibri" w:cs="Calibri"/>
                              <w:color w:val="0000FF"/>
                              <w:sz w:val="20"/>
                            </w:rPr>
                            <w:t>Classification : Internal</w:t>
                          </w:r>
                        </w:p>
                      </w:txbxContent>
                    </wps:txbx>
                    <wps:bodyPr rot="0" spcFirstLastPara="0" vertOverflow="overflow" horzOverflow="overflow" vert="horz" wrap="square" lIns="91440" tIns="0" rIns="254000" bIns="0" numCol="1" spcCol="0" rtlCol="0" fromWordArt="0" anchor="b" anchorCtr="0" forceAA="0" compatLnSpc="1">
                      <a:prstTxWarp prst="textNoShape">
                        <a:avLst/>
                      </a:prstTxWarp>
                      <a:noAutofit/>
                    </wps:bodyPr>
                  </wps:wsp>
                </a:graphicData>
              </a:graphic>
            </wp:anchor>
          </w:drawing>
        </mc:Choice>
        <mc:Fallback>
          <w:pict>
            <v:shapetype w14:anchorId="03933FD4" id="_x0000_t202" coordsize="21600,21600" o:spt="202" path="m,l,21600r21600,l21600,xe">
              <v:stroke joinstyle="miter"/>
              <v:path gradientshapeok="t" o:connecttype="rect"/>
            </v:shapetype>
            <v:shape id="MSIPCM86454769a2fe544926a30da4" o:spid="_x0000_s1026" type="#_x0000_t202" alt="{&quot;HashCode&quot;:1859994762,&quot;Height&quot;:842.0,&quot;Width&quot;:595.0,&quot;Placement&quot;:&quot;Footer&quot;,&quot;Index&quot;:&quot;Primary&quot;,&quot;Section&quot;:1,&quot;Top&quot;:0.0,&quot;Left&quot;:0.0}" style="position:absolute;left:0;text-align:left;margin-left:0;margin-top:805.45pt;width:595.5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" o:allowincell="f" filled="f" stroked="f" strokeweight=".5pt">
              <v:fill o:detectmouseclick="t"/>
              <v:textbox inset=",0,20pt,0">
                <w:txbxContent>
                  <w:p w14:paraId="18D7E6B7" w14:textId="346D5F7C" w:rsidR="001D0D2A" w:rsidRPr="001D0D2A" w:rsidRDefault="001D0D2A" w:rsidP="001D0D2A">
                    <w:pPr>
                      <w:jc w:val="right"/>
                      <w:rPr>
                        <w:rFonts w:ascii="Calibri" w:hAnsi="Calibri" w:cs="Calibri"/>
                        <w:color w:val="0000FF"/>
                        <w:sz w:val="20"/>
                      </w:rPr>
                    </w:pPr>
                    <w:r w:rsidRPr="001D0D2A">
                      <w:rPr>
                        <w:rFonts w:ascii="Calibri" w:hAnsi="Calibri" w:cs="Calibri"/>
                        <w:color w:val="0000FF"/>
                        <w:sz w:val="20"/>
                      </w:rPr>
                      <w:t>Classification : Internal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22CA62" w14:textId="77777777" w:rsidR="00C01228" w:rsidRDefault="00C01228" w:rsidP="00DD5AF8">
      <w:pPr>
        <w:spacing w:line="240" w:lineRule="auto"/>
      </w:pPr>
      <w:r>
        <w:separator/>
      </w:r>
    </w:p>
  </w:footnote>
  <w:footnote w:type="continuationSeparator" w:id="0">
    <w:p w14:paraId="21ECB3F5" w14:textId="77777777" w:rsidR="00C01228" w:rsidRDefault="00C01228" w:rsidP="00DD5AF8">
      <w:pPr>
        <w:spacing w:line="240" w:lineRule="auto"/>
      </w:pPr>
      <w:r>
        <w:continuationSeparator/>
      </w:r>
    </w:p>
  </w:footnote>
  <w:footnote w:id="1">
    <w:p w14:paraId="5DF2F859" w14:textId="77777777" w:rsidR="00C01228" w:rsidRPr="00254531" w:rsidRDefault="00C01228" w:rsidP="007D1606">
      <w:pPr>
        <w:pStyle w:val="FootnoteText"/>
        <w:rPr>
          <w:lang w:val="en-US"/>
        </w:rPr>
      </w:pPr>
      <w:r>
        <w:rPr>
          <w:rStyle w:val="FootnoteReference"/>
        </w:rPr>
        <w:footnoteRef/>
      </w:r>
      <w:r w:rsidRPr="00254531">
        <w:rPr>
          <w:lang w:val="en-US"/>
        </w:rPr>
        <w:t xml:space="preserve"> </w:t>
      </w:r>
      <w:r>
        <w:rPr>
          <w:lang w:val="en-US"/>
        </w:rPr>
        <w:t>See also: Quignon L. (2017), “</w:t>
      </w:r>
      <w:r w:rsidRPr="00254531">
        <w:rPr>
          <w:lang w:val="en-US"/>
        </w:rPr>
        <w:t xml:space="preserve">The economic impact of Basel III: applying the BIS analysis to the </w:t>
      </w:r>
      <w:r>
        <w:rPr>
          <w:lang w:val="en-US"/>
        </w:rPr>
        <w:t xml:space="preserve">Eurozone”, BNP PARIBAS Eco Conjoncture, February. </w:t>
      </w:r>
      <w:r w:rsidRPr="00600139">
        <w:rPr>
          <w:lang w:val="en-US"/>
        </w:rPr>
        <w:t>https://economic-research.bnpparibas.com/html/en-US/economic-impact-Basel-III-applying-BIS-analysis-eurozone-2/27/2017,29606</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2"/>
    <w:multiLevelType w:val="multilevel"/>
    <w:tmpl w:val="86A83EFA"/>
    <w:lvl w:ilvl="0">
      <w:numFmt w:val="bullet"/>
      <w:pStyle w:val="ListParagraph"/>
      <w:lvlText w:val="o"/>
      <w:lvlJc w:val="left"/>
      <w:pPr>
        <w:ind w:left="1546" w:hanging="360"/>
      </w:pPr>
      <w:rPr>
        <w:rFonts w:ascii="Courier New" w:hAnsi="Courier New" w:cs="Courier New"/>
        <w:b w:val="0"/>
        <w:bCs w:val="0"/>
        <w:i w:val="0"/>
        <w:iCs w:val="0"/>
        <w:w w:val="99"/>
        <w:sz w:val="20"/>
        <w:szCs w:val="20"/>
      </w:rPr>
    </w:lvl>
    <w:lvl w:ilvl="1">
      <w:numFmt w:val="bullet"/>
      <w:lvlText w:val="•"/>
      <w:lvlJc w:val="left"/>
      <w:pPr>
        <w:ind w:left="2334" w:hanging="360"/>
      </w:pPr>
    </w:lvl>
    <w:lvl w:ilvl="2">
      <w:numFmt w:val="bullet"/>
      <w:lvlText w:val="•"/>
      <w:lvlJc w:val="left"/>
      <w:pPr>
        <w:ind w:left="3129" w:hanging="360"/>
      </w:pPr>
    </w:lvl>
    <w:lvl w:ilvl="3">
      <w:numFmt w:val="bullet"/>
      <w:lvlText w:val="•"/>
      <w:lvlJc w:val="left"/>
      <w:pPr>
        <w:ind w:left="3923" w:hanging="360"/>
      </w:pPr>
    </w:lvl>
    <w:lvl w:ilvl="4">
      <w:numFmt w:val="bullet"/>
      <w:lvlText w:val="•"/>
      <w:lvlJc w:val="left"/>
      <w:pPr>
        <w:ind w:left="4718" w:hanging="360"/>
      </w:pPr>
    </w:lvl>
    <w:lvl w:ilvl="5">
      <w:numFmt w:val="bullet"/>
      <w:lvlText w:val="•"/>
      <w:lvlJc w:val="left"/>
      <w:pPr>
        <w:ind w:left="5513" w:hanging="360"/>
      </w:pPr>
    </w:lvl>
    <w:lvl w:ilvl="6">
      <w:numFmt w:val="bullet"/>
      <w:lvlText w:val="•"/>
      <w:lvlJc w:val="left"/>
      <w:pPr>
        <w:ind w:left="6307" w:hanging="360"/>
      </w:pPr>
    </w:lvl>
    <w:lvl w:ilvl="7">
      <w:numFmt w:val="bullet"/>
      <w:lvlText w:val="•"/>
      <w:lvlJc w:val="left"/>
      <w:pPr>
        <w:ind w:left="7102" w:hanging="360"/>
      </w:pPr>
    </w:lvl>
    <w:lvl w:ilvl="8">
      <w:numFmt w:val="bullet"/>
      <w:lvlText w:val="•"/>
      <w:lvlJc w:val="left"/>
      <w:pPr>
        <w:ind w:left="7897" w:hanging="360"/>
      </w:pPr>
    </w:lvl>
  </w:abstractNum>
  <w:abstractNum w:abstractNumId="1" w15:restartNumberingAfterBreak="0">
    <w:nsid w:val="00000403"/>
    <w:multiLevelType w:val="multilevel"/>
    <w:tmpl w:val="91E2EF86"/>
    <w:lvl w:ilvl="0">
      <w:start w:val="1"/>
      <w:numFmt w:val="decimal"/>
      <w:pStyle w:val="Heading1"/>
      <w:lvlText w:val="%1."/>
      <w:lvlJc w:val="left"/>
      <w:pPr>
        <w:ind w:left="334" w:hanging="228"/>
      </w:pPr>
      <w:rPr>
        <w:rFonts w:ascii="Times New Roman" w:hAnsi="Times New Roman" w:cs="Times New Roman"/>
        <w:b/>
        <w:bCs/>
        <w:i w:val="0"/>
        <w:iCs w:val="0"/>
        <w:w w:val="100"/>
        <w:sz w:val="24"/>
        <w:szCs w:val="24"/>
      </w:rPr>
    </w:lvl>
    <w:lvl w:ilvl="1">
      <w:numFmt w:val="bullet"/>
      <w:lvlText w:val=""/>
      <w:lvlJc w:val="left"/>
      <w:pPr>
        <w:ind w:left="826" w:hanging="360"/>
      </w:pPr>
      <w:rPr>
        <w:rFonts w:ascii="Symbol" w:hAnsi="Symbol" w:cs="Symbol"/>
        <w:b w:val="0"/>
        <w:bCs w:val="0"/>
        <w:i w:val="0"/>
        <w:iCs w:val="0"/>
        <w:w w:val="99"/>
        <w:sz w:val="20"/>
        <w:szCs w:val="20"/>
      </w:rPr>
    </w:lvl>
    <w:lvl w:ilvl="2">
      <w:numFmt w:val="bullet"/>
      <w:lvlText w:val="•"/>
      <w:lvlJc w:val="left"/>
      <w:pPr>
        <w:ind w:left="1782" w:hanging="360"/>
      </w:pPr>
    </w:lvl>
    <w:lvl w:ilvl="3">
      <w:numFmt w:val="bullet"/>
      <w:lvlText w:val="•"/>
      <w:lvlJc w:val="left"/>
      <w:pPr>
        <w:ind w:left="2745" w:hanging="360"/>
      </w:pPr>
    </w:lvl>
    <w:lvl w:ilvl="4">
      <w:numFmt w:val="bullet"/>
      <w:lvlText w:val="•"/>
      <w:lvlJc w:val="left"/>
      <w:pPr>
        <w:ind w:left="3708" w:hanging="360"/>
      </w:pPr>
    </w:lvl>
    <w:lvl w:ilvl="5">
      <w:numFmt w:val="bullet"/>
      <w:lvlText w:val="•"/>
      <w:lvlJc w:val="left"/>
      <w:pPr>
        <w:ind w:left="4671" w:hanging="360"/>
      </w:pPr>
    </w:lvl>
    <w:lvl w:ilvl="6">
      <w:numFmt w:val="bullet"/>
      <w:lvlText w:val="•"/>
      <w:lvlJc w:val="left"/>
      <w:pPr>
        <w:ind w:left="5634" w:hanging="360"/>
      </w:pPr>
    </w:lvl>
    <w:lvl w:ilvl="7">
      <w:numFmt w:val="bullet"/>
      <w:lvlText w:val="•"/>
      <w:lvlJc w:val="left"/>
      <w:pPr>
        <w:ind w:left="6597" w:hanging="360"/>
      </w:pPr>
    </w:lvl>
    <w:lvl w:ilvl="8">
      <w:numFmt w:val="bullet"/>
      <w:lvlText w:val="•"/>
      <w:lvlJc w:val="left"/>
      <w:pPr>
        <w:ind w:left="7560" w:hanging="360"/>
      </w:pPr>
    </w:lvl>
  </w:abstractNum>
  <w:abstractNum w:abstractNumId="2" w15:restartNumberingAfterBreak="0">
    <w:nsid w:val="00000404"/>
    <w:multiLevelType w:val="multilevel"/>
    <w:tmpl w:val="00000887"/>
    <w:lvl w:ilvl="0">
      <w:numFmt w:val="bullet"/>
      <w:lvlText w:val=""/>
      <w:lvlJc w:val="left"/>
      <w:pPr>
        <w:ind w:left="826" w:hanging="360"/>
      </w:pPr>
      <w:rPr>
        <w:rFonts w:ascii="Symbol" w:hAnsi="Symbol" w:cs="Symbol"/>
        <w:b w:val="0"/>
        <w:bCs w:val="0"/>
        <w:i w:val="0"/>
        <w:iCs w:val="0"/>
        <w:w w:val="99"/>
        <w:sz w:val="20"/>
        <w:szCs w:val="20"/>
      </w:rPr>
    </w:lvl>
    <w:lvl w:ilvl="1">
      <w:numFmt w:val="bullet"/>
      <w:lvlText w:val="•"/>
      <w:lvlJc w:val="left"/>
      <w:pPr>
        <w:ind w:left="1686" w:hanging="360"/>
      </w:pPr>
    </w:lvl>
    <w:lvl w:ilvl="2">
      <w:numFmt w:val="bullet"/>
      <w:lvlText w:val="•"/>
      <w:lvlJc w:val="left"/>
      <w:pPr>
        <w:ind w:left="2553" w:hanging="360"/>
      </w:pPr>
    </w:lvl>
    <w:lvl w:ilvl="3">
      <w:numFmt w:val="bullet"/>
      <w:lvlText w:val="•"/>
      <w:lvlJc w:val="left"/>
      <w:pPr>
        <w:ind w:left="3419" w:hanging="360"/>
      </w:pPr>
    </w:lvl>
    <w:lvl w:ilvl="4">
      <w:numFmt w:val="bullet"/>
      <w:lvlText w:val="•"/>
      <w:lvlJc w:val="left"/>
      <w:pPr>
        <w:ind w:left="4286" w:hanging="360"/>
      </w:pPr>
    </w:lvl>
    <w:lvl w:ilvl="5">
      <w:numFmt w:val="bullet"/>
      <w:lvlText w:val="•"/>
      <w:lvlJc w:val="left"/>
      <w:pPr>
        <w:ind w:left="5153" w:hanging="360"/>
      </w:pPr>
    </w:lvl>
    <w:lvl w:ilvl="6">
      <w:numFmt w:val="bullet"/>
      <w:lvlText w:val="•"/>
      <w:lvlJc w:val="left"/>
      <w:pPr>
        <w:ind w:left="6019" w:hanging="360"/>
      </w:pPr>
    </w:lvl>
    <w:lvl w:ilvl="7">
      <w:numFmt w:val="bullet"/>
      <w:lvlText w:val="•"/>
      <w:lvlJc w:val="left"/>
      <w:pPr>
        <w:ind w:left="6886" w:hanging="360"/>
      </w:pPr>
    </w:lvl>
    <w:lvl w:ilvl="8">
      <w:numFmt w:val="bullet"/>
      <w:lvlText w:val="•"/>
      <w:lvlJc w:val="left"/>
      <w:pPr>
        <w:ind w:left="7753" w:hanging="360"/>
      </w:pPr>
    </w:lvl>
  </w:abstractNum>
  <w:abstractNum w:abstractNumId="3" w15:restartNumberingAfterBreak="0">
    <w:nsid w:val="00000405"/>
    <w:multiLevelType w:val="multilevel"/>
    <w:tmpl w:val="00000888"/>
    <w:lvl w:ilvl="0">
      <w:numFmt w:val="bullet"/>
      <w:lvlText w:val=""/>
      <w:lvlJc w:val="left"/>
      <w:pPr>
        <w:ind w:left="826" w:hanging="360"/>
      </w:pPr>
      <w:rPr>
        <w:rFonts w:ascii="Symbol" w:hAnsi="Symbol" w:cs="Symbol"/>
        <w:b w:val="0"/>
        <w:bCs w:val="0"/>
        <w:i w:val="0"/>
        <w:iCs w:val="0"/>
        <w:w w:val="99"/>
        <w:sz w:val="20"/>
        <w:szCs w:val="20"/>
      </w:rPr>
    </w:lvl>
    <w:lvl w:ilvl="1">
      <w:numFmt w:val="bullet"/>
      <w:lvlText w:val="•"/>
      <w:lvlJc w:val="left"/>
      <w:pPr>
        <w:ind w:left="1686" w:hanging="360"/>
      </w:pPr>
    </w:lvl>
    <w:lvl w:ilvl="2">
      <w:numFmt w:val="bullet"/>
      <w:lvlText w:val="•"/>
      <w:lvlJc w:val="left"/>
      <w:pPr>
        <w:ind w:left="2553" w:hanging="360"/>
      </w:pPr>
    </w:lvl>
    <w:lvl w:ilvl="3">
      <w:numFmt w:val="bullet"/>
      <w:lvlText w:val="•"/>
      <w:lvlJc w:val="left"/>
      <w:pPr>
        <w:ind w:left="3419" w:hanging="360"/>
      </w:pPr>
    </w:lvl>
    <w:lvl w:ilvl="4">
      <w:numFmt w:val="bullet"/>
      <w:lvlText w:val="•"/>
      <w:lvlJc w:val="left"/>
      <w:pPr>
        <w:ind w:left="4286" w:hanging="360"/>
      </w:pPr>
    </w:lvl>
    <w:lvl w:ilvl="5">
      <w:numFmt w:val="bullet"/>
      <w:lvlText w:val="•"/>
      <w:lvlJc w:val="left"/>
      <w:pPr>
        <w:ind w:left="5153" w:hanging="360"/>
      </w:pPr>
    </w:lvl>
    <w:lvl w:ilvl="6">
      <w:numFmt w:val="bullet"/>
      <w:lvlText w:val="•"/>
      <w:lvlJc w:val="left"/>
      <w:pPr>
        <w:ind w:left="6019" w:hanging="360"/>
      </w:pPr>
    </w:lvl>
    <w:lvl w:ilvl="7">
      <w:numFmt w:val="bullet"/>
      <w:lvlText w:val="•"/>
      <w:lvlJc w:val="left"/>
      <w:pPr>
        <w:ind w:left="6886" w:hanging="360"/>
      </w:pPr>
    </w:lvl>
    <w:lvl w:ilvl="8">
      <w:numFmt w:val="bullet"/>
      <w:lvlText w:val="•"/>
      <w:lvlJc w:val="left"/>
      <w:pPr>
        <w:ind w:left="7753" w:hanging="360"/>
      </w:pPr>
    </w:lvl>
  </w:abstractNum>
  <w:abstractNum w:abstractNumId="4" w15:restartNumberingAfterBreak="0">
    <w:nsid w:val="01682810"/>
    <w:multiLevelType w:val="hybridMultilevel"/>
    <w:tmpl w:val="78BAE6B8"/>
    <w:lvl w:ilvl="0" w:tplc="F3744D0E">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4101096"/>
    <w:multiLevelType w:val="hybridMultilevel"/>
    <w:tmpl w:val="C0D2DA36"/>
    <w:lvl w:ilvl="0" w:tplc="0BD8BD88">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59609DF"/>
    <w:multiLevelType w:val="hybridMultilevel"/>
    <w:tmpl w:val="9EF23128"/>
    <w:lvl w:ilvl="0" w:tplc="040C0001">
      <w:start w:val="1"/>
      <w:numFmt w:val="bullet"/>
      <w:lvlText w:val=""/>
      <w:lvlJc w:val="left"/>
      <w:pPr>
        <w:ind w:left="720" w:hanging="360"/>
      </w:pPr>
      <w:rPr>
        <w:rFonts w:ascii="Symbol" w:hAnsi="Symbo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7130114"/>
    <w:multiLevelType w:val="hybridMultilevel"/>
    <w:tmpl w:val="9BE2B6F8"/>
    <w:lvl w:ilvl="0" w:tplc="27C89FE4">
      <w:start w:val="1"/>
      <w:numFmt w:val="lowerRoman"/>
      <w:lvlText w:val="(%1)"/>
      <w:lvlJc w:val="left"/>
      <w:pPr>
        <w:ind w:left="1440" w:hanging="72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8" w15:restartNumberingAfterBreak="0">
    <w:nsid w:val="089B5B67"/>
    <w:multiLevelType w:val="hybridMultilevel"/>
    <w:tmpl w:val="B8ECC792"/>
    <w:lvl w:ilvl="0" w:tplc="5FAEED4A">
      <w:numFmt w:val="bullet"/>
      <w:lvlText w:val="-"/>
      <w:lvlJc w:val="left"/>
      <w:pPr>
        <w:ind w:left="1068" w:hanging="360"/>
      </w:pPr>
      <w:rPr>
        <w:rFonts w:ascii="Calibri" w:eastAsiaTheme="minorHAnsi" w:hAnsi="Calibri" w:cs="Calibri"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9" w15:restartNumberingAfterBreak="0">
    <w:nsid w:val="094D0508"/>
    <w:multiLevelType w:val="hybridMultilevel"/>
    <w:tmpl w:val="B78E342C"/>
    <w:lvl w:ilvl="0" w:tplc="C622C088">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095B15CD"/>
    <w:multiLevelType w:val="hybridMultilevel"/>
    <w:tmpl w:val="8588297E"/>
    <w:lvl w:ilvl="0" w:tplc="9EDE4ED4">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09786D08"/>
    <w:multiLevelType w:val="hybridMultilevel"/>
    <w:tmpl w:val="44B6500A"/>
    <w:lvl w:ilvl="0" w:tplc="D3027D16">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F3B0817"/>
    <w:multiLevelType w:val="hybridMultilevel"/>
    <w:tmpl w:val="09E040EA"/>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0" w:firstLine="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3" w15:restartNumberingAfterBreak="0">
    <w:nsid w:val="126B3A73"/>
    <w:multiLevelType w:val="hybridMultilevel"/>
    <w:tmpl w:val="E284A8A4"/>
    <w:lvl w:ilvl="0" w:tplc="ABCA1A12">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138504B7"/>
    <w:multiLevelType w:val="hybridMultilevel"/>
    <w:tmpl w:val="FA009508"/>
    <w:lvl w:ilvl="0" w:tplc="ABCA1A12">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1516316B"/>
    <w:multiLevelType w:val="hybridMultilevel"/>
    <w:tmpl w:val="BEEE23F0"/>
    <w:lvl w:ilvl="0" w:tplc="040C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55D3E6D"/>
    <w:multiLevelType w:val="hybridMultilevel"/>
    <w:tmpl w:val="81E82BC6"/>
    <w:lvl w:ilvl="0" w:tplc="BEBA942A">
      <w:start w:val="1"/>
      <w:numFmt w:val="lowerRoman"/>
      <w:lvlText w:val="(%1)"/>
      <w:lvlJc w:val="left"/>
      <w:pPr>
        <w:ind w:left="1440" w:hanging="72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7" w15:restartNumberingAfterBreak="0">
    <w:nsid w:val="16420CE3"/>
    <w:multiLevelType w:val="hybridMultilevel"/>
    <w:tmpl w:val="0A02564E"/>
    <w:lvl w:ilvl="0" w:tplc="58C6FD18">
      <w:start w:val="1"/>
      <w:numFmt w:val="bullet"/>
      <w:lvlText w:val=""/>
      <w:lvlJc w:val="left"/>
      <w:pPr>
        <w:tabs>
          <w:tab w:val="num" w:pos="720"/>
        </w:tabs>
        <w:ind w:left="720" w:hanging="360"/>
      </w:pPr>
      <w:rPr>
        <w:rFonts w:ascii="Wingdings" w:hAnsi="Wingdings" w:hint="default"/>
      </w:rPr>
    </w:lvl>
    <w:lvl w:ilvl="1" w:tplc="3E908EEA">
      <w:start w:val="1"/>
      <w:numFmt w:val="bullet"/>
      <w:lvlText w:val=""/>
      <w:lvlJc w:val="left"/>
      <w:pPr>
        <w:tabs>
          <w:tab w:val="num" w:pos="1440"/>
        </w:tabs>
        <w:ind w:left="1440" w:hanging="360"/>
      </w:pPr>
      <w:rPr>
        <w:rFonts w:ascii="Wingdings" w:hAnsi="Wingdings" w:hint="default"/>
      </w:rPr>
    </w:lvl>
    <w:lvl w:ilvl="2" w:tplc="30D2593E" w:tentative="1">
      <w:start w:val="1"/>
      <w:numFmt w:val="bullet"/>
      <w:lvlText w:val=""/>
      <w:lvlJc w:val="left"/>
      <w:pPr>
        <w:tabs>
          <w:tab w:val="num" w:pos="2160"/>
        </w:tabs>
        <w:ind w:left="2160" w:hanging="360"/>
      </w:pPr>
      <w:rPr>
        <w:rFonts w:ascii="Wingdings" w:hAnsi="Wingdings" w:hint="default"/>
      </w:rPr>
    </w:lvl>
    <w:lvl w:ilvl="3" w:tplc="18AE48C8" w:tentative="1">
      <w:start w:val="1"/>
      <w:numFmt w:val="bullet"/>
      <w:lvlText w:val=""/>
      <w:lvlJc w:val="left"/>
      <w:pPr>
        <w:tabs>
          <w:tab w:val="num" w:pos="2880"/>
        </w:tabs>
        <w:ind w:left="2880" w:hanging="360"/>
      </w:pPr>
      <w:rPr>
        <w:rFonts w:ascii="Wingdings" w:hAnsi="Wingdings" w:hint="default"/>
      </w:rPr>
    </w:lvl>
    <w:lvl w:ilvl="4" w:tplc="AFEC5CAE" w:tentative="1">
      <w:start w:val="1"/>
      <w:numFmt w:val="bullet"/>
      <w:lvlText w:val=""/>
      <w:lvlJc w:val="left"/>
      <w:pPr>
        <w:tabs>
          <w:tab w:val="num" w:pos="3600"/>
        </w:tabs>
        <w:ind w:left="3600" w:hanging="360"/>
      </w:pPr>
      <w:rPr>
        <w:rFonts w:ascii="Wingdings" w:hAnsi="Wingdings" w:hint="default"/>
      </w:rPr>
    </w:lvl>
    <w:lvl w:ilvl="5" w:tplc="EE3CF858" w:tentative="1">
      <w:start w:val="1"/>
      <w:numFmt w:val="bullet"/>
      <w:lvlText w:val=""/>
      <w:lvlJc w:val="left"/>
      <w:pPr>
        <w:tabs>
          <w:tab w:val="num" w:pos="4320"/>
        </w:tabs>
        <w:ind w:left="4320" w:hanging="360"/>
      </w:pPr>
      <w:rPr>
        <w:rFonts w:ascii="Wingdings" w:hAnsi="Wingdings" w:hint="default"/>
      </w:rPr>
    </w:lvl>
    <w:lvl w:ilvl="6" w:tplc="D416CFAC" w:tentative="1">
      <w:start w:val="1"/>
      <w:numFmt w:val="bullet"/>
      <w:lvlText w:val=""/>
      <w:lvlJc w:val="left"/>
      <w:pPr>
        <w:tabs>
          <w:tab w:val="num" w:pos="5040"/>
        </w:tabs>
        <w:ind w:left="5040" w:hanging="360"/>
      </w:pPr>
      <w:rPr>
        <w:rFonts w:ascii="Wingdings" w:hAnsi="Wingdings" w:hint="default"/>
      </w:rPr>
    </w:lvl>
    <w:lvl w:ilvl="7" w:tplc="8F704102" w:tentative="1">
      <w:start w:val="1"/>
      <w:numFmt w:val="bullet"/>
      <w:lvlText w:val=""/>
      <w:lvlJc w:val="left"/>
      <w:pPr>
        <w:tabs>
          <w:tab w:val="num" w:pos="5760"/>
        </w:tabs>
        <w:ind w:left="5760" w:hanging="360"/>
      </w:pPr>
      <w:rPr>
        <w:rFonts w:ascii="Wingdings" w:hAnsi="Wingdings" w:hint="default"/>
      </w:rPr>
    </w:lvl>
    <w:lvl w:ilvl="8" w:tplc="7D5C9BA2"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AF67280"/>
    <w:multiLevelType w:val="hybridMultilevel"/>
    <w:tmpl w:val="FECEEE50"/>
    <w:lvl w:ilvl="0" w:tplc="5E6CE1C6">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1C051B52"/>
    <w:multiLevelType w:val="hybridMultilevel"/>
    <w:tmpl w:val="83B416BC"/>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0A6436B"/>
    <w:multiLevelType w:val="hybridMultilevel"/>
    <w:tmpl w:val="1CE832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5056B1E"/>
    <w:multiLevelType w:val="hybridMultilevel"/>
    <w:tmpl w:val="0BD8DDA4"/>
    <w:lvl w:ilvl="0" w:tplc="040C001B">
      <w:start w:val="1"/>
      <w:numFmt w:val="lowerRoman"/>
      <w:lvlText w:val="%1."/>
      <w:lvlJc w:val="righ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71E6424"/>
    <w:multiLevelType w:val="hybridMultilevel"/>
    <w:tmpl w:val="E9DE67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8172179"/>
    <w:multiLevelType w:val="hybridMultilevel"/>
    <w:tmpl w:val="0AF00BE6"/>
    <w:lvl w:ilvl="0" w:tplc="ABCA1A12">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290B5600"/>
    <w:multiLevelType w:val="hybridMultilevel"/>
    <w:tmpl w:val="15049C38"/>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2C4E5664"/>
    <w:multiLevelType w:val="hybridMultilevel"/>
    <w:tmpl w:val="0E5E689C"/>
    <w:lvl w:ilvl="0" w:tplc="040C001B">
      <w:start w:val="1"/>
      <w:numFmt w:val="lowerRoman"/>
      <w:lvlText w:val="%1."/>
      <w:lvlJc w:val="right"/>
      <w:pPr>
        <w:ind w:left="720" w:hanging="360"/>
      </w:pPr>
      <w:rPr>
        <w:rFonts w:hint="default"/>
      </w:rPr>
    </w:lvl>
    <w:lvl w:ilvl="1" w:tplc="040C001B">
      <w:start w:val="1"/>
      <w:numFmt w:val="lowerRoman"/>
      <w:lvlText w:val="%2."/>
      <w:lvlJc w:val="righ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E42447F"/>
    <w:multiLevelType w:val="hybridMultilevel"/>
    <w:tmpl w:val="64E040AC"/>
    <w:lvl w:ilvl="0" w:tplc="5C4AE052">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2F0A4613"/>
    <w:multiLevelType w:val="hybridMultilevel"/>
    <w:tmpl w:val="B5D2E20E"/>
    <w:lvl w:ilvl="0" w:tplc="1CBE01A0">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31512272"/>
    <w:multiLevelType w:val="hybridMultilevel"/>
    <w:tmpl w:val="9CFE4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427778B"/>
    <w:multiLevelType w:val="hybridMultilevel"/>
    <w:tmpl w:val="30EC1D86"/>
    <w:lvl w:ilvl="0" w:tplc="040C0001">
      <w:start w:val="1"/>
      <w:numFmt w:val="bullet"/>
      <w:lvlText w:val=""/>
      <w:lvlJc w:val="left"/>
      <w:pPr>
        <w:ind w:left="720" w:hanging="360"/>
      </w:pPr>
      <w:rPr>
        <w:rFonts w:ascii="Symbol" w:hAnsi="Symbol" w:hint="default"/>
        <w:lang w:val="en-US"/>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436324A"/>
    <w:multiLevelType w:val="hybridMultilevel"/>
    <w:tmpl w:val="B668278A"/>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31" w15:restartNumberingAfterBreak="0">
    <w:nsid w:val="34490FF4"/>
    <w:multiLevelType w:val="hybridMultilevel"/>
    <w:tmpl w:val="8D24032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2" w15:restartNumberingAfterBreak="0">
    <w:nsid w:val="34A613C7"/>
    <w:multiLevelType w:val="hybridMultilevel"/>
    <w:tmpl w:val="7244367C"/>
    <w:lvl w:ilvl="0" w:tplc="066E0CC0">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355D7507"/>
    <w:multiLevelType w:val="hybridMultilevel"/>
    <w:tmpl w:val="BDA02068"/>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34" w15:restartNumberingAfterBreak="0">
    <w:nsid w:val="35C51052"/>
    <w:multiLevelType w:val="hybridMultilevel"/>
    <w:tmpl w:val="A9A0E4E0"/>
    <w:lvl w:ilvl="0" w:tplc="524EF8CE">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37F75009"/>
    <w:multiLevelType w:val="hybridMultilevel"/>
    <w:tmpl w:val="CCAC561A"/>
    <w:lvl w:ilvl="0" w:tplc="ABCA1A12">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39EE15EB"/>
    <w:multiLevelType w:val="hybridMultilevel"/>
    <w:tmpl w:val="D728A832"/>
    <w:lvl w:ilvl="0" w:tplc="ABCA1A12">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45771B27"/>
    <w:multiLevelType w:val="hybridMultilevel"/>
    <w:tmpl w:val="F7284DD6"/>
    <w:lvl w:ilvl="0" w:tplc="DCF2C924">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46766B6B"/>
    <w:multiLevelType w:val="hybridMultilevel"/>
    <w:tmpl w:val="10A62830"/>
    <w:lvl w:ilvl="0" w:tplc="11DEDD4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46F84F41"/>
    <w:multiLevelType w:val="hybridMultilevel"/>
    <w:tmpl w:val="0FBC118C"/>
    <w:lvl w:ilvl="0" w:tplc="040C000F">
      <w:start w:val="9"/>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4AA31E6A"/>
    <w:multiLevelType w:val="hybridMultilevel"/>
    <w:tmpl w:val="886E85F6"/>
    <w:lvl w:ilvl="0" w:tplc="BB94D562">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4CED5E9C"/>
    <w:multiLevelType w:val="hybridMultilevel"/>
    <w:tmpl w:val="FB4ACD8A"/>
    <w:lvl w:ilvl="0" w:tplc="ABCA1A12">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508839F4"/>
    <w:multiLevelType w:val="hybridMultilevel"/>
    <w:tmpl w:val="877E6C9E"/>
    <w:lvl w:ilvl="0" w:tplc="6A9692C8">
      <w:start w:val="1"/>
      <w:numFmt w:val="lowerLetter"/>
      <w:pStyle w:val="stylesousparagraphe"/>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54A17214"/>
    <w:multiLevelType w:val="hybridMultilevel"/>
    <w:tmpl w:val="D82A757C"/>
    <w:lvl w:ilvl="0" w:tplc="2DB6F184">
      <w:numFmt w:val="bullet"/>
      <w:lvlText w:val="-"/>
      <w:lvlJc w:val="left"/>
      <w:pPr>
        <w:ind w:left="720" w:hanging="360"/>
      </w:pPr>
      <w:rPr>
        <w:rFonts w:ascii="Calibri" w:eastAsiaTheme="minorHAnsi" w:hAnsi="Calibri"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6083B58"/>
    <w:multiLevelType w:val="hybridMultilevel"/>
    <w:tmpl w:val="855A59B4"/>
    <w:lvl w:ilvl="0" w:tplc="45E2555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7342EA1"/>
    <w:multiLevelType w:val="hybridMultilevel"/>
    <w:tmpl w:val="DF30C5C6"/>
    <w:lvl w:ilvl="0" w:tplc="B0DC6A5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7A23793"/>
    <w:multiLevelType w:val="hybridMultilevel"/>
    <w:tmpl w:val="F0605550"/>
    <w:lvl w:ilvl="0" w:tplc="ABCA1A12">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7" w15:restartNumberingAfterBreak="0">
    <w:nsid w:val="5AF93AEB"/>
    <w:multiLevelType w:val="hybridMultilevel"/>
    <w:tmpl w:val="24C02512"/>
    <w:lvl w:ilvl="0" w:tplc="04090001">
      <w:start w:val="1"/>
      <w:numFmt w:val="bullet"/>
      <w:lvlText w:val=""/>
      <w:lvlJc w:val="left"/>
      <w:pPr>
        <w:ind w:left="720" w:hanging="360"/>
      </w:pPr>
      <w:rPr>
        <w:rFonts w:ascii="Symbol" w:hAnsi="Symbol" w:hint="default"/>
        <w:lang w:val="en-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3475E3F"/>
    <w:multiLevelType w:val="hybridMultilevel"/>
    <w:tmpl w:val="E53E3694"/>
    <w:lvl w:ilvl="0" w:tplc="27C89FE4">
      <w:start w:val="1"/>
      <w:numFmt w:val="lowerRoman"/>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49" w15:restartNumberingAfterBreak="0">
    <w:nsid w:val="634E702E"/>
    <w:multiLevelType w:val="hybridMultilevel"/>
    <w:tmpl w:val="86CA9420"/>
    <w:lvl w:ilvl="0" w:tplc="ABCA1A12">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0" w15:restartNumberingAfterBreak="0">
    <w:nsid w:val="65CB61A2"/>
    <w:multiLevelType w:val="hybridMultilevel"/>
    <w:tmpl w:val="85CA3C62"/>
    <w:lvl w:ilvl="0" w:tplc="27C89FE4">
      <w:start w:val="1"/>
      <w:numFmt w:val="lowerRoman"/>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51" w15:restartNumberingAfterBreak="0">
    <w:nsid w:val="68A3779A"/>
    <w:multiLevelType w:val="hybridMultilevel"/>
    <w:tmpl w:val="582CEFFA"/>
    <w:lvl w:ilvl="0" w:tplc="ABCA1A12">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2" w15:restartNumberingAfterBreak="0">
    <w:nsid w:val="6AA05D31"/>
    <w:multiLevelType w:val="hybridMultilevel"/>
    <w:tmpl w:val="F93E75D4"/>
    <w:lvl w:ilvl="0" w:tplc="7CF43FDA">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AC422E5"/>
    <w:multiLevelType w:val="hybridMultilevel"/>
    <w:tmpl w:val="E5163636"/>
    <w:lvl w:ilvl="0" w:tplc="ABCA1A12">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4" w15:restartNumberingAfterBreak="0">
    <w:nsid w:val="6B5C649D"/>
    <w:multiLevelType w:val="hybridMultilevel"/>
    <w:tmpl w:val="6E0AFFEA"/>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6ED81FA8"/>
    <w:multiLevelType w:val="hybridMultilevel"/>
    <w:tmpl w:val="9E1C2472"/>
    <w:lvl w:ilvl="0" w:tplc="D12E492C">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6" w15:restartNumberingAfterBreak="0">
    <w:nsid w:val="72D408B0"/>
    <w:multiLevelType w:val="hybridMultilevel"/>
    <w:tmpl w:val="6694B85E"/>
    <w:lvl w:ilvl="0" w:tplc="ABCA1A12">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7" w15:restartNumberingAfterBreak="0">
    <w:nsid w:val="73984EB3"/>
    <w:multiLevelType w:val="hybridMultilevel"/>
    <w:tmpl w:val="611858E0"/>
    <w:lvl w:ilvl="0" w:tplc="012442F6">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82A3DFC"/>
    <w:multiLevelType w:val="hybridMultilevel"/>
    <w:tmpl w:val="F5BE36F6"/>
    <w:lvl w:ilvl="0" w:tplc="03A40BC0">
      <w:start w:val="1"/>
      <w:numFmt w:val="lowerLetter"/>
      <w:lvlText w:val="(%1)"/>
      <w:lvlJc w:val="left"/>
      <w:pPr>
        <w:ind w:left="720" w:hanging="360"/>
      </w:pPr>
      <w:rPr>
        <w:rFonts w:asciiTheme="minorHAnsi" w:eastAsiaTheme="minorHAnsi" w:hAnsiTheme="minorHAnsi" w:cstheme="minorHAnsi"/>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9" w15:restartNumberingAfterBreak="0">
    <w:nsid w:val="78941E33"/>
    <w:multiLevelType w:val="hybridMultilevel"/>
    <w:tmpl w:val="069275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90F093E"/>
    <w:multiLevelType w:val="hybridMultilevel"/>
    <w:tmpl w:val="EEF60894"/>
    <w:lvl w:ilvl="0" w:tplc="13F2AB9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F4415D2"/>
    <w:multiLevelType w:val="hybridMultilevel"/>
    <w:tmpl w:val="9092D498"/>
    <w:lvl w:ilvl="0" w:tplc="4EA22CDE">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2" w15:restartNumberingAfterBreak="0">
    <w:nsid w:val="7F454A1D"/>
    <w:multiLevelType w:val="hybridMultilevel"/>
    <w:tmpl w:val="1FAC4C2A"/>
    <w:lvl w:ilvl="0" w:tplc="ABCA1A12">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 w:numId="5">
    <w:abstractNumId w:val="59"/>
  </w:num>
  <w:num w:numId="6">
    <w:abstractNumId w:val="21"/>
  </w:num>
  <w:num w:numId="7">
    <w:abstractNumId w:val="57"/>
  </w:num>
  <w:num w:numId="8">
    <w:abstractNumId w:val="25"/>
  </w:num>
  <w:num w:numId="9">
    <w:abstractNumId w:val="15"/>
  </w:num>
  <w:num w:numId="10">
    <w:abstractNumId w:val="29"/>
  </w:num>
  <w:num w:numId="11">
    <w:abstractNumId w:val="28"/>
  </w:num>
  <w:num w:numId="12">
    <w:abstractNumId w:val="47"/>
  </w:num>
  <w:num w:numId="13">
    <w:abstractNumId w:val="20"/>
  </w:num>
  <w:num w:numId="14">
    <w:abstractNumId w:val="8"/>
  </w:num>
  <w:num w:numId="15">
    <w:abstractNumId w:val="49"/>
  </w:num>
  <w:num w:numId="16">
    <w:abstractNumId w:val="37"/>
  </w:num>
  <w:num w:numId="17">
    <w:abstractNumId w:val="4"/>
  </w:num>
  <w:num w:numId="18">
    <w:abstractNumId w:val="7"/>
  </w:num>
  <w:num w:numId="19">
    <w:abstractNumId w:val="39"/>
  </w:num>
  <w:num w:numId="20">
    <w:abstractNumId w:val="16"/>
  </w:num>
  <w:num w:numId="21">
    <w:abstractNumId w:val="61"/>
  </w:num>
  <w:num w:numId="22">
    <w:abstractNumId w:val="58"/>
  </w:num>
  <w:num w:numId="23">
    <w:abstractNumId w:val="36"/>
  </w:num>
  <w:num w:numId="24">
    <w:abstractNumId w:val="14"/>
  </w:num>
  <w:num w:numId="25">
    <w:abstractNumId w:val="62"/>
  </w:num>
  <w:num w:numId="26">
    <w:abstractNumId w:val="42"/>
  </w:num>
  <w:num w:numId="27">
    <w:abstractNumId w:val="23"/>
  </w:num>
  <w:num w:numId="28">
    <w:abstractNumId w:val="53"/>
  </w:num>
  <w:num w:numId="29">
    <w:abstractNumId w:val="51"/>
  </w:num>
  <w:num w:numId="30">
    <w:abstractNumId w:val="46"/>
  </w:num>
  <w:num w:numId="31">
    <w:abstractNumId w:val="56"/>
  </w:num>
  <w:num w:numId="32">
    <w:abstractNumId w:val="13"/>
  </w:num>
  <w:num w:numId="33">
    <w:abstractNumId w:val="35"/>
  </w:num>
  <w:num w:numId="34">
    <w:abstractNumId w:val="41"/>
  </w:num>
  <w:num w:numId="35">
    <w:abstractNumId w:val="48"/>
  </w:num>
  <w:num w:numId="36">
    <w:abstractNumId w:val="5"/>
  </w:num>
  <w:num w:numId="37">
    <w:abstractNumId w:val="40"/>
  </w:num>
  <w:num w:numId="38">
    <w:abstractNumId w:val="9"/>
  </w:num>
  <w:num w:numId="39">
    <w:abstractNumId w:val="10"/>
  </w:num>
  <w:num w:numId="40">
    <w:abstractNumId w:val="50"/>
  </w:num>
  <w:num w:numId="41">
    <w:abstractNumId w:val="55"/>
  </w:num>
  <w:num w:numId="42">
    <w:abstractNumId w:val="38"/>
  </w:num>
  <w:num w:numId="43">
    <w:abstractNumId w:val="34"/>
  </w:num>
  <w:num w:numId="44">
    <w:abstractNumId w:val="18"/>
  </w:num>
  <w:num w:numId="45">
    <w:abstractNumId w:val="32"/>
  </w:num>
  <w:num w:numId="46">
    <w:abstractNumId w:val="27"/>
  </w:num>
  <w:num w:numId="47">
    <w:abstractNumId w:val="26"/>
  </w:num>
  <w:num w:numId="48">
    <w:abstractNumId w:val="44"/>
  </w:num>
  <w:num w:numId="49">
    <w:abstractNumId w:val="31"/>
  </w:num>
  <w:num w:numId="50">
    <w:abstractNumId w:val="33"/>
  </w:num>
  <w:num w:numId="51">
    <w:abstractNumId w:val="22"/>
  </w:num>
  <w:num w:numId="52">
    <w:abstractNumId w:val="12"/>
  </w:num>
  <w:num w:numId="53">
    <w:abstractNumId w:val="19"/>
  </w:num>
  <w:num w:numId="54">
    <w:abstractNumId w:val="24"/>
  </w:num>
  <w:num w:numId="55">
    <w:abstractNumId w:val="54"/>
  </w:num>
  <w:num w:numId="56">
    <w:abstractNumId w:val="43"/>
  </w:num>
  <w:num w:numId="57">
    <w:abstractNumId w:val="6"/>
  </w:num>
  <w:num w:numId="58">
    <w:abstractNumId w:val="60"/>
  </w:num>
  <w:num w:numId="59">
    <w:abstractNumId w:val="45"/>
  </w:num>
  <w:num w:numId="60">
    <w:abstractNumId w:val="17"/>
  </w:num>
  <w:num w:numId="6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1"/>
  </w:num>
  <w:num w:numId="63">
    <w:abstractNumId w:val="52"/>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fr-FR" w:vendorID="64" w:dllVersion="6" w:nlCheck="1" w:checkStyle="0"/>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activeWritingStyle w:appName="MSWord" w:lang="en-GB" w:vendorID="64" w:dllVersion="0" w:nlCheck="1" w:checkStyle="0"/>
  <w:defaultTabStop w:val="708"/>
  <w:hyphenationZone w:val="425"/>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5AF8"/>
    <w:rsid w:val="00004CEB"/>
    <w:rsid w:val="000104E1"/>
    <w:rsid w:val="000109D2"/>
    <w:rsid w:val="00017621"/>
    <w:rsid w:val="00020846"/>
    <w:rsid w:val="00021CCF"/>
    <w:rsid w:val="00025EC9"/>
    <w:rsid w:val="00034708"/>
    <w:rsid w:val="00041494"/>
    <w:rsid w:val="00042A74"/>
    <w:rsid w:val="000565AD"/>
    <w:rsid w:val="00060554"/>
    <w:rsid w:val="0006260C"/>
    <w:rsid w:val="00062758"/>
    <w:rsid w:val="00077076"/>
    <w:rsid w:val="0008661D"/>
    <w:rsid w:val="000917AA"/>
    <w:rsid w:val="000974D3"/>
    <w:rsid w:val="000A20CF"/>
    <w:rsid w:val="000A2775"/>
    <w:rsid w:val="000A2FCF"/>
    <w:rsid w:val="000A6DAB"/>
    <w:rsid w:val="000B3BDA"/>
    <w:rsid w:val="000B3DF0"/>
    <w:rsid w:val="000B7410"/>
    <w:rsid w:val="000C4393"/>
    <w:rsid w:val="000C4E33"/>
    <w:rsid w:val="000E1557"/>
    <w:rsid w:val="000E3FAD"/>
    <w:rsid w:val="000F1855"/>
    <w:rsid w:val="000F6285"/>
    <w:rsid w:val="000F7C51"/>
    <w:rsid w:val="001066B8"/>
    <w:rsid w:val="0011119E"/>
    <w:rsid w:val="00111642"/>
    <w:rsid w:val="00120A9C"/>
    <w:rsid w:val="00132205"/>
    <w:rsid w:val="0013428B"/>
    <w:rsid w:val="00134B5D"/>
    <w:rsid w:val="00136118"/>
    <w:rsid w:val="00143135"/>
    <w:rsid w:val="001474DA"/>
    <w:rsid w:val="0015554F"/>
    <w:rsid w:val="001706E1"/>
    <w:rsid w:val="001A409E"/>
    <w:rsid w:val="001A5CCF"/>
    <w:rsid w:val="001B3ECA"/>
    <w:rsid w:val="001C2EF3"/>
    <w:rsid w:val="001D0D2A"/>
    <w:rsid w:val="001D1AB9"/>
    <w:rsid w:val="001E52EA"/>
    <w:rsid w:val="001E534D"/>
    <w:rsid w:val="001F4F98"/>
    <w:rsid w:val="001F5CE4"/>
    <w:rsid w:val="001F600E"/>
    <w:rsid w:val="00214096"/>
    <w:rsid w:val="002163AE"/>
    <w:rsid w:val="00216F40"/>
    <w:rsid w:val="00221275"/>
    <w:rsid w:val="0023322A"/>
    <w:rsid w:val="00242E4D"/>
    <w:rsid w:val="00264F7F"/>
    <w:rsid w:val="0026580A"/>
    <w:rsid w:val="00275FC3"/>
    <w:rsid w:val="00280BAB"/>
    <w:rsid w:val="002834CB"/>
    <w:rsid w:val="0028422E"/>
    <w:rsid w:val="0029295A"/>
    <w:rsid w:val="002A70DA"/>
    <w:rsid w:val="002A76CC"/>
    <w:rsid w:val="002B11ED"/>
    <w:rsid w:val="002B6FB1"/>
    <w:rsid w:val="002C5FD2"/>
    <w:rsid w:val="002D0F19"/>
    <w:rsid w:val="002E240F"/>
    <w:rsid w:val="002F1F51"/>
    <w:rsid w:val="003120E6"/>
    <w:rsid w:val="00314261"/>
    <w:rsid w:val="003149EC"/>
    <w:rsid w:val="00332776"/>
    <w:rsid w:val="0033342D"/>
    <w:rsid w:val="003340F5"/>
    <w:rsid w:val="00342042"/>
    <w:rsid w:val="003443B1"/>
    <w:rsid w:val="003626EF"/>
    <w:rsid w:val="00363085"/>
    <w:rsid w:val="003715C3"/>
    <w:rsid w:val="003802B9"/>
    <w:rsid w:val="0038082B"/>
    <w:rsid w:val="00381866"/>
    <w:rsid w:val="00387DA8"/>
    <w:rsid w:val="00394C81"/>
    <w:rsid w:val="003A0C29"/>
    <w:rsid w:val="003A3AFE"/>
    <w:rsid w:val="003B005F"/>
    <w:rsid w:val="003B35B1"/>
    <w:rsid w:val="003B635D"/>
    <w:rsid w:val="003B7366"/>
    <w:rsid w:val="003C5301"/>
    <w:rsid w:val="003C6B6C"/>
    <w:rsid w:val="003C7F48"/>
    <w:rsid w:val="003D3ABA"/>
    <w:rsid w:val="003E258C"/>
    <w:rsid w:val="003E5E16"/>
    <w:rsid w:val="00401CC1"/>
    <w:rsid w:val="00404C04"/>
    <w:rsid w:val="00412A65"/>
    <w:rsid w:val="00426043"/>
    <w:rsid w:val="00431A6B"/>
    <w:rsid w:val="00436C05"/>
    <w:rsid w:val="004459D6"/>
    <w:rsid w:val="0046235A"/>
    <w:rsid w:val="00462455"/>
    <w:rsid w:val="004637C2"/>
    <w:rsid w:val="00465AA8"/>
    <w:rsid w:val="00492784"/>
    <w:rsid w:val="004961CE"/>
    <w:rsid w:val="004B4216"/>
    <w:rsid w:val="004B5FAC"/>
    <w:rsid w:val="004B625A"/>
    <w:rsid w:val="004C4E98"/>
    <w:rsid w:val="004D0E30"/>
    <w:rsid w:val="004D267E"/>
    <w:rsid w:val="004E09BF"/>
    <w:rsid w:val="004E6377"/>
    <w:rsid w:val="004E6AD3"/>
    <w:rsid w:val="004F7115"/>
    <w:rsid w:val="0051088B"/>
    <w:rsid w:val="00522053"/>
    <w:rsid w:val="005319BD"/>
    <w:rsid w:val="005413EE"/>
    <w:rsid w:val="00542C60"/>
    <w:rsid w:val="005468FD"/>
    <w:rsid w:val="005523F1"/>
    <w:rsid w:val="00552403"/>
    <w:rsid w:val="00553824"/>
    <w:rsid w:val="0055705A"/>
    <w:rsid w:val="00566586"/>
    <w:rsid w:val="00567434"/>
    <w:rsid w:val="00567ECE"/>
    <w:rsid w:val="0057494D"/>
    <w:rsid w:val="00587B7A"/>
    <w:rsid w:val="00592719"/>
    <w:rsid w:val="005C04CA"/>
    <w:rsid w:val="005D2FB3"/>
    <w:rsid w:val="005D73C7"/>
    <w:rsid w:val="005F23E2"/>
    <w:rsid w:val="0062665C"/>
    <w:rsid w:val="00640C58"/>
    <w:rsid w:val="00645BA9"/>
    <w:rsid w:val="006513B5"/>
    <w:rsid w:val="00654D22"/>
    <w:rsid w:val="00665ECD"/>
    <w:rsid w:val="006818B7"/>
    <w:rsid w:val="00683803"/>
    <w:rsid w:val="00687F5A"/>
    <w:rsid w:val="00696AD5"/>
    <w:rsid w:val="006972B7"/>
    <w:rsid w:val="006A05A0"/>
    <w:rsid w:val="006B4ACC"/>
    <w:rsid w:val="006C0E65"/>
    <w:rsid w:val="006C362A"/>
    <w:rsid w:val="006D7127"/>
    <w:rsid w:val="006E7178"/>
    <w:rsid w:val="006F0637"/>
    <w:rsid w:val="006F3AF3"/>
    <w:rsid w:val="006F55D4"/>
    <w:rsid w:val="00713D6E"/>
    <w:rsid w:val="00716795"/>
    <w:rsid w:val="00717CE5"/>
    <w:rsid w:val="007209DC"/>
    <w:rsid w:val="007237F4"/>
    <w:rsid w:val="00734072"/>
    <w:rsid w:val="00735FAA"/>
    <w:rsid w:val="00737114"/>
    <w:rsid w:val="00752887"/>
    <w:rsid w:val="00764A8E"/>
    <w:rsid w:val="00766677"/>
    <w:rsid w:val="0079056D"/>
    <w:rsid w:val="007A018B"/>
    <w:rsid w:val="007A1ABD"/>
    <w:rsid w:val="007C1C58"/>
    <w:rsid w:val="007D1606"/>
    <w:rsid w:val="007D17ED"/>
    <w:rsid w:val="00804374"/>
    <w:rsid w:val="00811762"/>
    <w:rsid w:val="00813D07"/>
    <w:rsid w:val="00814719"/>
    <w:rsid w:val="00816DD2"/>
    <w:rsid w:val="00822F82"/>
    <w:rsid w:val="00830F81"/>
    <w:rsid w:val="00831455"/>
    <w:rsid w:val="008374ED"/>
    <w:rsid w:val="0084056F"/>
    <w:rsid w:val="00843E21"/>
    <w:rsid w:val="008466F8"/>
    <w:rsid w:val="008556BB"/>
    <w:rsid w:val="00863FEF"/>
    <w:rsid w:val="00875124"/>
    <w:rsid w:val="00886D08"/>
    <w:rsid w:val="0089490A"/>
    <w:rsid w:val="008B155F"/>
    <w:rsid w:val="008B7088"/>
    <w:rsid w:val="008E5582"/>
    <w:rsid w:val="008F2018"/>
    <w:rsid w:val="0090689B"/>
    <w:rsid w:val="00921C27"/>
    <w:rsid w:val="009332B4"/>
    <w:rsid w:val="00944895"/>
    <w:rsid w:val="00946AF5"/>
    <w:rsid w:val="009600E6"/>
    <w:rsid w:val="00962686"/>
    <w:rsid w:val="00971352"/>
    <w:rsid w:val="0097736D"/>
    <w:rsid w:val="009832BC"/>
    <w:rsid w:val="0098501D"/>
    <w:rsid w:val="00986BAA"/>
    <w:rsid w:val="0099593F"/>
    <w:rsid w:val="009964D7"/>
    <w:rsid w:val="009A0DD5"/>
    <w:rsid w:val="009A1675"/>
    <w:rsid w:val="009A5A6C"/>
    <w:rsid w:val="009C5F7E"/>
    <w:rsid w:val="009D08AF"/>
    <w:rsid w:val="009E276C"/>
    <w:rsid w:val="009E7004"/>
    <w:rsid w:val="009F1798"/>
    <w:rsid w:val="00A0252D"/>
    <w:rsid w:val="00A03D93"/>
    <w:rsid w:val="00A10341"/>
    <w:rsid w:val="00A10B86"/>
    <w:rsid w:val="00A232B2"/>
    <w:rsid w:val="00A24BED"/>
    <w:rsid w:val="00A25359"/>
    <w:rsid w:val="00A261EA"/>
    <w:rsid w:val="00A42182"/>
    <w:rsid w:val="00A45B0A"/>
    <w:rsid w:val="00A51887"/>
    <w:rsid w:val="00A535B4"/>
    <w:rsid w:val="00A633C7"/>
    <w:rsid w:val="00A8225E"/>
    <w:rsid w:val="00A94691"/>
    <w:rsid w:val="00A94F5E"/>
    <w:rsid w:val="00A950B8"/>
    <w:rsid w:val="00AA1AFD"/>
    <w:rsid w:val="00AB1708"/>
    <w:rsid w:val="00AB6301"/>
    <w:rsid w:val="00AC4D91"/>
    <w:rsid w:val="00AC6962"/>
    <w:rsid w:val="00AD27F6"/>
    <w:rsid w:val="00AE62F1"/>
    <w:rsid w:val="00AF2EB2"/>
    <w:rsid w:val="00B13EC3"/>
    <w:rsid w:val="00B14E07"/>
    <w:rsid w:val="00B170BE"/>
    <w:rsid w:val="00B1716A"/>
    <w:rsid w:val="00B34B38"/>
    <w:rsid w:val="00B3573E"/>
    <w:rsid w:val="00B36516"/>
    <w:rsid w:val="00B463C4"/>
    <w:rsid w:val="00B525AF"/>
    <w:rsid w:val="00B545E0"/>
    <w:rsid w:val="00B54AD4"/>
    <w:rsid w:val="00B64336"/>
    <w:rsid w:val="00B86603"/>
    <w:rsid w:val="00B8716E"/>
    <w:rsid w:val="00B95309"/>
    <w:rsid w:val="00B9642A"/>
    <w:rsid w:val="00B97438"/>
    <w:rsid w:val="00BA05D6"/>
    <w:rsid w:val="00BB09CD"/>
    <w:rsid w:val="00BB6FBF"/>
    <w:rsid w:val="00BC5A99"/>
    <w:rsid w:val="00BE3E97"/>
    <w:rsid w:val="00BE3F1F"/>
    <w:rsid w:val="00BE46CE"/>
    <w:rsid w:val="00BF2252"/>
    <w:rsid w:val="00BF28CA"/>
    <w:rsid w:val="00C01228"/>
    <w:rsid w:val="00C221DA"/>
    <w:rsid w:val="00C25907"/>
    <w:rsid w:val="00C36198"/>
    <w:rsid w:val="00C37FF4"/>
    <w:rsid w:val="00C44EE4"/>
    <w:rsid w:val="00C46288"/>
    <w:rsid w:val="00C4662C"/>
    <w:rsid w:val="00C46A81"/>
    <w:rsid w:val="00C52F8A"/>
    <w:rsid w:val="00C74784"/>
    <w:rsid w:val="00C81235"/>
    <w:rsid w:val="00C84B42"/>
    <w:rsid w:val="00CA1229"/>
    <w:rsid w:val="00CB55ED"/>
    <w:rsid w:val="00CD2393"/>
    <w:rsid w:val="00CD30D5"/>
    <w:rsid w:val="00CD68F3"/>
    <w:rsid w:val="00CE198F"/>
    <w:rsid w:val="00CF509C"/>
    <w:rsid w:val="00CF5E18"/>
    <w:rsid w:val="00D03C92"/>
    <w:rsid w:val="00D07A22"/>
    <w:rsid w:val="00D17573"/>
    <w:rsid w:val="00D36C1A"/>
    <w:rsid w:val="00D4043B"/>
    <w:rsid w:val="00D42F31"/>
    <w:rsid w:val="00D4343B"/>
    <w:rsid w:val="00D45A6F"/>
    <w:rsid w:val="00D77945"/>
    <w:rsid w:val="00D81632"/>
    <w:rsid w:val="00D82A22"/>
    <w:rsid w:val="00D82C35"/>
    <w:rsid w:val="00D874D5"/>
    <w:rsid w:val="00D95C22"/>
    <w:rsid w:val="00D95CDA"/>
    <w:rsid w:val="00DA083D"/>
    <w:rsid w:val="00DA276B"/>
    <w:rsid w:val="00DB2BAB"/>
    <w:rsid w:val="00DB6498"/>
    <w:rsid w:val="00DD5AF8"/>
    <w:rsid w:val="00DE0A5E"/>
    <w:rsid w:val="00DF092D"/>
    <w:rsid w:val="00DF30C9"/>
    <w:rsid w:val="00E005FA"/>
    <w:rsid w:val="00E00B9A"/>
    <w:rsid w:val="00E0522A"/>
    <w:rsid w:val="00E17FAC"/>
    <w:rsid w:val="00E31AD4"/>
    <w:rsid w:val="00E32F1A"/>
    <w:rsid w:val="00E3391D"/>
    <w:rsid w:val="00E41264"/>
    <w:rsid w:val="00E4296F"/>
    <w:rsid w:val="00E455A7"/>
    <w:rsid w:val="00E60231"/>
    <w:rsid w:val="00E625EA"/>
    <w:rsid w:val="00E63F50"/>
    <w:rsid w:val="00E77AF2"/>
    <w:rsid w:val="00E804B8"/>
    <w:rsid w:val="00E81A90"/>
    <w:rsid w:val="00E93D52"/>
    <w:rsid w:val="00E94593"/>
    <w:rsid w:val="00E96653"/>
    <w:rsid w:val="00EB1464"/>
    <w:rsid w:val="00EB7D67"/>
    <w:rsid w:val="00EC50B2"/>
    <w:rsid w:val="00EC7E10"/>
    <w:rsid w:val="00EC7E2A"/>
    <w:rsid w:val="00EE306B"/>
    <w:rsid w:val="00EE39A4"/>
    <w:rsid w:val="00F00A2A"/>
    <w:rsid w:val="00F01E8F"/>
    <w:rsid w:val="00F05FB9"/>
    <w:rsid w:val="00F112F3"/>
    <w:rsid w:val="00F279B6"/>
    <w:rsid w:val="00F27E32"/>
    <w:rsid w:val="00F32D7B"/>
    <w:rsid w:val="00F33D16"/>
    <w:rsid w:val="00F35103"/>
    <w:rsid w:val="00F447A4"/>
    <w:rsid w:val="00F63D79"/>
    <w:rsid w:val="00F65A1A"/>
    <w:rsid w:val="00F67815"/>
    <w:rsid w:val="00F71DE4"/>
    <w:rsid w:val="00F7705A"/>
    <w:rsid w:val="00F922B0"/>
    <w:rsid w:val="00FA34B5"/>
    <w:rsid w:val="00FB0061"/>
    <w:rsid w:val="00FB1F8A"/>
    <w:rsid w:val="00FB2605"/>
    <w:rsid w:val="00FD4F92"/>
    <w:rsid w:val="00FF4C7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23294CD0"/>
  <w15:chartTrackingRefBased/>
  <w15:docId w15:val="{C7CE7648-8A84-43B9-8C47-EE457234DA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3AF3"/>
    <w:pPr>
      <w:spacing w:after="0"/>
      <w:jc w:val="center"/>
    </w:pPr>
  </w:style>
  <w:style w:type="paragraph" w:styleId="Heading1">
    <w:name w:val="heading 1"/>
    <w:basedOn w:val="ListParagraph"/>
    <w:next w:val="Normal"/>
    <w:link w:val="Heading1Char"/>
    <w:uiPriority w:val="1"/>
    <w:qFormat/>
    <w:rsid w:val="00DD5AF8"/>
    <w:pPr>
      <w:numPr>
        <w:numId w:val="3"/>
      </w:numPr>
      <w:outlineLvl w:val="0"/>
    </w:pPr>
    <w:rPr>
      <w:b/>
    </w:rPr>
  </w:style>
  <w:style w:type="paragraph" w:styleId="Heading2">
    <w:name w:val="heading 2"/>
    <w:basedOn w:val="Normal"/>
    <w:next w:val="Normal"/>
    <w:link w:val="Heading2Char"/>
    <w:uiPriority w:val="1"/>
    <w:qFormat/>
    <w:rsid w:val="00DD5AF8"/>
    <w:pPr>
      <w:jc w:val="both"/>
      <w:outlineLvl w:val="1"/>
    </w:pPr>
    <w:rPr>
      <w:b/>
    </w:rPr>
  </w:style>
  <w:style w:type="paragraph" w:styleId="Heading3">
    <w:name w:val="heading 3"/>
    <w:basedOn w:val="Normal"/>
    <w:next w:val="Normal"/>
    <w:link w:val="Heading3Char"/>
    <w:uiPriority w:val="9"/>
    <w:unhideWhenUsed/>
    <w:qFormat/>
    <w:rsid w:val="00DD5AF8"/>
    <w:pPr>
      <w:jc w:val="both"/>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DD5AF8"/>
    <w:rPr>
      <w:rFonts w:cstheme="minorHAnsi"/>
      <w:b/>
      <w:sz w:val="20"/>
      <w:szCs w:val="24"/>
      <w:lang w:val="en-US"/>
    </w:rPr>
  </w:style>
  <w:style w:type="character" w:customStyle="1" w:styleId="Heading2Char">
    <w:name w:val="Heading 2 Char"/>
    <w:basedOn w:val="DefaultParagraphFont"/>
    <w:link w:val="Heading2"/>
    <w:uiPriority w:val="1"/>
    <w:rsid w:val="00DD5AF8"/>
    <w:rPr>
      <w:b/>
    </w:rPr>
  </w:style>
  <w:style w:type="numbering" w:customStyle="1" w:styleId="NoList1">
    <w:name w:val="No List1"/>
    <w:next w:val="NoList"/>
    <w:uiPriority w:val="99"/>
    <w:semiHidden/>
    <w:unhideWhenUsed/>
    <w:rsid w:val="00DD5AF8"/>
  </w:style>
  <w:style w:type="paragraph" w:styleId="BodyText">
    <w:name w:val="Body Text"/>
    <w:basedOn w:val="Normal"/>
    <w:link w:val="BodyTextChar"/>
    <w:uiPriority w:val="1"/>
    <w:rsid w:val="00DD5AF8"/>
    <w:pPr>
      <w:autoSpaceDE w:val="0"/>
      <w:autoSpaceDN w:val="0"/>
      <w:adjustRightInd w:val="0"/>
      <w:spacing w:line="240" w:lineRule="auto"/>
    </w:pPr>
    <w:rPr>
      <w:rFonts w:ascii="Times New Roman" w:hAnsi="Times New Roman" w:cs="Times New Roman"/>
      <w:sz w:val="24"/>
      <w:szCs w:val="24"/>
      <w:lang w:val="en-US"/>
    </w:rPr>
  </w:style>
  <w:style w:type="character" w:customStyle="1" w:styleId="BodyTextChar">
    <w:name w:val="Body Text Char"/>
    <w:basedOn w:val="DefaultParagraphFont"/>
    <w:link w:val="BodyText"/>
    <w:uiPriority w:val="1"/>
    <w:rsid w:val="00DD5AF8"/>
    <w:rPr>
      <w:rFonts w:ascii="Times New Roman" w:hAnsi="Times New Roman" w:cs="Times New Roman"/>
      <w:sz w:val="24"/>
      <w:szCs w:val="24"/>
      <w:lang w:val="en-US"/>
    </w:rPr>
  </w:style>
  <w:style w:type="paragraph" w:styleId="Title">
    <w:name w:val="Title"/>
    <w:basedOn w:val="Normal"/>
    <w:next w:val="Normal"/>
    <w:link w:val="TitleChar"/>
    <w:uiPriority w:val="1"/>
    <w:rsid w:val="00DD5AF8"/>
    <w:pPr>
      <w:autoSpaceDE w:val="0"/>
      <w:autoSpaceDN w:val="0"/>
      <w:adjustRightInd w:val="0"/>
      <w:spacing w:before="157" w:line="240" w:lineRule="auto"/>
      <w:ind w:left="106"/>
    </w:pPr>
    <w:rPr>
      <w:rFonts w:ascii="Times New Roman" w:hAnsi="Times New Roman" w:cs="Times New Roman"/>
      <w:b/>
      <w:bCs/>
      <w:sz w:val="26"/>
      <w:szCs w:val="26"/>
      <w:lang w:val="en-US"/>
    </w:rPr>
  </w:style>
  <w:style w:type="character" w:customStyle="1" w:styleId="TitleChar">
    <w:name w:val="Title Char"/>
    <w:basedOn w:val="DefaultParagraphFont"/>
    <w:link w:val="Title"/>
    <w:uiPriority w:val="1"/>
    <w:rsid w:val="00DD5AF8"/>
    <w:rPr>
      <w:rFonts w:ascii="Times New Roman" w:hAnsi="Times New Roman" w:cs="Times New Roman"/>
      <w:b/>
      <w:bCs/>
      <w:sz w:val="26"/>
      <w:szCs w:val="26"/>
      <w:lang w:val="en-US"/>
    </w:rPr>
  </w:style>
  <w:style w:type="paragraph" w:styleId="ListParagraph">
    <w:name w:val="List Paragraph"/>
    <w:aliases w:val="Paragraphe EI,Paragraphe de liste1,EC"/>
    <w:basedOn w:val="Normal"/>
    <w:link w:val="ListParagraphChar"/>
    <w:uiPriority w:val="34"/>
    <w:qFormat/>
    <w:rsid w:val="00DD5AF8"/>
    <w:pPr>
      <w:numPr>
        <w:numId w:val="4"/>
      </w:numPr>
      <w:autoSpaceDE w:val="0"/>
      <w:autoSpaceDN w:val="0"/>
      <w:adjustRightInd w:val="0"/>
      <w:spacing w:line="240" w:lineRule="auto"/>
      <w:jc w:val="both"/>
    </w:pPr>
    <w:rPr>
      <w:rFonts w:cstheme="minorHAnsi"/>
      <w:sz w:val="20"/>
      <w:szCs w:val="24"/>
      <w:lang w:val="en-US"/>
    </w:rPr>
  </w:style>
  <w:style w:type="paragraph" w:customStyle="1" w:styleId="TableParagraph">
    <w:name w:val="Table Paragraph"/>
    <w:basedOn w:val="Normal"/>
    <w:uiPriority w:val="1"/>
    <w:rsid w:val="00DD5AF8"/>
    <w:pPr>
      <w:autoSpaceDE w:val="0"/>
      <w:autoSpaceDN w:val="0"/>
      <w:adjustRightInd w:val="0"/>
      <w:spacing w:line="240" w:lineRule="auto"/>
    </w:pPr>
    <w:rPr>
      <w:rFonts w:ascii="Times New Roman" w:hAnsi="Times New Roman" w:cs="Times New Roman"/>
      <w:sz w:val="24"/>
      <w:szCs w:val="24"/>
      <w:lang w:val="en-US"/>
    </w:rPr>
  </w:style>
  <w:style w:type="character" w:customStyle="1" w:styleId="Heading3Char">
    <w:name w:val="Heading 3 Char"/>
    <w:basedOn w:val="DefaultParagraphFont"/>
    <w:link w:val="Heading3"/>
    <w:uiPriority w:val="9"/>
    <w:rsid w:val="00DD5AF8"/>
    <w:rPr>
      <w:b/>
    </w:rPr>
  </w:style>
  <w:style w:type="paragraph" w:styleId="Header">
    <w:name w:val="header"/>
    <w:basedOn w:val="Normal"/>
    <w:link w:val="HeaderChar"/>
    <w:uiPriority w:val="99"/>
    <w:unhideWhenUsed/>
    <w:rsid w:val="00DD5AF8"/>
    <w:pPr>
      <w:tabs>
        <w:tab w:val="center" w:pos="4703"/>
        <w:tab w:val="right" w:pos="9406"/>
      </w:tabs>
      <w:spacing w:line="240" w:lineRule="auto"/>
    </w:pPr>
  </w:style>
  <w:style w:type="character" w:customStyle="1" w:styleId="HeaderChar">
    <w:name w:val="Header Char"/>
    <w:basedOn w:val="DefaultParagraphFont"/>
    <w:link w:val="Header"/>
    <w:uiPriority w:val="99"/>
    <w:rsid w:val="00DD5AF8"/>
  </w:style>
  <w:style w:type="paragraph" w:styleId="Footer">
    <w:name w:val="footer"/>
    <w:basedOn w:val="Normal"/>
    <w:link w:val="FooterChar"/>
    <w:uiPriority w:val="99"/>
    <w:unhideWhenUsed/>
    <w:rsid w:val="00DD5AF8"/>
    <w:pPr>
      <w:tabs>
        <w:tab w:val="center" w:pos="4703"/>
        <w:tab w:val="right" w:pos="9406"/>
      </w:tabs>
      <w:spacing w:line="240" w:lineRule="auto"/>
    </w:pPr>
  </w:style>
  <w:style w:type="character" w:customStyle="1" w:styleId="FooterChar">
    <w:name w:val="Footer Char"/>
    <w:basedOn w:val="DefaultParagraphFont"/>
    <w:link w:val="Footer"/>
    <w:uiPriority w:val="99"/>
    <w:rsid w:val="00DD5AF8"/>
  </w:style>
  <w:style w:type="paragraph" w:customStyle="1" w:styleId="Response">
    <w:name w:val="Response"/>
    <w:basedOn w:val="Normal"/>
    <w:link w:val="ResponseChar"/>
    <w:qFormat/>
    <w:rsid w:val="00C25907"/>
    <w:pPr>
      <w:jc w:val="both"/>
    </w:pPr>
    <w:rPr>
      <w:color w:val="4472C4" w:themeColor="accent5"/>
      <w:lang w:val="en-US"/>
    </w:rPr>
  </w:style>
  <w:style w:type="character" w:customStyle="1" w:styleId="ResponseChar">
    <w:name w:val="Response Char"/>
    <w:basedOn w:val="DefaultParagraphFont"/>
    <w:link w:val="Response"/>
    <w:rsid w:val="00C25907"/>
    <w:rPr>
      <w:color w:val="4472C4" w:themeColor="accent5"/>
      <w:lang w:val="en-US"/>
    </w:rPr>
  </w:style>
  <w:style w:type="paragraph" w:customStyle="1" w:styleId="CM1">
    <w:name w:val="CM1"/>
    <w:basedOn w:val="Normal"/>
    <w:next w:val="Normal"/>
    <w:uiPriority w:val="99"/>
    <w:rsid w:val="000A2FCF"/>
    <w:pPr>
      <w:autoSpaceDE w:val="0"/>
      <w:autoSpaceDN w:val="0"/>
      <w:adjustRightInd w:val="0"/>
      <w:spacing w:line="240" w:lineRule="auto"/>
    </w:pPr>
    <w:rPr>
      <w:rFonts w:ascii="Times New Roman" w:hAnsi="Times New Roman" w:cs="Times New Roman"/>
      <w:sz w:val="24"/>
      <w:szCs w:val="24"/>
      <w:lang w:val="en-US"/>
    </w:rPr>
  </w:style>
  <w:style w:type="paragraph" w:customStyle="1" w:styleId="CM3">
    <w:name w:val="CM3"/>
    <w:basedOn w:val="Normal"/>
    <w:next w:val="Normal"/>
    <w:uiPriority w:val="99"/>
    <w:rsid w:val="000A2FCF"/>
    <w:pPr>
      <w:autoSpaceDE w:val="0"/>
      <w:autoSpaceDN w:val="0"/>
      <w:adjustRightInd w:val="0"/>
      <w:spacing w:line="240" w:lineRule="auto"/>
    </w:pPr>
    <w:rPr>
      <w:rFonts w:ascii="Times New Roman" w:hAnsi="Times New Roman" w:cs="Times New Roman"/>
      <w:sz w:val="24"/>
      <w:szCs w:val="24"/>
      <w:lang w:val="en-US"/>
    </w:rPr>
  </w:style>
  <w:style w:type="paragraph" w:customStyle="1" w:styleId="CM4">
    <w:name w:val="CM4"/>
    <w:basedOn w:val="Normal"/>
    <w:next w:val="Normal"/>
    <w:uiPriority w:val="99"/>
    <w:rsid w:val="000A2FCF"/>
    <w:pPr>
      <w:autoSpaceDE w:val="0"/>
      <w:autoSpaceDN w:val="0"/>
      <w:adjustRightInd w:val="0"/>
      <w:spacing w:line="240" w:lineRule="auto"/>
    </w:pPr>
    <w:rPr>
      <w:rFonts w:ascii="Times New Roman" w:hAnsi="Times New Roman" w:cs="Times New Roman"/>
      <w:sz w:val="24"/>
      <w:szCs w:val="24"/>
      <w:lang w:val="en-US"/>
    </w:rPr>
  </w:style>
  <w:style w:type="character" w:styleId="Hyperlink">
    <w:name w:val="Hyperlink"/>
    <w:basedOn w:val="DefaultParagraphFont"/>
    <w:uiPriority w:val="99"/>
    <w:unhideWhenUsed/>
    <w:rsid w:val="001C2EF3"/>
    <w:rPr>
      <w:color w:val="0000FF"/>
      <w:u w:val="single"/>
    </w:rPr>
  </w:style>
  <w:style w:type="paragraph" w:styleId="BalloonText">
    <w:name w:val="Balloon Text"/>
    <w:basedOn w:val="Normal"/>
    <w:link w:val="BalloonTextChar"/>
    <w:uiPriority w:val="99"/>
    <w:semiHidden/>
    <w:unhideWhenUsed/>
    <w:rsid w:val="009C5F7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5F7E"/>
    <w:rPr>
      <w:rFonts w:ascii="Segoe UI" w:hAnsi="Segoe UI" w:cs="Segoe UI"/>
      <w:sz w:val="18"/>
      <w:szCs w:val="18"/>
    </w:rPr>
  </w:style>
  <w:style w:type="table" w:styleId="TableGrid">
    <w:name w:val="Table Grid"/>
    <w:basedOn w:val="TableNormal"/>
    <w:uiPriority w:val="39"/>
    <w:rsid w:val="009773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9332B4"/>
    <w:rPr>
      <w:color w:val="954F72" w:themeColor="followedHyperlink"/>
      <w:u w:val="single"/>
    </w:rPr>
  </w:style>
  <w:style w:type="character" w:customStyle="1" w:styleId="UnresolvedMention1">
    <w:name w:val="Unresolved Mention1"/>
    <w:basedOn w:val="DefaultParagraphFont"/>
    <w:uiPriority w:val="99"/>
    <w:semiHidden/>
    <w:unhideWhenUsed/>
    <w:rsid w:val="006F3AF3"/>
    <w:rPr>
      <w:color w:val="605E5C"/>
      <w:shd w:val="clear" w:color="auto" w:fill="E1DFDD"/>
    </w:rPr>
  </w:style>
  <w:style w:type="paragraph" w:customStyle="1" w:styleId="titrestylet">
    <w:name w:val="titre stylet"/>
    <w:basedOn w:val="Normal"/>
    <w:link w:val="titrestyletCar"/>
    <w:qFormat/>
    <w:rsid w:val="00004CEB"/>
    <w:pPr>
      <w:spacing w:line="240" w:lineRule="auto"/>
    </w:pPr>
    <w:rPr>
      <w:b/>
    </w:rPr>
  </w:style>
  <w:style w:type="character" w:styleId="CommentReference">
    <w:name w:val="annotation reference"/>
    <w:basedOn w:val="DefaultParagraphFont"/>
    <w:uiPriority w:val="99"/>
    <w:semiHidden/>
    <w:unhideWhenUsed/>
    <w:rsid w:val="002163AE"/>
    <w:rPr>
      <w:sz w:val="16"/>
      <w:szCs w:val="16"/>
    </w:rPr>
  </w:style>
  <w:style w:type="character" w:customStyle="1" w:styleId="titrestyletCar">
    <w:name w:val="titre stylet Car"/>
    <w:basedOn w:val="DefaultParagraphFont"/>
    <w:link w:val="titrestylet"/>
    <w:rsid w:val="00004CEB"/>
    <w:rPr>
      <w:b/>
    </w:rPr>
  </w:style>
  <w:style w:type="paragraph" w:styleId="CommentText">
    <w:name w:val="annotation text"/>
    <w:basedOn w:val="Normal"/>
    <w:link w:val="CommentTextChar"/>
    <w:uiPriority w:val="99"/>
    <w:semiHidden/>
    <w:unhideWhenUsed/>
    <w:rsid w:val="002163AE"/>
    <w:pPr>
      <w:spacing w:line="240" w:lineRule="auto"/>
    </w:pPr>
    <w:rPr>
      <w:sz w:val="20"/>
      <w:szCs w:val="20"/>
    </w:rPr>
  </w:style>
  <w:style w:type="character" w:customStyle="1" w:styleId="CommentTextChar">
    <w:name w:val="Comment Text Char"/>
    <w:basedOn w:val="DefaultParagraphFont"/>
    <w:link w:val="CommentText"/>
    <w:uiPriority w:val="99"/>
    <w:semiHidden/>
    <w:rsid w:val="002163AE"/>
    <w:rPr>
      <w:sz w:val="20"/>
      <w:szCs w:val="20"/>
    </w:rPr>
  </w:style>
  <w:style w:type="paragraph" w:styleId="CommentSubject">
    <w:name w:val="annotation subject"/>
    <w:basedOn w:val="CommentText"/>
    <w:next w:val="CommentText"/>
    <w:link w:val="CommentSubjectChar"/>
    <w:uiPriority w:val="99"/>
    <w:semiHidden/>
    <w:unhideWhenUsed/>
    <w:rsid w:val="002163AE"/>
    <w:rPr>
      <w:b/>
      <w:bCs/>
    </w:rPr>
  </w:style>
  <w:style w:type="character" w:customStyle="1" w:styleId="CommentSubjectChar">
    <w:name w:val="Comment Subject Char"/>
    <w:basedOn w:val="CommentTextChar"/>
    <w:link w:val="CommentSubject"/>
    <w:uiPriority w:val="99"/>
    <w:semiHidden/>
    <w:rsid w:val="002163AE"/>
    <w:rPr>
      <w:b/>
      <w:bCs/>
      <w:sz w:val="20"/>
      <w:szCs w:val="20"/>
    </w:rPr>
  </w:style>
  <w:style w:type="character" w:styleId="PlaceholderText">
    <w:name w:val="Placeholder Text"/>
    <w:basedOn w:val="DefaultParagraphFont"/>
    <w:uiPriority w:val="99"/>
    <w:semiHidden/>
    <w:rsid w:val="00F922B0"/>
    <w:rPr>
      <w:color w:val="808080"/>
    </w:rPr>
  </w:style>
  <w:style w:type="paragraph" w:customStyle="1" w:styleId="stylesousparagraphe">
    <w:name w:val="style sous paragraphe"/>
    <w:basedOn w:val="ListParagraph"/>
    <w:link w:val="stylesousparagrapheCar"/>
    <w:qFormat/>
    <w:rsid w:val="00944895"/>
    <w:pPr>
      <w:numPr>
        <w:numId w:val="26"/>
      </w:numPr>
    </w:pPr>
  </w:style>
  <w:style w:type="character" w:customStyle="1" w:styleId="ListParagraphChar">
    <w:name w:val="List Paragraph Char"/>
    <w:aliases w:val="Paragraphe EI Char,Paragraphe de liste1 Char,EC Char"/>
    <w:basedOn w:val="DefaultParagraphFont"/>
    <w:link w:val="ListParagraph"/>
    <w:uiPriority w:val="34"/>
    <w:rsid w:val="00944895"/>
    <w:rPr>
      <w:rFonts w:cstheme="minorHAnsi"/>
      <w:sz w:val="20"/>
      <w:szCs w:val="24"/>
      <w:lang w:val="en-US"/>
    </w:rPr>
  </w:style>
  <w:style w:type="character" w:customStyle="1" w:styleId="stylesousparagrapheCar">
    <w:name w:val="style sous paragraphe Car"/>
    <w:basedOn w:val="ListParagraphChar"/>
    <w:link w:val="stylesousparagraphe"/>
    <w:rsid w:val="00944895"/>
    <w:rPr>
      <w:rFonts w:cstheme="minorHAnsi"/>
      <w:sz w:val="20"/>
      <w:szCs w:val="24"/>
      <w:lang w:val="en-US"/>
    </w:rPr>
  </w:style>
  <w:style w:type="paragraph" w:styleId="FootnoteText">
    <w:name w:val="footnote text"/>
    <w:basedOn w:val="Normal"/>
    <w:link w:val="FootnoteTextChar"/>
    <w:uiPriority w:val="99"/>
    <w:semiHidden/>
    <w:unhideWhenUsed/>
    <w:rsid w:val="002A70DA"/>
    <w:pPr>
      <w:spacing w:line="240" w:lineRule="auto"/>
      <w:jc w:val="left"/>
    </w:pPr>
    <w:rPr>
      <w:sz w:val="20"/>
      <w:szCs w:val="20"/>
    </w:rPr>
  </w:style>
  <w:style w:type="character" w:customStyle="1" w:styleId="FootnoteTextChar">
    <w:name w:val="Footnote Text Char"/>
    <w:basedOn w:val="DefaultParagraphFont"/>
    <w:link w:val="FootnoteText"/>
    <w:uiPriority w:val="99"/>
    <w:semiHidden/>
    <w:rsid w:val="002A70DA"/>
    <w:rPr>
      <w:sz w:val="20"/>
      <w:szCs w:val="20"/>
    </w:rPr>
  </w:style>
  <w:style w:type="character" w:styleId="FootnoteReference">
    <w:name w:val="footnote reference"/>
    <w:basedOn w:val="DefaultParagraphFont"/>
    <w:uiPriority w:val="99"/>
    <w:semiHidden/>
    <w:unhideWhenUsed/>
    <w:rsid w:val="002A70DA"/>
    <w:rPr>
      <w:vertAlign w:val="superscript"/>
    </w:rPr>
  </w:style>
  <w:style w:type="paragraph" w:styleId="Revision">
    <w:name w:val="Revision"/>
    <w:hidden/>
    <w:uiPriority w:val="99"/>
    <w:semiHidden/>
    <w:rsid w:val="00D07A2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669070">
      <w:bodyDiv w:val="1"/>
      <w:marLeft w:val="0"/>
      <w:marRight w:val="0"/>
      <w:marTop w:val="0"/>
      <w:marBottom w:val="0"/>
      <w:divBdr>
        <w:top w:val="none" w:sz="0" w:space="0" w:color="auto"/>
        <w:left w:val="none" w:sz="0" w:space="0" w:color="auto"/>
        <w:bottom w:val="none" w:sz="0" w:space="0" w:color="auto"/>
        <w:right w:val="none" w:sz="0" w:space="0" w:color="auto"/>
      </w:divBdr>
    </w:div>
    <w:div w:id="104934142">
      <w:bodyDiv w:val="1"/>
      <w:marLeft w:val="0"/>
      <w:marRight w:val="0"/>
      <w:marTop w:val="0"/>
      <w:marBottom w:val="0"/>
      <w:divBdr>
        <w:top w:val="none" w:sz="0" w:space="0" w:color="auto"/>
        <w:left w:val="none" w:sz="0" w:space="0" w:color="auto"/>
        <w:bottom w:val="none" w:sz="0" w:space="0" w:color="auto"/>
        <w:right w:val="none" w:sz="0" w:space="0" w:color="auto"/>
      </w:divBdr>
    </w:div>
    <w:div w:id="238255858">
      <w:bodyDiv w:val="1"/>
      <w:marLeft w:val="0"/>
      <w:marRight w:val="0"/>
      <w:marTop w:val="0"/>
      <w:marBottom w:val="0"/>
      <w:divBdr>
        <w:top w:val="none" w:sz="0" w:space="0" w:color="auto"/>
        <w:left w:val="none" w:sz="0" w:space="0" w:color="auto"/>
        <w:bottom w:val="none" w:sz="0" w:space="0" w:color="auto"/>
        <w:right w:val="none" w:sz="0" w:space="0" w:color="auto"/>
      </w:divBdr>
    </w:div>
    <w:div w:id="1252273591">
      <w:bodyDiv w:val="1"/>
      <w:marLeft w:val="0"/>
      <w:marRight w:val="0"/>
      <w:marTop w:val="0"/>
      <w:marBottom w:val="0"/>
      <w:divBdr>
        <w:top w:val="none" w:sz="0" w:space="0" w:color="auto"/>
        <w:left w:val="none" w:sz="0" w:space="0" w:color="auto"/>
        <w:bottom w:val="none" w:sz="0" w:space="0" w:color="auto"/>
        <w:right w:val="none" w:sz="0" w:space="0" w:color="auto"/>
      </w:divBdr>
    </w:div>
    <w:div w:id="1674187236">
      <w:bodyDiv w:val="1"/>
      <w:marLeft w:val="0"/>
      <w:marRight w:val="0"/>
      <w:marTop w:val="0"/>
      <w:marBottom w:val="0"/>
      <w:divBdr>
        <w:top w:val="none" w:sz="0" w:space="0" w:color="auto"/>
        <w:left w:val="none" w:sz="0" w:space="0" w:color="auto"/>
        <w:bottom w:val="none" w:sz="0" w:space="0" w:color="auto"/>
        <w:right w:val="none" w:sz="0" w:space="0" w:color="auto"/>
      </w:divBdr>
    </w:div>
    <w:div w:id="1727491148">
      <w:bodyDiv w:val="1"/>
      <w:marLeft w:val="0"/>
      <w:marRight w:val="0"/>
      <w:marTop w:val="0"/>
      <w:marBottom w:val="0"/>
      <w:divBdr>
        <w:top w:val="none" w:sz="0" w:space="0" w:color="auto"/>
        <w:left w:val="none" w:sz="0" w:space="0" w:color="auto"/>
        <w:bottom w:val="none" w:sz="0" w:space="0" w:color="auto"/>
        <w:right w:val="none" w:sz="0" w:space="0" w:color="auto"/>
      </w:divBdr>
    </w:div>
    <w:div w:id="1780641450">
      <w:bodyDiv w:val="1"/>
      <w:marLeft w:val="0"/>
      <w:marRight w:val="0"/>
      <w:marTop w:val="0"/>
      <w:marBottom w:val="0"/>
      <w:divBdr>
        <w:top w:val="none" w:sz="0" w:space="0" w:color="auto"/>
        <w:left w:val="none" w:sz="0" w:space="0" w:color="auto"/>
        <w:bottom w:val="none" w:sz="0" w:space="0" w:color="auto"/>
        <w:right w:val="none" w:sz="0" w:space="0" w:color="auto"/>
      </w:divBdr>
      <w:divsChild>
        <w:div w:id="2072851496">
          <w:marLeft w:val="1238"/>
          <w:marRight w:val="0"/>
          <w:marTop w:val="60"/>
          <w:marBottom w:val="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s://www.ecb.europa.eu/pub/pdf/scpwps/ecb.wp2356~4a9ccc29af.en.pd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4</Pages>
  <Words>1758</Words>
  <Characters>10024</Characters>
  <Application>Microsoft Office Word</Application>
  <DocSecurity>0</DocSecurity>
  <Lines>83</Lines>
  <Paragraphs>23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BNP Paribas</Company>
  <LinksUpToDate>false</LinksUpToDate>
  <CharactersWithSpaces>11759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Benoit CARVAL</dc:creator>
  <cp:keywords/>
  <dc:description/>
  <cp:lastModifiedBy>Benoit CARVAL</cp:lastModifiedBy>
  <cp:revision>4</cp:revision>
  <dcterms:created xsi:type="dcterms:W3CDTF">2022-03-18T10:19:00Z</dcterms:created>
  <dcterms:modified xsi:type="dcterms:W3CDTF">2022-03-18T10:22:00Z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12e1ed0-4700-41e0-aec3-61ed249f3333_Enabled">
    <vt:lpwstr>true</vt:lpwstr>
  </property>
  <property fmtid="{D5CDD505-2E9C-101B-9397-08002B2CF9AE}" pid="3" name="MSIP_Label_812e1ed0-4700-41e0-aec3-61ed249f3333_SetDate">
    <vt:lpwstr>2022-03-18T10:22:46Z</vt:lpwstr>
  </property>
  <property fmtid="{D5CDD505-2E9C-101B-9397-08002B2CF9AE}" pid="4" name="MSIP_Label_812e1ed0-4700-41e0-aec3-61ed249f3333_Method">
    <vt:lpwstr>Standard</vt:lpwstr>
  </property>
  <property fmtid="{D5CDD505-2E9C-101B-9397-08002B2CF9AE}" pid="5" name="MSIP_Label_812e1ed0-4700-41e0-aec3-61ed249f3333_Name">
    <vt:lpwstr>Internal - Standard</vt:lpwstr>
  </property>
  <property fmtid="{D5CDD505-2E9C-101B-9397-08002B2CF9AE}" pid="6" name="MSIP_Label_812e1ed0-4700-41e0-aec3-61ed249f3333_SiteId">
    <vt:lpwstr>614f9c25-bffa-42c7-86d8-964101f55fa2</vt:lpwstr>
  </property>
  <property fmtid="{D5CDD505-2E9C-101B-9397-08002B2CF9AE}" pid="7" name="MSIP_Label_812e1ed0-4700-41e0-aec3-61ed249f3333_ActionId">
    <vt:lpwstr>dfe736dd-13bf-454f-bafe-9ca2e259cbc1</vt:lpwstr>
  </property>
  <property fmtid="{D5CDD505-2E9C-101B-9397-08002B2CF9AE}" pid="8" name="MSIP_Label_812e1ed0-4700-41e0-aec3-61ed249f3333_ContentBits">
    <vt:lpwstr>2</vt:lpwstr>
  </property>
</Properties>
</file>