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8AB" w:rsidRPr="00314070" w:rsidRDefault="004278AB" w:rsidP="00CE5562">
      <w:pPr>
        <w:spacing w:after="240"/>
        <w:jc w:val="center"/>
        <w:rPr>
          <w:rFonts w:ascii="Arial Narrow" w:hAnsi="Arial Narrow"/>
          <w:b/>
          <w:sz w:val="24"/>
          <w:szCs w:val="24"/>
        </w:rPr>
      </w:pPr>
    </w:p>
    <w:p w:rsidR="00314070" w:rsidRPr="002839CE" w:rsidRDefault="000077B6" w:rsidP="000077B6">
      <w:pPr>
        <w:jc w:val="both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b/>
          <w:bCs/>
          <w:sz w:val="24"/>
          <w:szCs w:val="24"/>
        </w:rPr>
        <w:t xml:space="preserve">References for response to question </w:t>
      </w:r>
      <w:r w:rsidR="00227ED9" w:rsidRPr="00314070">
        <w:rPr>
          <w:rFonts w:ascii="Arial Narrow" w:hAnsi="Arial Narrow"/>
          <w:b/>
          <w:bCs/>
          <w:sz w:val="24"/>
          <w:szCs w:val="24"/>
        </w:rPr>
        <w:t xml:space="preserve">16.3 </w:t>
      </w:r>
    </w:p>
    <w:p w:rsidR="00314070" w:rsidRPr="00314070" w:rsidRDefault="00314070" w:rsidP="00314070">
      <w:pPr>
        <w:pStyle w:val="NormalWeb"/>
        <w:spacing w:before="240" w:beforeAutospacing="0" w:after="240" w:afterAutospacing="0"/>
        <w:rPr>
          <w:rFonts w:ascii="Arial Narrow" w:hAnsi="Arial Narrow"/>
          <w:lang w:val="en-US"/>
        </w:rPr>
      </w:pPr>
      <w:r w:rsidRPr="00314070">
        <w:rPr>
          <w:rFonts w:ascii="Arial Narrow" w:hAnsi="Arial Narrow"/>
          <w:color w:val="000000"/>
          <w:lang w:val="en-US"/>
        </w:rPr>
        <w:t>[1] ESRB,</w:t>
      </w:r>
      <w:hyperlink r:id="rId8" w:history="1">
        <w:r w:rsidRPr="00314070">
          <w:rPr>
            <w:rStyle w:val="Hyperlink"/>
            <w:rFonts w:ascii="Arial Narrow" w:hAnsi="Arial Narrow"/>
            <w:color w:val="000000"/>
            <w:lang w:val="en-US"/>
          </w:rPr>
          <w:t xml:space="preserve"> </w:t>
        </w:r>
        <w:r w:rsidRPr="00314070">
          <w:rPr>
            <w:rStyle w:val="Hyperlink"/>
            <w:rFonts w:ascii="Arial Narrow" w:hAnsi="Arial Narrow"/>
            <w:color w:val="1155CC"/>
            <w:lang w:val="en-US"/>
          </w:rPr>
          <w:t>Flagship Report on macro-prudential policy in the banking sector</w:t>
        </w:r>
      </w:hyperlink>
      <w:r w:rsidRPr="00314070">
        <w:rPr>
          <w:rFonts w:ascii="Arial Narrow" w:hAnsi="Arial Narrow"/>
          <w:color w:val="000000"/>
          <w:lang w:val="en-US"/>
        </w:rPr>
        <w:t>, March 2014.</w:t>
      </w:r>
    </w:p>
    <w:p w:rsidR="00314070" w:rsidRPr="00314070" w:rsidRDefault="00314070" w:rsidP="00314070">
      <w:pPr>
        <w:pStyle w:val="NormalWeb"/>
        <w:spacing w:before="240" w:beforeAutospacing="0" w:after="240" w:afterAutospacing="0"/>
        <w:jc w:val="both"/>
        <w:rPr>
          <w:rFonts w:ascii="Arial Narrow" w:hAnsi="Arial Narrow"/>
          <w:lang w:val="en-US"/>
        </w:rPr>
      </w:pPr>
      <w:r w:rsidRPr="00314070">
        <w:rPr>
          <w:rFonts w:ascii="Arial Narrow" w:hAnsi="Arial Narrow"/>
          <w:color w:val="000000"/>
          <w:lang w:val="en-US"/>
        </w:rPr>
        <w:t xml:space="preserve">[2] H. Miller, S. </w:t>
      </w:r>
      <w:proofErr w:type="spellStart"/>
      <w:r w:rsidRPr="00314070">
        <w:rPr>
          <w:rFonts w:ascii="Arial Narrow" w:hAnsi="Arial Narrow"/>
          <w:color w:val="000000"/>
          <w:lang w:val="en-US"/>
        </w:rPr>
        <w:t>Dikau</w:t>
      </w:r>
      <w:proofErr w:type="spellEnd"/>
      <w:r w:rsidRPr="00314070">
        <w:rPr>
          <w:rFonts w:ascii="Arial Narrow" w:hAnsi="Arial Narrow"/>
          <w:color w:val="000000"/>
          <w:lang w:val="en-US"/>
        </w:rPr>
        <w:t>,</w:t>
      </w:r>
      <w:hyperlink r:id="rId9" w:history="1">
        <w:r w:rsidRPr="00314070">
          <w:rPr>
            <w:rStyle w:val="Hyperlink"/>
            <w:rFonts w:ascii="Arial Narrow" w:hAnsi="Arial Narrow"/>
            <w:color w:val="000000"/>
            <w:lang w:val="en-US"/>
          </w:rPr>
          <w:t xml:space="preserve"> </w:t>
        </w:r>
        <w:r w:rsidRPr="00314070">
          <w:rPr>
            <w:rStyle w:val="Hyperlink"/>
            <w:rFonts w:ascii="Arial Narrow" w:hAnsi="Arial Narrow"/>
            <w:color w:val="1155CC"/>
            <w:lang w:val="en-US"/>
          </w:rPr>
          <w:t>Preventing a ‘climate Minsky moment’</w:t>
        </w:r>
      </w:hyperlink>
      <w:r w:rsidRPr="00314070">
        <w:rPr>
          <w:rFonts w:ascii="Arial Narrow" w:hAnsi="Arial Narrow"/>
          <w:color w:val="000000"/>
          <w:lang w:val="en-US"/>
        </w:rPr>
        <w:t>: environmental financial risks and prudential exposure limits Exploring the case study of the Bank of England’s prudential regime, The Grantham Research Institute on Climate Change and the Environment, March 2022.</w:t>
      </w:r>
    </w:p>
    <w:p w:rsidR="00314070" w:rsidRPr="00314070" w:rsidRDefault="00314070" w:rsidP="00314070">
      <w:pPr>
        <w:pStyle w:val="NormalWeb"/>
        <w:spacing w:before="240" w:beforeAutospacing="0" w:after="240" w:afterAutospacing="0"/>
        <w:jc w:val="both"/>
        <w:rPr>
          <w:rFonts w:ascii="Arial Narrow" w:hAnsi="Arial Narrow"/>
          <w:lang w:val="en-US"/>
        </w:rPr>
      </w:pPr>
      <w:r w:rsidRPr="00314070">
        <w:rPr>
          <w:rFonts w:ascii="Arial Narrow" w:hAnsi="Arial Narrow"/>
          <w:color w:val="000000"/>
          <w:lang w:val="en-US"/>
        </w:rPr>
        <w:t xml:space="preserve">[3] ECB </w:t>
      </w:r>
      <w:proofErr w:type="spellStart"/>
      <w:r w:rsidRPr="00314070">
        <w:rPr>
          <w:rFonts w:ascii="Arial Narrow" w:hAnsi="Arial Narrow"/>
          <w:color w:val="000000"/>
          <w:lang w:val="en-US"/>
        </w:rPr>
        <w:t>Macroprudential</w:t>
      </w:r>
      <w:proofErr w:type="spellEnd"/>
      <w:r w:rsidRPr="00314070">
        <w:rPr>
          <w:rFonts w:ascii="Arial Narrow" w:hAnsi="Arial Narrow"/>
          <w:color w:val="000000"/>
          <w:lang w:val="en-US"/>
        </w:rPr>
        <w:t xml:space="preserve"> Bulletin,</w:t>
      </w:r>
      <w:hyperlink r:id="rId10" w:history="1">
        <w:r w:rsidRPr="00314070">
          <w:rPr>
            <w:rStyle w:val="Hyperlink"/>
            <w:rFonts w:ascii="Arial Narrow" w:hAnsi="Arial Narrow"/>
            <w:color w:val="000000"/>
            <w:lang w:val="en-US"/>
          </w:rPr>
          <w:t xml:space="preserve"> </w:t>
        </w:r>
        <w:r w:rsidRPr="00314070">
          <w:rPr>
            <w:rStyle w:val="Hyperlink"/>
            <w:rFonts w:ascii="Arial Narrow" w:hAnsi="Arial Narrow"/>
            <w:color w:val="1155CC"/>
            <w:lang w:val="en-US"/>
          </w:rPr>
          <w:t xml:space="preserve">The challenge of capturing climate risks in the banking regulatory framework: is there a need for a </w:t>
        </w:r>
        <w:proofErr w:type="spellStart"/>
        <w:r w:rsidRPr="00314070">
          <w:rPr>
            <w:rStyle w:val="Hyperlink"/>
            <w:rFonts w:ascii="Arial Narrow" w:hAnsi="Arial Narrow"/>
            <w:color w:val="1155CC"/>
            <w:lang w:val="en-US"/>
          </w:rPr>
          <w:t>macroprudential</w:t>
        </w:r>
        <w:proofErr w:type="spellEnd"/>
        <w:r w:rsidRPr="00314070">
          <w:rPr>
            <w:rStyle w:val="Hyperlink"/>
            <w:rFonts w:ascii="Arial Narrow" w:hAnsi="Arial Narrow"/>
            <w:color w:val="1155CC"/>
            <w:lang w:val="en-US"/>
          </w:rPr>
          <w:t xml:space="preserve"> response</w:t>
        </w:r>
      </w:hyperlink>
      <w:r w:rsidRPr="00314070">
        <w:rPr>
          <w:rFonts w:ascii="Arial Narrow" w:hAnsi="Arial Narrow"/>
          <w:color w:val="000000"/>
          <w:lang w:val="en-US"/>
        </w:rPr>
        <w:t xml:space="preserve">?, prepared by I. </w:t>
      </w:r>
      <w:proofErr w:type="spellStart"/>
      <w:r w:rsidRPr="00314070">
        <w:rPr>
          <w:rFonts w:ascii="Arial Narrow" w:hAnsi="Arial Narrow"/>
          <w:color w:val="000000"/>
          <w:lang w:val="en-US"/>
        </w:rPr>
        <w:t>Baranović</w:t>
      </w:r>
      <w:proofErr w:type="spellEnd"/>
      <w:r w:rsidRPr="00314070">
        <w:rPr>
          <w:rFonts w:ascii="Arial Narrow" w:hAnsi="Arial Narrow"/>
          <w:color w:val="000000"/>
          <w:lang w:val="en-US"/>
        </w:rPr>
        <w:t xml:space="preserve">, I. Busies, W. </w:t>
      </w:r>
      <w:proofErr w:type="spellStart"/>
      <w:r w:rsidRPr="00314070">
        <w:rPr>
          <w:rFonts w:ascii="Arial Narrow" w:hAnsi="Arial Narrow"/>
          <w:color w:val="000000"/>
          <w:lang w:val="en-US"/>
        </w:rPr>
        <w:t>Coussens</w:t>
      </w:r>
      <w:proofErr w:type="spellEnd"/>
      <w:r w:rsidRPr="00314070">
        <w:rPr>
          <w:rFonts w:ascii="Arial Narrow" w:hAnsi="Arial Narrow"/>
          <w:color w:val="000000"/>
          <w:lang w:val="en-US"/>
        </w:rPr>
        <w:t xml:space="preserve">, M. Grill and H. </w:t>
      </w:r>
      <w:proofErr w:type="spellStart"/>
      <w:r w:rsidRPr="00314070">
        <w:rPr>
          <w:rFonts w:ascii="Arial Narrow" w:hAnsi="Arial Narrow"/>
          <w:color w:val="000000"/>
          <w:lang w:val="en-US"/>
        </w:rPr>
        <w:t>Hempell</w:t>
      </w:r>
      <w:proofErr w:type="spellEnd"/>
      <w:r w:rsidRPr="00314070">
        <w:rPr>
          <w:rFonts w:ascii="Arial Narrow" w:hAnsi="Arial Narrow"/>
          <w:color w:val="000000"/>
          <w:lang w:val="en-US"/>
        </w:rPr>
        <w:t>, October 2021.</w:t>
      </w:r>
    </w:p>
    <w:p w:rsidR="00314070" w:rsidRPr="00314070" w:rsidRDefault="00314070" w:rsidP="00314070">
      <w:pPr>
        <w:pStyle w:val="NormalWeb"/>
        <w:spacing w:before="240" w:beforeAutospacing="0" w:after="240" w:afterAutospacing="0"/>
        <w:jc w:val="both"/>
        <w:rPr>
          <w:rFonts w:ascii="Arial Narrow" w:hAnsi="Arial Narrow"/>
          <w:lang w:val="en-US"/>
        </w:rPr>
      </w:pPr>
      <w:r w:rsidRPr="00314070">
        <w:rPr>
          <w:rFonts w:ascii="Arial Narrow" w:hAnsi="Arial Narrow"/>
          <w:color w:val="000000"/>
          <w:lang w:val="en-US"/>
        </w:rPr>
        <w:t xml:space="preserve">[4] R. Coelho and F. </w:t>
      </w:r>
      <w:proofErr w:type="spellStart"/>
      <w:r w:rsidRPr="00314070">
        <w:rPr>
          <w:rFonts w:ascii="Arial Narrow" w:hAnsi="Arial Narrow"/>
          <w:color w:val="000000"/>
          <w:lang w:val="en-US"/>
        </w:rPr>
        <w:t>Restoy</w:t>
      </w:r>
      <w:proofErr w:type="spellEnd"/>
      <w:r w:rsidRPr="00314070">
        <w:rPr>
          <w:rFonts w:ascii="Arial Narrow" w:hAnsi="Arial Narrow"/>
          <w:color w:val="000000"/>
          <w:lang w:val="en-US"/>
        </w:rPr>
        <w:t>,</w:t>
      </w:r>
      <w:hyperlink r:id="rId11" w:history="1">
        <w:r w:rsidRPr="00314070">
          <w:rPr>
            <w:rStyle w:val="Hyperlink"/>
            <w:rFonts w:ascii="Arial Narrow" w:hAnsi="Arial Narrow"/>
            <w:color w:val="000000"/>
            <w:lang w:val="en-US"/>
          </w:rPr>
          <w:t xml:space="preserve"> </w:t>
        </w:r>
        <w:r w:rsidRPr="00314070">
          <w:rPr>
            <w:rStyle w:val="Hyperlink"/>
            <w:rFonts w:ascii="Arial Narrow" w:hAnsi="Arial Narrow"/>
            <w:color w:val="1155CC"/>
            <w:lang w:val="en-US"/>
          </w:rPr>
          <w:t>The regulatory response to climate risks: some challenges</w:t>
        </w:r>
      </w:hyperlink>
      <w:r w:rsidRPr="00314070">
        <w:rPr>
          <w:rFonts w:ascii="Arial Narrow" w:hAnsi="Arial Narrow"/>
          <w:color w:val="000000"/>
          <w:lang w:val="en-US"/>
        </w:rPr>
        <w:t>, BIS Financial Stability Institute, FSI Brief No 16, February 2022.</w:t>
      </w:r>
    </w:p>
    <w:p w:rsidR="00314070" w:rsidRPr="00314070" w:rsidRDefault="00314070" w:rsidP="00314070">
      <w:pPr>
        <w:pStyle w:val="NormalWeb"/>
        <w:spacing w:before="240" w:beforeAutospacing="0" w:after="240" w:afterAutospacing="0"/>
        <w:jc w:val="both"/>
        <w:rPr>
          <w:rFonts w:ascii="Arial Narrow" w:hAnsi="Arial Narrow"/>
          <w:lang w:val="en-US"/>
        </w:rPr>
      </w:pPr>
      <w:r w:rsidRPr="00314070">
        <w:rPr>
          <w:rFonts w:ascii="Arial Narrow" w:hAnsi="Arial Narrow"/>
          <w:color w:val="000000"/>
          <w:lang w:val="en-US"/>
        </w:rPr>
        <w:t>[5] Finance Watch, A Silver Bullet Against Green Swans, November 2021.</w:t>
      </w:r>
    </w:p>
    <w:p w:rsidR="00314070" w:rsidRPr="00314070" w:rsidRDefault="00314070" w:rsidP="00314070">
      <w:pPr>
        <w:pStyle w:val="NormalWeb"/>
        <w:spacing w:before="240" w:beforeAutospacing="0" w:after="240" w:afterAutospacing="0"/>
        <w:jc w:val="both"/>
        <w:rPr>
          <w:rFonts w:ascii="Arial Narrow" w:hAnsi="Arial Narrow"/>
          <w:lang w:val="en-US"/>
        </w:rPr>
      </w:pPr>
      <w:r w:rsidRPr="00314070">
        <w:rPr>
          <w:rFonts w:ascii="Arial Narrow" w:hAnsi="Arial Narrow"/>
          <w:color w:val="000000"/>
          <w:lang w:val="en-US"/>
        </w:rPr>
        <w:t xml:space="preserve">[6] See for example, S. </w:t>
      </w:r>
      <w:proofErr w:type="spellStart"/>
      <w:r w:rsidRPr="00314070">
        <w:rPr>
          <w:rFonts w:ascii="Arial Narrow" w:hAnsi="Arial Narrow"/>
          <w:color w:val="000000"/>
          <w:lang w:val="en-US"/>
        </w:rPr>
        <w:t>Alogoskoufis</w:t>
      </w:r>
      <w:proofErr w:type="spellEnd"/>
      <w:r w:rsidRPr="00314070">
        <w:rPr>
          <w:rFonts w:ascii="Arial Narrow" w:hAnsi="Arial Narrow"/>
          <w:color w:val="000000"/>
          <w:lang w:val="en-US"/>
        </w:rPr>
        <w:t xml:space="preserve">, N. </w:t>
      </w:r>
      <w:proofErr w:type="spellStart"/>
      <w:r w:rsidRPr="00314070">
        <w:rPr>
          <w:rFonts w:ascii="Arial Narrow" w:hAnsi="Arial Narrow"/>
          <w:color w:val="000000"/>
          <w:lang w:val="en-US"/>
        </w:rPr>
        <w:t>Dunz</w:t>
      </w:r>
      <w:proofErr w:type="spellEnd"/>
      <w:r w:rsidRPr="00314070">
        <w:rPr>
          <w:rFonts w:ascii="Arial Narrow" w:hAnsi="Arial Narrow"/>
          <w:color w:val="000000"/>
          <w:lang w:val="en-US"/>
        </w:rPr>
        <w:t xml:space="preserve"> et al,</w:t>
      </w:r>
      <w:hyperlink r:id="rId12" w:history="1">
        <w:r w:rsidRPr="00314070">
          <w:rPr>
            <w:rStyle w:val="Hyperlink"/>
            <w:rFonts w:ascii="Arial Narrow" w:hAnsi="Arial Narrow"/>
            <w:color w:val="000000"/>
            <w:lang w:val="en-US"/>
          </w:rPr>
          <w:t xml:space="preserve"> </w:t>
        </w:r>
        <w:r w:rsidRPr="00314070">
          <w:rPr>
            <w:rStyle w:val="Hyperlink"/>
            <w:rFonts w:ascii="Arial Narrow" w:hAnsi="Arial Narrow"/>
            <w:lang w:val="en-US"/>
          </w:rPr>
          <w:t>ECB economy-wide climate stress test: Methodology and results</w:t>
        </w:r>
      </w:hyperlink>
      <w:r w:rsidRPr="00314070">
        <w:rPr>
          <w:rFonts w:ascii="Arial Narrow" w:hAnsi="Arial Narrow"/>
          <w:color w:val="000000"/>
          <w:lang w:val="en-US"/>
        </w:rPr>
        <w:t>, ECB Occasional Paper Series, No 281, September 2021.</w:t>
      </w:r>
    </w:p>
    <w:p w:rsidR="00314070" w:rsidRPr="00314070" w:rsidRDefault="00314070" w:rsidP="00314070">
      <w:pPr>
        <w:pStyle w:val="NormalWeb"/>
        <w:spacing w:before="240" w:beforeAutospacing="0" w:after="240" w:afterAutospacing="0"/>
        <w:jc w:val="both"/>
        <w:rPr>
          <w:rFonts w:ascii="Arial Narrow" w:hAnsi="Arial Narrow"/>
          <w:lang w:val="en-US"/>
        </w:rPr>
      </w:pPr>
      <w:r w:rsidRPr="00314070">
        <w:rPr>
          <w:rFonts w:ascii="Arial Narrow" w:hAnsi="Arial Narrow"/>
          <w:color w:val="000000"/>
          <w:lang w:val="en-US"/>
        </w:rPr>
        <w:t xml:space="preserve">[7] BIS, </w:t>
      </w:r>
      <w:proofErr w:type="spellStart"/>
      <w:r w:rsidRPr="00314070">
        <w:rPr>
          <w:rFonts w:ascii="Arial Narrow" w:hAnsi="Arial Narrow"/>
          <w:color w:val="000000"/>
          <w:lang w:val="en-US"/>
        </w:rPr>
        <w:t>BdF</w:t>
      </w:r>
      <w:proofErr w:type="spellEnd"/>
      <w:r w:rsidRPr="00314070">
        <w:rPr>
          <w:rFonts w:ascii="Arial Narrow" w:hAnsi="Arial Narrow"/>
          <w:color w:val="000000"/>
          <w:lang w:val="en-US"/>
        </w:rPr>
        <w:t xml:space="preserve"> – P. Bolton, M. </w:t>
      </w:r>
      <w:proofErr w:type="spellStart"/>
      <w:r w:rsidRPr="00314070">
        <w:rPr>
          <w:rFonts w:ascii="Arial Narrow" w:hAnsi="Arial Narrow"/>
          <w:color w:val="000000"/>
          <w:lang w:val="en-US"/>
        </w:rPr>
        <w:t>Despres</w:t>
      </w:r>
      <w:proofErr w:type="spellEnd"/>
      <w:r w:rsidRPr="00314070">
        <w:rPr>
          <w:rFonts w:ascii="Arial Narrow" w:hAnsi="Arial Narrow"/>
          <w:color w:val="000000"/>
          <w:lang w:val="en-US"/>
        </w:rPr>
        <w:t xml:space="preserve">, L.A. Pereira da Silva, F. </w:t>
      </w:r>
      <w:proofErr w:type="spellStart"/>
      <w:r w:rsidRPr="00314070">
        <w:rPr>
          <w:rFonts w:ascii="Arial Narrow" w:hAnsi="Arial Narrow"/>
          <w:color w:val="000000"/>
          <w:lang w:val="en-US"/>
        </w:rPr>
        <w:t>Samama</w:t>
      </w:r>
      <w:proofErr w:type="spellEnd"/>
      <w:r w:rsidRPr="00314070">
        <w:rPr>
          <w:rFonts w:ascii="Arial Narrow" w:hAnsi="Arial Narrow"/>
          <w:color w:val="000000"/>
          <w:lang w:val="en-US"/>
        </w:rPr>
        <w:t xml:space="preserve">, R. </w:t>
      </w:r>
      <w:proofErr w:type="spellStart"/>
      <w:r w:rsidRPr="00314070">
        <w:rPr>
          <w:rFonts w:ascii="Arial Narrow" w:hAnsi="Arial Narrow"/>
          <w:color w:val="000000"/>
          <w:lang w:val="en-US"/>
        </w:rPr>
        <w:t>Svartzman</w:t>
      </w:r>
      <w:proofErr w:type="spellEnd"/>
      <w:r w:rsidRPr="00314070">
        <w:rPr>
          <w:rFonts w:ascii="Arial Narrow" w:hAnsi="Arial Narrow"/>
          <w:color w:val="000000"/>
          <w:lang w:val="en-US"/>
        </w:rPr>
        <w:t>, “The green swan: Central banking and financial stability in the age of climate change”, January 2020; NGFS First Comprehensive Report. A Call for Action - Climate Change as a Source of Financial Risk”, April 2019.</w:t>
      </w:r>
    </w:p>
    <w:p w:rsidR="008E4DA2" w:rsidRPr="00314070" w:rsidRDefault="008E4DA2" w:rsidP="00722AE9">
      <w:pPr>
        <w:jc w:val="both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sectPr w:rsidR="008E4DA2" w:rsidRPr="00314070" w:rsidSect="004278AB">
      <w:headerReference w:type="default" r:id="rId13"/>
      <w:footerReference w:type="default" r:id="rId14"/>
      <w:headerReference w:type="first" r:id="rId15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E54" w:rsidRDefault="00DD2E54" w:rsidP="00CE5562">
      <w:pPr>
        <w:spacing w:after="0" w:line="240" w:lineRule="auto"/>
      </w:pPr>
      <w:r>
        <w:separator/>
      </w:r>
    </w:p>
  </w:endnote>
  <w:endnote w:type="continuationSeparator" w:id="0">
    <w:p w:rsidR="00DD2E54" w:rsidRDefault="00DD2E54" w:rsidP="00C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508" w:rsidRPr="004E4D2A" w:rsidRDefault="002B4508" w:rsidP="002B4508">
    <w:pPr>
      <w:pStyle w:val="Footer"/>
      <w:ind w:left="-142" w:right="-148"/>
      <w:rPr>
        <w:rFonts w:ascii="Arial" w:hAnsi="Arial"/>
        <w:color w:val="59B5F3"/>
        <w:sz w:val="16"/>
        <w:szCs w:val="16"/>
      </w:rPr>
    </w:pPr>
    <w:r w:rsidRPr="004E4D2A">
      <w:rPr>
        <w:rFonts w:ascii="Arial" w:hAnsi="Arial"/>
        <w:color w:val="59B5F3"/>
        <w:sz w:val="16"/>
        <w:szCs w:val="16"/>
      </w:rPr>
      <w:t xml:space="preserve">Finance Watch – </w:t>
    </w:r>
    <w:proofErr w:type="gramStart"/>
    <w:r w:rsidRPr="004E4D2A">
      <w:rPr>
        <w:rFonts w:ascii="Arial" w:hAnsi="Arial"/>
        <w:color w:val="59B5F3"/>
        <w:sz w:val="16"/>
        <w:szCs w:val="16"/>
      </w:rPr>
      <w:t xml:space="preserve">AISBL </w:t>
    </w:r>
    <w:r>
      <w:rPr>
        <w:rFonts w:ascii="Arial" w:hAnsi="Arial"/>
        <w:color w:val="59B5F3"/>
        <w:sz w:val="16"/>
        <w:szCs w:val="16"/>
      </w:rPr>
      <w:t xml:space="preserve"> </w:t>
    </w:r>
    <w:r w:rsidRPr="004E4D2A">
      <w:rPr>
        <w:rFonts w:ascii="Arial" w:hAnsi="Arial" w:cs="Arial"/>
        <w:color w:val="59B5F3"/>
        <w:sz w:val="16"/>
        <w:szCs w:val="16"/>
      </w:rPr>
      <w:t>|</w:t>
    </w:r>
    <w:proofErr w:type="gramEnd"/>
    <w:r w:rsidRPr="004E4D2A">
      <w:rPr>
        <w:rFonts w:ascii="Arial" w:hAnsi="Arial"/>
        <w:color w:val="59B5F3"/>
        <w:sz w:val="16"/>
        <w:szCs w:val="16"/>
      </w:rPr>
      <w:t xml:space="preserve"> </w:t>
    </w:r>
    <w:r>
      <w:rPr>
        <w:rFonts w:ascii="Arial" w:hAnsi="Arial"/>
        <w:color w:val="59B5F3"/>
        <w:sz w:val="16"/>
        <w:szCs w:val="16"/>
      </w:rPr>
      <w:t xml:space="preserve"> </w:t>
    </w:r>
    <w:r w:rsidRPr="004E4D2A">
      <w:rPr>
        <w:rFonts w:ascii="Arial" w:hAnsi="Arial"/>
        <w:color w:val="59B5F3"/>
        <w:sz w:val="16"/>
        <w:szCs w:val="16"/>
      </w:rPr>
      <w:t xml:space="preserve">Rue </w:t>
    </w:r>
    <w:proofErr w:type="spellStart"/>
    <w:r>
      <w:rPr>
        <w:rFonts w:ascii="Arial" w:hAnsi="Arial"/>
        <w:color w:val="59B5F3"/>
        <w:sz w:val="16"/>
        <w:szCs w:val="16"/>
      </w:rPr>
      <w:t>Ducale</w:t>
    </w:r>
    <w:proofErr w:type="spellEnd"/>
    <w:r w:rsidRPr="004E4D2A">
      <w:rPr>
        <w:rFonts w:ascii="Arial" w:hAnsi="Arial"/>
        <w:color w:val="59B5F3"/>
        <w:sz w:val="16"/>
        <w:szCs w:val="16"/>
      </w:rPr>
      <w:t xml:space="preserve"> </w:t>
    </w:r>
    <w:r>
      <w:rPr>
        <w:rFonts w:ascii="Arial" w:hAnsi="Arial"/>
        <w:color w:val="59B5F3"/>
        <w:sz w:val="16"/>
        <w:szCs w:val="16"/>
      </w:rPr>
      <w:t>67 b3</w:t>
    </w:r>
    <w:r w:rsidRPr="004E4D2A">
      <w:rPr>
        <w:rFonts w:ascii="Arial" w:hAnsi="Arial"/>
        <w:color w:val="59B5F3"/>
        <w:sz w:val="16"/>
        <w:szCs w:val="16"/>
      </w:rPr>
      <w:t>, B-10</w:t>
    </w:r>
    <w:r>
      <w:rPr>
        <w:rFonts w:ascii="Arial" w:hAnsi="Arial"/>
        <w:color w:val="59B5F3"/>
        <w:sz w:val="16"/>
        <w:szCs w:val="16"/>
      </w:rPr>
      <w:t>0</w:t>
    </w:r>
    <w:r w:rsidRPr="004E4D2A">
      <w:rPr>
        <w:rFonts w:ascii="Arial" w:hAnsi="Arial"/>
        <w:color w:val="59B5F3"/>
        <w:sz w:val="16"/>
        <w:szCs w:val="16"/>
      </w:rPr>
      <w:t>0 Brussels</w:t>
    </w:r>
    <w:r>
      <w:rPr>
        <w:rFonts w:ascii="Arial" w:hAnsi="Arial"/>
        <w:color w:val="59B5F3"/>
        <w:sz w:val="16"/>
        <w:szCs w:val="16"/>
      </w:rPr>
      <w:t xml:space="preserve"> </w:t>
    </w:r>
    <w:r w:rsidRPr="004E4D2A">
      <w:rPr>
        <w:rFonts w:ascii="Arial" w:hAnsi="Arial"/>
        <w:color w:val="59B5F3"/>
        <w:sz w:val="16"/>
        <w:szCs w:val="16"/>
      </w:rPr>
      <w:t xml:space="preserve"> </w:t>
    </w:r>
    <w:r w:rsidRPr="004E4D2A">
      <w:rPr>
        <w:rFonts w:ascii="Arial" w:hAnsi="Arial" w:cs="Arial"/>
        <w:color w:val="59B5F3"/>
        <w:sz w:val="16"/>
        <w:szCs w:val="16"/>
      </w:rPr>
      <w:t>|</w:t>
    </w:r>
    <w:r w:rsidRPr="004E4D2A">
      <w:rPr>
        <w:rFonts w:ascii="Arial" w:hAnsi="Arial"/>
        <w:color w:val="59B5F3"/>
        <w:sz w:val="16"/>
        <w:szCs w:val="16"/>
      </w:rPr>
      <w:t xml:space="preserve"> </w:t>
    </w:r>
    <w:r>
      <w:rPr>
        <w:rFonts w:ascii="Arial" w:hAnsi="Arial"/>
        <w:color w:val="59B5F3"/>
        <w:sz w:val="16"/>
        <w:szCs w:val="16"/>
      </w:rPr>
      <w:t xml:space="preserve"> </w:t>
    </w:r>
    <w:r w:rsidRPr="004E4D2A">
      <w:rPr>
        <w:rFonts w:ascii="Arial" w:hAnsi="Arial"/>
        <w:color w:val="59B5F3"/>
        <w:sz w:val="16"/>
        <w:szCs w:val="16"/>
      </w:rPr>
      <w:t>www.finance-watch.org</w:t>
    </w:r>
  </w:p>
  <w:p w:rsidR="002B4508" w:rsidRPr="002B4508" w:rsidRDefault="002B4508" w:rsidP="002B4508">
    <w:pPr>
      <w:pStyle w:val="Footer"/>
      <w:ind w:left="-142" w:right="-148"/>
      <w:rPr>
        <w:rFonts w:ascii="Arial" w:hAnsi="Arial"/>
        <w:color w:val="59B5F3"/>
        <w:sz w:val="16"/>
        <w:szCs w:val="16"/>
        <w:lang w:val="en-US"/>
      </w:rPr>
    </w:pPr>
    <w:r w:rsidRPr="002B4508">
      <w:rPr>
        <w:rFonts w:ascii="Arial" w:hAnsi="Arial"/>
        <w:color w:val="59B5F3"/>
        <w:sz w:val="16"/>
        <w:szCs w:val="16"/>
        <w:lang w:val="en-US"/>
      </w:rPr>
      <w:t xml:space="preserve">Tel: +32 (0)2 880 04 </w:t>
    </w:r>
    <w:proofErr w:type="gramStart"/>
    <w:r w:rsidRPr="002B4508">
      <w:rPr>
        <w:rFonts w:ascii="Arial" w:hAnsi="Arial"/>
        <w:color w:val="59B5F3"/>
        <w:sz w:val="16"/>
        <w:szCs w:val="16"/>
        <w:lang w:val="en-US"/>
      </w:rPr>
      <w:t xml:space="preserve">30  </w:t>
    </w:r>
    <w:r w:rsidRPr="002B4508">
      <w:rPr>
        <w:rFonts w:ascii="Arial" w:hAnsi="Arial" w:cs="Arial"/>
        <w:color w:val="59B5F3"/>
        <w:sz w:val="16"/>
        <w:szCs w:val="16"/>
        <w:lang w:val="en-US"/>
      </w:rPr>
      <w:t>|</w:t>
    </w:r>
    <w:proofErr w:type="gramEnd"/>
    <w:r w:rsidRPr="002B4508">
      <w:rPr>
        <w:rFonts w:ascii="Arial" w:hAnsi="Arial"/>
        <w:color w:val="59B5F3"/>
        <w:sz w:val="16"/>
        <w:szCs w:val="16"/>
        <w:lang w:val="en-US"/>
      </w:rPr>
      <w:t xml:space="preserve">  </w:t>
    </w:r>
    <w:proofErr w:type="spellStart"/>
    <w:r>
      <w:rPr>
        <w:rFonts w:ascii="Arial" w:hAnsi="Arial"/>
        <w:color w:val="59B5F3"/>
        <w:sz w:val="16"/>
        <w:szCs w:val="16"/>
      </w:rPr>
      <w:t>Reg</w:t>
    </w:r>
    <w:proofErr w:type="spellEnd"/>
    <w:r>
      <w:rPr>
        <w:rFonts w:ascii="Arial" w:hAnsi="Arial"/>
        <w:color w:val="59B5F3"/>
        <w:sz w:val="16"/>
        <w:szCs w:val="16"/>
      </w:rPr>
      <w:t>: BE0836.636.381</w:t>
    </w:r>
    <w:r w:rsidRPr="002B4508">
      <w:rPr>
        <w:rFonts w:ascii="Arial" w:hAnsi="Arial"/>
        <w:color w:val="59B5F3"/>
        <w:sz w:val="16"/>
        <w:szCs w:val="16"/>
        <w:lang w:val="en-US"/>
      </w:rPr>
      <w:t xml:space="preserve">  </w:t>
    </w:r>
    <w:r w:rsidRPr="002B4508">
      <w:rPr>
        <w:rFonts w:ascii="Arial" w:hAnsi="Arial" w:cs="Arial"/>
        <w:color w:val="59B5F3"/>
        <w:sz w:val="16"/>
        <w:szCs w:val="16"/>
        <w:lang w:val="en-US"/>
      </w:rPr>
      <w:t>|</w:t>
    </w:r>
    <w:r w:rsidRPr="004E4D2A">
      <w:rPr>
        <w:rFonts w:ascii="Arial" w:hAnsi="Arial"/>
        <w:color w:val="59B5F3"/>
        <w:sz w:val="16"/>
        <w:szCs w:val="16"/>
      </w:rPr>
      <w:t xml:space="preserve"> </w:t>
    </w:r>
    <w:r>
      <w:rPr>
        <w:rFonts w:ascii="Arial" w:hAnsi="Arial"/>
        <w:color w:val="59B5F3"/>
        <w:sz w:val="16"/>
        <w:szCs w:val="16"/>
      </w:rPr>
      <w:t xml:space="preserve"> </w:t>
    </w:r>
    <w:r w:rsidRPr="002B4508">
      <w:rPr>
        <w:rFonts w:ascii="Arial" w:hAnsi="Arial"/>
        <w:color w:val="59B5F3"/>
        <w:sz w:val="16"/>
        <w:szCs w:val="16"/>
        <w:lang w:val="en-US"/>
      </w:rPr>
      <w:t xml:space="preserve">secretariat@finance-watch.org </w:t>
    </w:r>
  </w:p>
  <w:p w:rsidR="00941BE7" w:rsidRPr="002B4508" w:rsidRDefault="00941BE7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E54" w:rsidRDefault="00DD2E54" w:rsidP="00CE5562">
      <w:pPr>
        <w:spacing w:after="0" w:line="240" w:lineRule="auto"/>
      </w:pPr>
      <w:r>
        <w:separator/>
      </w:r>
    </w:p>
  </w:footnote>
  <w:footnote w:type="continuationSeparator" w:id="0">
    <w:p w:rsidR="00DD2E54" w:rsidRDefault="00DD2E54" w:rsidP="00C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E7" w:rsidRDefault="00941BE7" w:rsidP="00CE5562">
    <w:pPr>
      <w:pStyle w:val="Header"/>
      <w:jc w:val="right"/>
    </w:pPr>
    <w:r>
      <w:rPr>
        <w:noProof/>
        <w:lang w:val="de-DE" w:eastAsia="de-DE"/>
      </w:rPr>
      <w:drawing>
        <wp:inline distT="0" distB="0" distL="0" distR="0">
          <wp:extent cx="1000125" cy="100012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nanceWatch-GB_logo-Pant299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1000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41BE7" w:rsidRDefault="00941B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BE7" w:rsidRDefault="00941BE7" w:rsidP="004278AB">
    <w:pPr>
      <w:pStyle w:val="Header"/>
      <w:jc w:val="right"/>
    </w:pPr>
    <w:r>
      <w:rPr>
        <w:noProof/>
        <w:lang w:val="de-DE" w:eastAsia="de-DE"/>
      </w:rPr>
      <w:drawing>
        <wp:inline distT="0" distB="0" distL="0" distR="0">
          <wp:extent cx="1000125" cy="1000125"/>
          <wp:effectExtent l="0" t="0" r="0" b="0"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nanceWatch-GB_logo-Pant299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1000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03D6"/>
    <w:multiLevelType w:val="multilevel"/>
    <w:tmpl w:val="B1F21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EA3AB1"/>
    <w:multiLevelType w:val="hybridMultilevel"/>
    <w:tmpl w:val="95324E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DD2240"/>
    <w:multiLevelType w:val="hybridMultilevel"/>
    <w:tmpl w:val="4F388A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26800"/>
    <w:multiLevelType w:val="hybridMultilevel"/>
    <w:tmpl w:val="3E0A506A"/>
    <w:lvl w:ilvl="0" w:tplc="0C4E46FA">
      <w:start w:val="1"/>
      <w:numFmt w:val="decimal"/>
      <w:lvlText w:val="%1)"/>
      <w:lvlJc w:val="left"/>
      <w:pPr>
        <w:ind w:left="724" w:hanging="384"/>
      </w:pPr>
      <w:rPr>
        <w:rFonts w:cs="Arial" w:hint="default"/>
        <w:b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20" w:hanging="360"/>
      </w:pPr>
    </w:lvl>
    <w:lvl w:ilvl="2" w:tplc="0407001B" w:tentative="1">
      <w:start w:val="1"/>
      <w:numFmt w:val="lowerRoman"/>
      <w:lvlText w:val="%3."/>
      <w:lvlJc w:val="right"/>
      <w:pPr>
        <w:ind w:left="2140" w:hanging="180"/>
      </w:pPr>
    </w:lvl>
    <w:lvl w:ilvl="3" w:tplc="0407000F" w:tentative="1">
      <w:start w:val="1"/>
      <w:numFmt w:val="decimal"/>
      <w:lvlText w:val="%4."/>
      <w:lvlJc w:val="left"/>
      <w:pPr>
        <w:ind w:left="2860" w:hanging="360"/>
      </w:pPr>
    </w:lvl>
    <w:lvl w:ilvl="4" w:tplc="04070019" w:tentative="1">
      <w:start w:val="1"/>
      <w:numFmt w:val="lowerLetter"/>
      <w:lvlText w:val="%5."/>
      <w:lvlJc w:val="left"/>
      <w:pPr>
        <w:ind w:left="3580" w:hanging="360"/>
      </w:pPr>
    </w:lvl>
    <w:lvl w:ilvl="5" w:tplc="0407001B" w:tentative="1">
      <w:start w:val="1"/>
      <w:numFmt w:val="lowerRoman"/>
      <w:lvlText w:val="%6."/>
      <w:lvlJc w:val="right"/>
      <w:pPr>
        <w:ind w:left="4300" w:hanging="180"/>
      </w:pPr>
    </w:lvl>
    <w:lvl w:ilvl="6" w:tplc="0407000F" w:tentative="1">
      <w:start w:val="1"/>
      <w:numFmt w:val="decimal"/>
      <w:lvlText w:val="%7."/>
      <w:lvlJc w:val="left"/>
      <w:pPr>
        <w:ind w:left="5020" w:hanging="360"/>
      </w:pPr>
    </w:lvl>
    <w:lvl w:ilvl="7" w:tplc="04070019" w:tentative="1">
      <w:start w:val="1"/>
      <w:numFmt w:val="lowerLetter"/>
      <w:lvlText w:val="%8."/>
      <w:lvlJc w:val="left"/>
      <w:pPr>
        <w:ind w:left="5740" w:hanging="360"/>
      </w:pPr>
    </w:lvl>
    <w:lvl w:ilvl="8" w:tplc="0407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ED9"/>
    <w:rsid w:val="00001FB3"/>
    <w:rsid w:val="000077B6"/>
    <w:rsid w:val="00010CBC"/>
    <w:rsid w:val="00024B07"/>
    <w:rsid w:val="00037867"/>
    <w:rsid w:val="00037D4E"/>
    <w:rsid w:val="000421EE"/>
    <w:rsid w:val="00052B84"/>
    <w:rsid w:val="00076711"/>
    <w:rsid w:val="00091847"/>
    <w:rsid w:val="000B47B4"/>
    <w:rsid w:val="000E3AF6"/>
    <w:rsid w:val="000F1D2C"/>
    <w:rsid w:val="000F689B"/>
    <w:rsid w:val="000F7AD9"/>
    <w:rsid w:val="00146D25"/>
    <w:rsid w:val="00147A2C"/>
    <w:rsid w:val="001679AF"/>
    <w:rsid w:val="0018287C"/>
    <w:rsid w:val="0018447F"/>
    <w:rsid w:val="00186245"/>
    <w:rsid w:val="00192F2D"/>
    <w:rsid w:val="00193457"/>
    <w:rsid w:val="001945A8"/>
    <w:rsid w:val="001B1395"/>
    <w:rsid w:val="001B391C"/>
    <w:rsid w:val="001B3EA2"/>
    <w:rsid w:val="001F1960"/>
    <w:rsid w:val="00227ED9"/>
    <w:rsid w:val="00271579"/>
    <w:rsid w:val="002818EA"/>
    <w:rsid w:val="002839CE"/>
    <w:rsid w:val="002B1F13"/>
    <w:rsid w:val="002B4508"/>
    <w:rsid w:val="002D2187"/>
    <w:rsid w:val="002E401A"/>
    <w:rsid w:val="00313005"/>
    <w:rsid w:val="00314070"/>
    <w:rsid w:val="0032038D"/>
    <w:rsid w:val="00324CED"/>
    <w:rsid w:val="00347273"/>
    <w:rsid w:val="0036124D"/>
    <w:rsid w:val="0037090F"/>
    <w:rsid w:val="003A474A"/>
    <w:rsid w:val="003A7226"/>
    <w:rsid w:val="00425F0B"/>
    <w:rsid w:val="0042636B"/>
    <w:rsid w:val="00426471"/>
    <w:rsid w:val="004278AB"/>
    <w:rsid w:val="0043645E"/>
    <w:rsid w:val="00444CA4"/>
    <w:rsid w:val="004616D2"/>
    <w:rsid w:val="0046510A"/>
    <w:rsid w:val="00466D32"/>
    <w:rsid w:val="00473540"/>
    <w:rsid w:val="00482AAB"/>
    <w:rsid w:val="004A7235"/>
    <w:rsid w:val="004C2168"/>
    <w:rsid w:val="004F175E"/>
    <w:rsid w:val="00514BFD"/>
    <w:rsid w:val="00517ED5"/>
    <w:rsid w:val="005263CA"/>
    <w:rsid w:val="005307C6"/>
    <w:rsid w:val="00532C08"/>
    <w:rsid w:val="005332BC"/>
    <w:rsid w:val="00547690"/>
    <w:rsid w:val="0056072C"/>
    <w:rsid w:val="00570D3A"/>
    <w:rsid w:val="00572AE1"/>
    <w:rsid w:val="005B08FD"/>
    <w:rsid w:val="005B62F0"/>
    <w:rsid w:val="005C20DF"/>
    <w:rsid w:val="005D3FD1"/>
    <w:rsid w:val="005D5E21"/>
    <w:rsid w:val="005E0599"/>
    <w:rsid w:val="005E2761"/>
    <w:rsid w:val="00612D52"/>
    <w:rsid w:val="00614339"/>
    <w:rsid w:val="006173B2"/>
    <w:rsid w:val="006206BE"/>
    <w:rsid w:val="0065042F"/>
    <w:rsid w:val="006573AA"/>
    <w:rsid w:val="006855F9"/>
    <w:rsid w:val="00687B6C"/>
    <w:rsid w:val="006E1CAE"/>
    <w:rsid w:val="006E49C3"/>
    <w:rsid w:val="006F357A"/>
    <w:rsid w:val="006F3AFB"/>
    <w:rsid w:val="00711ECF"/>
    <w:rsid w:val="00722AE9"/>
    <w:rsid w:val="00732E48"/>
    <w:rsid w:val="00760F94"/>
    <w:rsid w:val="0077462D"/>
    <w:rsid w:val="00776AF5"/>
    <w:rsid w:val="00777F99"/>
    <w:rsid w:val="00784C9B"/>
    <w:rsid w:val="00792DF8"/>
    <w:rsid w:val="007B1374"/>
    <w:rsid w:val="00801F45"/>
    <w:rsid w:val="00841A3B"/>
    <w:rsid w:val="0085435E"/>
    <w:rsid w:val="00854F61"/>
    <w:rsid w:val="00857D82"/>
    <w:rsid w:val="008650AA"/>
    <w:rsid w:val="00875D05"/>
    <w:rsid w:val="008A060C"/>
    <w:rsid w:val="008B1DD9"/>
    <w:rsid w:val="008B2905"/>
    <w:rsid w:val="008B39B4"/>
    <w:rsid w:val="008C3572"/>
    <w:rsid w:val="008D4E4C"/>
    <w:rsid w:val="008E4DA2"/>
    <w:rsid w:val="008F1661"/>
    <w:rsid w:val="008F18C4"/>
    <w:rsid w:val="00914648"/>
    <w:rsid w:val="00914DB2"/>
    <w:rsid w:val="009161F5"/>
    <w:rsid w:val="0092538E"/>
    <w:rsid w:val="00926D94"/>
    <w:rsid w:val="00941BE7"/>
    <w:rsid w:val="009573E5"/>
    <w:rsid w:val="0096721F"/>
    <w:rsid w:val="00977DDF"/>
    <w:rsid w:val="009B5574"/>
    <w:rsid w:val="009E4F5F"/>
    <w:rsid w:val="009E6057"/>
    <w:rsid w:val="00A16600"/>
    <w:rsid w:val="00A4372F"/>
    <w:rsid w:val="00A44B20"/>
    <w:rsid w:val="00AB2A03"/>
    <w:rsid w:val="00AC1065"/>
    <w:rsid w:val="00AC18BE"/>
    <w:rsid w:val="00AD32B9"/>
    <w:rsid w:val="00B03A2B"/>
    <w:rsid w:val="00B04146"/>
    <w:rsid w:val="00B34E5C"/>
    <w:rsid w:val="00B40A2B"/>
    <w:rsid w:val="00B43E9F"/>
    <w:rsid w:val="00B57046"/>
    <w:rsid w:val="00B714E0"/>
    <w:rsid w:val="00B7455A"/>
    <w:rsid w:val="00B756DB"/>
    <w:rsid w:val="00BA49E6"/>
    <w:rsid w:val="00BB7334"/>
    <w:rsid w:val="00BD2796"/>
    <w:rsid w:val="00BE267D"/>
    <w:rsid w:val="00BE37FB"/>
    <w:rsid w:val="00BF0F93"/>
    <w:rsid w:val="00BF12CA"/>
    <w:rsid w:val="00BF1762"/>
    <w:rsid w:val="00BF6503"/>
    <w:rsid w:val="00BF66DD"/>
    <w:rsid w:val="00C10D28"/>
    <w:rsid w:val="00C33D8D"/>
    <w:rsid w:val="00C40E6E"/>
    <w:rsid w:val="00C511FD"/>
    <w:rsid w:val="00C523F0"/>
    <w:rsid w:val="00C62C0F"/>
    <w:rsid w:val="00C83B9A"/>
    <w:rsid w:val="00C90CD5"/>
    <w:rsid w:val="00CA38BA"/>
    <w:rsid w:val="00CB32E3"/>
    <w:rsid w:val="00CB3885"/>
    <w:rsid w:val="00CC3928"/>
    <w:rsid w:val="00CD3DAF"/>
    <w:rsid w:val="00CE37EC"/>
    <w:rsid w:val="00CE5562"/>
    <w:rsid w:val="00D144B9"/>
    <w:rsid w:val="00D15CAB"/>
    <w:rsid w:val="00D23994"/>
    <w:rsid w:val="00D368FE"/>
    <w:rsid w:val="00D50F2B"/>
    <w:rsid w:val="00DB1850"/>
    <w:rsid w:val="00DB2B04"/>
    <w:rsid w:val="00DD2E54"/>
    <w:rsid w:val="00DD36A4"/>
    <w:rsid w:val="00DE406C"/>
    <w:rsid w:val="00DF0151"/>
    <w:rsid w:val="00E10A39"/>
    <w:rsid w:val="00E60C70"/>
    <w:rsid w:val="00E71DE6"/>
    <w:rsid w:val="00E850D6"/>
    <w:rsid w:val="00E87483"/>
    <w:rsid w:val="00E96A4E"/>
    <w:rsid w:val="00EB7749"/>
    <w:rsid w:val="00EC5306"/>
    <w:rsid w:val="00EE448D"/>
    <w:rsid w:val="00EF7917"/>
    <w:rsid w:val="00F056ED"/>
    <w:rsid w:val="00F12B2D"/>
    <w:rsid w:val="00F70712"/>
    <w:rsid w:val="00F8293D"/>
    <w:rsid w:val="00F97BDA"/>
    <w:rsid w:val="00FA4EFF"/>
    <w:rsid w:val="00FC07F0"/>
    <w:rsid w:val="00FD132C"/>
    <w:rsid w:val="00FD6A57"/>
    <w:rsid w:val="00FF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20D8F8"/>
  <w15:docId w15:val="{369116CD-3C4A-4A82-B36A-4FE286BFD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2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55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562"/>
  </w:style>
  <w:style w:type="paragraph" w:styleId="Footer">
    <w:name w:val="footer"/>
    <w:basedOn w:val="Normal"/>
    <w:link w:val="FooterChar"/>
    <w:uiPriority w:val="99"/>
    <w:unhideWhenUsed/>
    <w:rsid w:val="00CE55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562"/>
  </w:style>
  <w:style w:type="character" w:styleId="Hyperlink">
    <w:name w:val="Hyperlink"/>
    <w:basedOn w:val="DefaultParagraphFont"/>
    <w:uiPriority w:val="99"/>
    <w:unhideWhenUsed/>
    <w:rsid w:val="00CE556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E5562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447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8447F"/>
    <w:rPr>
      <w:rFonts w:eastAsiaTheme="minorEastAsia"/>
      <w:color w:val="5A5A5A" w:themeColor="text1" w:themeTint="A5"/>
      <w:spacing w:val="1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43E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E9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43E9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E9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43E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3E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3E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3E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3E9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3A474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14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apple-tab-span">
    <w:name w:val="apple-tab-span"/>
    <w:basedOn w:val="DefaultParagraphFont"/>
    <w:rsid w:val="00314070"/>
  </w:style>
  <w:style w:type="character" w:styleId="FollowedHyperlink">
    <w:name w:val="FollowedHyperlink"/>
    <w:basedOn w:val="DefaultParagraphFont"/>
    <w:uiPriority w:val="99"/>
    <w:semiHidden/>
    <w:unhideWhenUsed/>
    <w:rsid w:val="00941B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srb.europa.eu/pub/pdf/other/140303_flagship_report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cb.europa.eu/pub/pdf/scpops/ecb.op281~05a7735b1c.en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s.org/fsi/fsibriefs16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ecb.europa.eu/pub/financial-stability/macroprudential-bulletin/html/ecb.mpbu202110_1~5323a5baa8.e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se.ac.uk/granthaminstitute/wp-content/uploads/2022/03/Preventing-a-climate-Minsky-moment.pdf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45607-9011-4D01-96E4-75FF3D9E6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Julia.S</cp:lastModifiedBy>
  <cp:revision>2</cp:revision>
  <cp:lastPrinted>2022-03-13T07:25:00Z</cp:lastPrinted>
  <dcterms:created xsi:type="dcterms:W3CDTF">2022-03-18T16:51:00Z</dcterms:created>
  <dcterms:modified xsi:type="dcterms:W3CDTF">2022-03-18T16:51:00Z</dcterms:modified>
</cp:coreProperties>
</file>