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904" w14:textId="21CB4B5A" w:rsidR="00A35D8C" w:rsidRPr="00A35D8C" w:rsidRDefault="00A35D8C" w:rsidP="00A35D8C">
      <w:pPr>
        <w:jc w:val="center"/>
        <w:rPr>
          <w:rFonts w:ascii="Arial" w:hAnsi="Arial" w:cs="Arial"/>
          <w:b/>
          <w:bCs/>
          <w:sz w:val="36"/>
          <w:szCs w:val="36"/>
        </w:rPr>
      </w:pPr>
      <w:r w:rsidRPr="00A35D8C">
        <w:rPr>
          <w:rFonts w:ascii="Arial" w:hAnsi="Arial" w:cs="Arial"/>
          <w:b/>
          <w:bCs/>
          <w:sz w:val="36"/>
          <w:szCs w:val="36"/>
        </w:rPr>
        <w:t xml:space="preserve">IACPM Answers to question 6, 9, 12 </w:t>
      </w:r>
    </w:p>
    <w:p w14:paraId="6E651566" w14:textId="36F2E098" w:rsidR="00A35D8C" w:rsidRPr="00A35D8C" w:rsidRDefault="00A35D8C">
      <w:pPr>
        <w:rPr>
          <w:b/>
          <w:bCs/>
        </w:rPr>
      </w:pPr>
    </w:p>
    <w:p w14:paraId="1E9EE87C" w14:textId="422BCD66" w:rsidR="00A35D8C" w:rsidRPr="00A35D8C" w:rsidRDefault="00A35D8C" w:rsidP="00A35D8C">
      <w:pPr>
        <w:jc w:val="center"/>
        <w:rPr>
          <w:rFonts w:ascii="Times New Roman" w:hAnsi="Times New Roman" w:cs="Times New Roman"/>
          <w:b/>
          <w:bCs/>
          <w:sz w:val="28"/>
          <w:szCs w:val="28"/>
        </w:rPr>
      </w:pPr>
      <w:r w:rsidRPr="00A35D8C">
        <w:rPr>
          <w:rFonts w:ascii="Times New Roman" w:hAnsi="Times New Roman" w:cs="Times New Roman"/>
          <w:b/>
          <w:bCs/>
          <w:sz w:val="28"/>
          <w:szCs w:val="28"/>
        </w:rPr>
        <w:t>QUESTION 6</w:t>
      </w:r>
    </w:p>
    <w:p w14:paraId="25739AD9" w14:textId="77777777" w:rsidR="00A35D8C" w:rsidRPr="00A35D8C" w:rsidRDefault="00A35D8C">
      <w:pPr>
        <w:rPr>
          <w:b/>
          <w:bCs/>
        </w:rPr>
      </w:pPr>
    </w:p>
    <w:p w14:paraId="01FD125B" w14:textId="77777777" w:rsidR="00A35D8C" w:rsidRPr="004611B2" w:rsidRDefault="00A35D8C" w:rsidP="00A35D8C">
      <w:pPr>
        <w:pStyle w:val="Heading1"/>
        <w:numPr>
          <w:ilvl w:val="0"/>
          <w:numId w:val="1"/>
        </w:numPr>
        <w:tabs>
          <w:tab w:val="left" w:pos="789"/>
          <w:tab w:val="left" w:pos="790"/>
        </w:tabs>
        <w:ind w:hanging="481"/>
      </w:pPr>
      <w:r w:rsidRPr="004611B2">
        <w:t>Sustainability</w:t>
      </w:r>
      <w:r w:rsidRPr="004611B2">
        <w:rPr>
          <w:spacing w:val="-7"/>
        </w:rPr>
        <w:t xml:space="preserve"> </w:t>
      </w:r>
      <w:r w:rsidRPr="004611B2">
        <w:t>disclosure</w:t>
      </w:r>
    </w:p>
    <w:p w14:paraId="64B5EF38" w14:textId="77777777" w:rsidR="00A35D8C" w:rsidRPr="004611B2" w:rsidRDefault="00A35D8C" w:rsidP="00A35D8C">
      <w:pPr>
        <w:pStyle w:val="BodyText"/>
        <w:spacing w:before="5"/>
        <w:rPr>
          <w:b/>
        </w:rPr>
      </w:pPr>
    </w:p>
    <w:p w14:paraId="32A72019" w14:textId="77777777" w:rsidR="00A35D8C" w:rsidRPr="004611B2" w:rsidRDefault="00A35D8C" w:rsidP="00A35D8C">
      <w:pPr>
        <w:pStyle w:val="BodyText"/>
        <w:ind w:left="309" w:right="323"/>
        <w:jc w:val="both"/>
        <w:rPr>
          <w:color w:val="0070C0"/>
          <w:u w:val="single"/>
        </w:rPr>
      </w:pPr>
      <w:r w:rsidRPr="004611B2">
        <w:rPr>
          <w:color w:val="0070C0"/>
          <w:u w:val="single"/>
        </w:rPr>
        <w:t>Introduction:</w:t>
      </w:r>
    </w:p>
    <w:p w14:paraId="50872703" w14:textId="77777777" w:rsidR="00A35D8C" w:rsidRPr="004611B2" w:rsidRDefault="00A35D8C" w:rsidP="00A35D8C">
      <w:pPr>
        <w:pStyle w:val="BodyText"/>
        <w:ind w:left="309" w:right="320"/>
        <w:jc w:val="both"/>
        <w:rPr>
          <w:color w:val="0070C0"/>
        </w:rPr>
      </w:pPr>
      <w:r w:rsidRPr="004611B2">
        <w:rPr>
          <w:color w:val="0070C0"/>
        </w:rPr>
        <w:t>In the synthetic securitisation market specifically, securitisations are very relevant to support SMEs/</w:t>
      </w:r>
      <w:proofErr w:type="gramStart"/>
      <w:r w:rsidRPr="004611B2">
        <w:rPr>
          <w:color w:val="0070C0"/>
        </w:rPr>
        <w:t>corporates</w:t>
      </w:r>
      <w:proofErr w:type="gramEnd"/>
      <w:r w:rsidRPr="004611B2">
        <w:rPr>
          <w:color w:val="0070C0"/>
        </w:rPr>
        <w:t xml:space="preserve"> transformation during the transition phase towards a more resilient economy, and to finance all sustainability-related investment initiatives.</w:t>
      </w:r>
    </w:p>
    <w:p w14:paraId="6BF08650" w14:textId="77777777" w:rsidR="00A35D8C" w:rsidRPr="004611B2" w:rsidRDefault="00A35D8C" w:rsidP="00A35D8C">
      <w:pPr>
        <w:pStyle w:val="BodyText"/>
        <w:ind w:left="309" w:right="320"/>
        <w:jc w:val="both"/>
        <w:rPr>
          <w:color w:val="0070C0"/>
        </w:rPr>
      </w:pPr>
      <w:r w:rsidRPr="004611B2">
        <w:rPr>
          <w:color w:val="0070C0"/>
        </w:rPr>
        <w:t xml:space="preserve">It is therefore important that the framework </w:t>
      </w:r>
    </w:p>
    <w:p w14:paraId="055D9E4E" w14:textId="77777777" w:rsidR="00A35D8C" w:rsidRPr="004611B2" w:rsidRDefault="00A35D8C" w:rsidP="00A35D8C">
      <w:pPr>
        <w:pStyle w:val="BodyText"/>
        <w:numPr>
          <w:ilvl w:val="0"/>
          <w:numId w:val="2"/>
        </w:numPr>
        <w:ind w:right="320"/>
        <w:jc w:val="both"/>
        <w:rPr>
          <w:color w:val="0070C0"/>
        </w:rPr>
      </w:pPr>
      <w:r w:rsidRPr="004611B2">
        <w:rPr>
          <w:color w:val="0070C0"/>
        </w:rPr>
        <w:t xml:space="preserve">does not only consider strictly "sustainable", "green" or “taxonomy-aligned” loans (like labelled green bonds or social bonds), but also </w:t>
      </w:r>
    </w:p>
    <w:p w14:paraId="738ED7E5" w14:textId="77777777" w:rsidR="00A35D8C" w:rsidRPr="004611B2" w:rsidRDefault="00A35D8C" w:rsidP="00A35D8C">
      <w:pPr>
        <w:pStyle w:val="BodyText"/>
        <w:numPr>
          <w:ilvl w:val="0"/>
          <w:numId w:val="2"/>
        </w:numPr>
        <w:ind w:right="320"/>
        <w:jc w:val="both"/>
        <w:rPr>
          <w:color w:val="0070C0"/>
        </w:rPr>
      </w:pPr>
      <w:r w:rsidRPr="004611B2">
        <w:rPr>
          <w:color w:val="0070C0"/>
        </w:rPr>
        <w:t xml:space="preserve">promote lending to companies which are in the transition phase either via the </w:t>
      </w:r>
      <w:r w:rsidRPr="004611B2">
        <w:rPr>
          <w:b/>
          <w:bCs/>
          <w:color w:val="0070C0"/>
        </w:rPr>
        <w:t>underlying assets</w:t>
      </w:r>
      <w:r w:rsidRPr="004611B2">
        <w:rPr>
          <w:color w:val="0070C0"/>
        </w:rPr>
        <w:t xml:space="preserve">, or via the </w:t>
      </w:r>
      <w:r w:rsidRPr="004611B2">
        <w:rPr>
          <w:b/>
          <w:bCs/>
          <w:color w:val="0070C0"/>
        </w:rPr>
        <w:t>use-of-proceeds</w:t>
      </w:r>
      <w:r w:rsidRPr="004611B2">
        <w:rPr>
          <w:color w:val="0070C0"/>
        </w:rPr>
        <w:t xml:space="preserve">, as well as by </w:t>
      </w:r>
      <w:r w:rsidRPr="004611B2">
        <w:rPr>
          <w:b/>
          <w:bCs/>
          <w:color w:val="0070C0"/>
        </w:rPr>
        <w:t>sustainability-linked lending</w:t>
      </w:r>
      <w:r w:rsidRPr="004611B2">
        <w:rPr>
          <w:color w:val="0070C0"/>
        </w:rPr>
        <w:t xml:space="preserve">, a significant part of the ESG synthetic securitisation market </w:t>
      </w:r>
      <w:proofErr w:type="gramStart"/>
      <w:r w:rsidRPr="004611B2">
        <w:rPr>
          <w:color w:val="0070C0"/>
        </w:rPr>
        <w:t>at the moment</w:t>
      </w:r>
      <w:proofErr w:type="gramEnd"/>
      <w:r w:rsidRPr="004611B2">
        <w:rPr>
          <w:color w:val="0070C0"/>
        </w:rPr>
        <w:t>.</w:t>
      </w:r>
    </w:p>
    <w:p w14:paraId="49FD69EC" w14:textId="77777777" w:rsidR="00A35D8C" w:rsidRPr="004611B2" w:rsidRDefault="00A35D8C" w:rsidP="00A35D8C">
      <w:pPr>
        <w:pStyle w:val="BodyText"/>
        <w:ind w:left="309" w:right="320"/>
        <w:jc w:val="both"/>
        <w:rPr>
          <w:color w:val="0070C0"/>
        </w:rPr>
      </w:pPr>
    </w:p>
    <w:p w14:paraId="19D554C9" w14:textId="77777777" w:rsidR="00A35D8C" w:rsidRPr="004611B2" w:rsidRDefault="00A35D8C" w:rsidP="00A35D8C">
      <w:pPr>
        <w:pStyle w:val="BodyText"/>
        <w:ind w:left="309" w:right="320"/>
        <w:jc w:val="both"/>
        <w:rPr>
          <w:color w:val="0070C0"/>
        </w:rPr>
      </w:pPr>
    </w:p>
    <w:p w14:paraId="28225287" w14:textId="77777777" w:rsidR="00A35D8C" w:rsidRPr="004611B2" w:rsidRDefault="00A35D8C" w:rsidP="00A35D8C">
      <w:pPr>
        <w:pStyle w:val="BodyText"/>
        <w:ind w:left="309" w:right="323"/>
        <w:jc w:val="both"/>
      </w:pPr>
      <w:r w:rsidRPr="004611B2">
        <w:rPr>
          <w:b/>
          <w:bCs/>
          <w:u w:val="single"/>
        </w:rPr>
        <w:t>Question 6.1.</w:t>
      </w:r>
      <w:r w:rsidRPr="004611B2">
        <w:rPr>
          <w:spacing w:val="1"/>
        </w:rPr>
        <w:t xml:space="preserve"> </w:t>
      </w:r>
      <w:r w:rsidRPr="004611B2">
        <w:t>Are</w:t>
      </w:r>
      <w:r w:rsidRPr="004611B2">
        <w:rPr>
          <w:spacing w:val="1"/>
        </w:rPr>
        <w:t xml:space="preserve"> </w:t>
      </w:r>
      <w:r w:rsidRPr="004611B2">
        <w:t>there</w:t>
      </w:r>
      <w:r w:rsidRPr="004611B2">
        <w:rPr>
          <w:spacing w:val="1"/>
        </w:rPr>
        <w:t xml:space="preserve"> </w:t>
      </w:r>
      <w:r w:rsidRPr="004611B2">
        <w:t>sufficiently</w:t>
      </w:r>
      <w:r w:rsidRPr="004611B2">
        <w:rPr>
          <w:spacing w:val="1"/>
        </w:rPr>
        <w:t xml:space="preserve"> </w:t>
      </w:r>
      <w:r w:rsidRPr="004611B2">
        <w:t>clear</w:t>
      </w:r>
      <w:r w:rsidRPr="004611B2">
        <w:rPr>
          <w:spacing w:val="1"/>
        </w:rPr>
        <w:t xml:space="preserve"> </w:t>
      </w:r>
      <w:r w:rsidRPr="004611B2">
        <w:t>parameters</w:t>
      </w:r>
      <w:r w:rsidRPr="004611B2">
        <w:rPr>
          <w:spacing w:val="1"/>
        </w:rPr>
        <w:t xml:space="preserve"> </w:t>
      </w:r>
      <w:r w:rsidRPr="004611B2">
        <w:t>to</w:t>
      </w:r>
      <w:r w:rsidRPr="004611B2">
        <w:rPr>
          <w:spacing w:val="1"/>
        </w:rPr>
        <w:t xml:space="preserve"> </w:t>
      </w:r>
      <w:r w:rsidRPr="004611B2">
        <w:t>assess</w:t>
      </w:r>
      <w:r w:rsidRPr="004611B2">
        <w:rPr>
          <w:spacing w:val="1"/>
        </w:rPr>
        <w:t xml:space="preserve"> </w:t>
      </w:r>
      <w:r w:rsidRPr="004611B2">
        <w:t>the</w:t>
      </w:r>
      <w:r w:rsidRPr="004611B2">
        <w:rPr>
          <w:spacing w:val="1"/>
        </w:rPr>
        <w:t xml:space="preserve"> </w:t>
      </w:r>
      <w:r w:rsidRPr="004611B2">
        <w:t>environmental</w:t>
      </w:r>
      <w:r w:rsidRPr="004611B2">
        <w:rPr>
          <w:spacing w:val="1"/>
        </w:rPr>
        <w:t xml:space="preserve"> </w:t>
      </w:r>
      <w:r w:rsidRPr="004611B2">
        <w:t>performance</w:t>
      </w:r>
      <w:r w:rsidRPr="004611B2">
        <w:rPr>
          <w:spacing w:val="-2"/>
        </w:rPr>
        <w:t xml:space="preserve"> </w:t>
      </w:r>
      <w:r w:rsidRPr="004611B2">
        <w:t>of assets</w:t>
      </w:r>
      <w:r w:rsidRPr="004611B2">
        <w:rPr>
          <w:spacing w:val="-1"/>
        </w:rPr>
        <w:t xml:space="preserve"> </w:t>
      </w:r>
      <w:r w:rsidRPr="004611B2">
        <w:t>other than</w:t>
      </w:r>
      <w:r w:rsidRPr="004611B2">
        <w:rPr>
          <w:spacing w:val="-1"/>
        </w:rPr>
        <w:t xml:space="preserve"> </w:t>
      </w:r>
      <w:r w:rsidRPr="004611B2">
        <w:t>auto loans or mortgages?</w:t>
      </w:r>
    </w:p>
    <w:p w14:paraId="47C4BEAA" w14:textId="77777777" w:rsidR="00A35D8C" w:rsidRPr="004611B2" w:rsidRDefault="00A35D8C" w:rsidP="00A35D8C">
      <w:pPr>
        <w:pStyle w:val="BodyText"/>
        <w:spacing w:before="10"/>
      </w:pPr>
    </w:p>
    <w:p w14:paraId="61D34D62" w14:textId="77777777" w:rsidR="00A35D8C" w:rsidRPr="004611B2" w:rsidRDefault="00A35D8C" w:rsidP="00A35D8C">
      <w:pPr>
        <w:pStyle w:val="BodyText"/>
        <w:ind w:left="592"/>
      </w:pPr>
      <w:r w:rsidRPr="004611B2">
        <w:t>Yes,</w:t>
      </w:r>
      <w:r w:rsidRPr="004611B2">
        <w:rPr>
          <w:spacing w:val="-4"/>
        </w:rPr>
        <w:t xml:space="preserve"> </w:t>
      </w:r>
      <w:r w:rsidRPr="004611B2">
        <w:t>for</w:t>
      </w:r>
      <w:r w:rsidRPr="004611B2">
        <w:rPr>
          <w:spacing w:val="-2"/>
        </w:rPr>
        <w:t xml:space="preserve"> </w:t>
      </w:r>
      <w:r w:rsidRPr="004611B2">
        <w:t>all</w:t>
      </w:r>
      <w:r w:rsidRPr="004611B2">
        <w:rPr>
          <w:spacing w:val="-2"/>
        </w:rPr>
        <w:t xml:space="preserve"> </w:t>
      </w:r>
      <w:r w:rsidRPr="004611B2">
        <w:t>asset</w:t>
      </w:r>
      <w:r w:rsidRPr="004611B2">
        <w:rPr>
          <w:spacing w:val="-3"/>
        </w:rPr>
        <w:t xml:space="preserve"> </w:t>
      </w:r>
      <w:r w:rsidRPr="004611B2">
        <w:t>classes</w:t>
      </w:r>
    </w:p>
    <w:p w14:paraId="024C8957" w14:textId="77777777" w:rsidR="00A35D8C" w:rsidRPr="004611B2" w:rsidRDefault="00A35D8C" w:rsidP="00A35D8C">
      <w:pPr>
        <w:pStyle w:val="BodyText"/>
        <w:ind w:left="592" w:right="3391"/>
      </w:pPr>
      <w:r w:rsidRPr="004611B2">
        <w:t>Yes,</w:t>
      </w:r>
      <w:r w:rsidRPr="004611B2">
        <w:rPr>
          <w:spacing w:val="-4"/>
        </w:rPr>
        <w:t xml:space="preserve"> </w:t>
      </w:r>
      <w:r w:rsidRPr="004611B2">
        <w:t>but</w:t>
      </w:r>
      <w:r w:rsidRPr="004611B2">
        <w:rPr>
          <w:spacing w:val="-2"/>
        </w:rPr>
        <w:t xml:space="preserve"> </w:t>
      </w:r>
      <w:r w:rsidRPr="004611B2">
        <w:t>only</w:t>
      </w:r>
      <w:r w:rsidRPr="004611B2">
        <w:rPr>
          <w:spacing w:val="-6"/>
        </w:rPr>
        <w:t xml:space="preserve"> </w:t>
      </w:r>
      <w:r w:rsidRPr="004611B2">
        <w:t>for</w:t>
      </w:r>
      <w:r w:rsidRPr="004611B2">
        <w:rPr>
          <w:spacing w:val="-2"/>
        </w:rPr>
        <w:t xml:space="preserve"> </w:t>
      </w:r>
      <w:r w:rsidRPr="004611B2">
        <w:t>some</w:t>
      </w:r>
      <w:r w:rsidRPr="004611B2">
        <w:rPr>
          <w:spacing w:val="-3"/>
        </w:rPr>
        <w:t xml:space="preserve"> </w:t>
      </w:r>
      <w:r w:rsidRPr="004611B2">
        <w:t>asset</w:t>
      </w:r>
      <w:r w:rsidRPr="004611B2">
        <w:rPr>
          <w:spacing w:val="-2"/>
        </w:rPr>
        <w:t xml:space="preserve"> </w:t>
      </w:r>
      <w:r w:rsidRPr="004611B2">
        <w:t>classes</w:t>
      </w:r>
      <w:r w:rsidRPr="004611B2">
        <w:rPr>
          <w:spacing w:val="-3"/>
        </w:rPr>
        <w:t xml:space="preserve"> </w:t>
      </w:r>
      <w:r w:rsidRPr="004611B2">
        <w:t>(please</w:t>
      </w:r>
      <w:r w:rsidRPr="004611B2">
        <w:rPr>
          <w:spacing w:val="-3"/>
        </w:rPr>
        <w:t xml:space="preserve"> </w:t>
      </w:r>
      <w:r w:rsidRPr="004611B2">
        <w:t>specify)</w:t>
      </w:r>
      <w:r w:rsidRPr="004611B2">
        <w:rPr>
          <w:spacing w:val="-57"/>
        </w:rPr>
        <w:t xml:space="preserve"> </w:t>
      </w:r>
      <w:r w:rsidRPr="004611B2">
        <w:rPr>
          <w:b/>
          <w:bCs/>
          <w:color w:val="0070C0"/>
        </w:rPr>
        <w:t>No</w:t>
      </w:r>
    </w:p>
    <w:p w14:paraId="4D3D6ED3" w14:textId="77777777" w:rsidR="00A35D8C" w:rsidRPr="004611B2" w:rsidRDefault="00A35D8C" w:rsidP="00A35D8C">
      <w:pPr>
        <w:pStyle w:val="BodyText"/>
        <w:ind w:left="592"/>
      </w:pPr>
      <w:r w:rsidRPr="004611B2">
        <w:t>No</w:t>
      </w:r>
      <w:r w:rsidRPr="004611B2">
        <w:rPr>
          <w:spacing w:val="-2"/>
        </w:rPr>
        <w:t xml:space="preserve"> </w:t>
      </w:r>
      <w:r w:rsidRPr="004611B2">
        <w:t>opinion</w:t>
      </w:r>
    </w:p>
    <w:p w14:paraId="48D1728A" w14:textId="77777777" w:rsidR="00A35D8C" w:rsidRPr="004611B2" w:rsidRDefault="00A35D8C" w:rsidP="00A35D8C">
      <w:pPr>
        <w:pStyle w:val="BodyText"/>
      </w:pPr>
    </w:p>
    <w:p w14:paraId="2623F977" w14:textId="77777777" w:rsidR="00A35D8C" w:rsidRPr="004611B2" w:rsidRDefault="00A35D8C" w:rsidP="00A35D8C">
      <w:pPr>
        <w:pStyle w:val="BodyText"/>
        <w:ind w:left="309" w:right="320"/>
        <w:jc w:val="both"/>
        <w:rPr>
          <w:b/>
          <w:bCs/>
          <w:u w:val="single"/>
        </w:rPr>
      </w:pPr>
    </w:p>
    <w:p w14:paraId="4D262232" w14:textId="77777777" w:rsidR="00A35D8C" w:rsidRPr="004611B2" w:rsidRDefault="00A35D8C" w:rsidP="00A35D8C">
      <w:pPr>
        <w:pStyle w:val="BodyText"/>
        <w:ind w:left="309" w:right="320"/>
        <w:jc w:val="both"/>
      </w:pPr>
      <w:r w:rsidRPr="004611B2">
        <w:rPr>
          <w:b/>
          <w:bCs/>
          <w:u w:val="single"/>
        </w:rPr>
        <w:t>Question 6.2.</w:t>
      </w:r>
      <w:r w:rsidRPr="004611B2">
        <w:rPr>
          <w:spacing w:val="1"/>
        </w:rPr>
        <w:t xml:space="preserve"> </w:t>
      </w:r>
      <w:r w:rsidRPr="004611B2">
        <w:t>Should publishing information on the environmental performance of the</w:t>
      </w:r>
      <w:r w:rsidRPr="004611B2">
        <w:rPr>
          <w:spacing w:val="1"/>
        </w:rPr>
        <w:t xml:space="preserve"> </w:t>
      </w:r>
      <w:r w:rsidRPr="004611B2">
        <w:t>assets</w:t>
      </w:r>
      <w:r w:rsidRPr="004611B2">
        <w:rPr>
          <w:spacing w:val="-2"/>
        </w:rPr>
        <w:t xml:space="preserve"> </w:t>
      </w:r>
      <w:r w:rsidRPr="004611B2">
        <w:t>financed by</w:t>
      </w:r>
      <w:r w:rsidRPr="004611B2">
        <w:rPr>
          <w:spacing w:val="-6"/>
        </w:rPr>
        <w:t xml:space="preserve"> </w:t>
      </w:r>
      <w:r w:rsidRPr="004611B2">
        <w:t>residential loans</w:t>
      </w:r>
      <w:r w:rsidRPr="004611B2">
        <w:rPr>
          <w:spacing w:val="-1"/>
        </w:rPr>
        <w:t xml:space="preserve"> </w:t>
      </w:r>
      <w:r w:rsidRPr="004611B2">
        <w:t>and auto</w:t>
      </w:r>
      <w:r w:rsidRPr="004611B2">
        <w:rPr>
          <w:spacing w:val="-1"/>
        </w:rPr>
        <w:t xml:space="preserve"> </w:t>
      </w:r>
      <w:r w:rsidRPr="004611B2">
        <w:t>loans</w:t>
      </w:r>
      <w:r w:rsidRPr="004611B2">
        <w:rPr>
          <w:spacing w:val="2"/>
        </w:rPr>
        <w:t xml:space="preserve"> </w:t>
      </w:r>
      <w:r w:rsidRPr="004611B2">
        <w:t>and</w:t>
      </w:r>
      <w:r w:rsidRPr="004611B2">
        <w:rPr>
          <w:spacing w:val="-1"/>
        </w:rPr>
        <w:t xml:space="preserve"> </w:t>
      </w:r>
      <w:r w:rsidRPr="004611B2">
        <w:t>leases</w:t>
      </w:r>
      <w:r w:rsidRPr="004611B2">
        <w:rPr>
          <w:spacing w:val="-1"/>
        </w:rPr>
        <w:t xml:space="preserve"> </w:t>
      </w:r>
      <w:r w:rsidRPr="004611B2">
        <w:t>be</w:t>
      </w:r>
      <w:r w:rsidRPr="004611B2">
        <w:rPr>
          <w:spacing w:val="-1"/>
        </w:rPr>
        <w:t xml:space="preserve"> </w:t>
      </w:r>
      <w:r w:rsidRPr="004611B2">
        <w:t>mandatory?</w:t>
      </w:r>
    </w:p>
    <w:p w14:paraId="4AFABB72" w14:textId="77777777" w:rsidR="00A35D8C" w:rsidRPr="004611B2" w:rsidRDefault="00A35D8C" w:rsidP="00A35D8C">
      <w:pPr>
        <w:pStyle w:val="BodyText"/>
        <w:spacing w:before="11"/>
      </w:pPr>
    </w:p>
    <w:p w14:paraId="0FF5D1BE" w14:textId="77777777" w:rsidR="00A35D8C" w:rsidRPr="00191208" w:rsidRDefault="00A35D8C" w:rsidP="00A35D8C">
      <w:pPr>
        <w:pStyle w:val="BodyText"/>
        <w:ind w:left="592"/>
      </w:pPr>
      <w:r w:rsidRPr="00191208">
        <w:t>Yes,</w:t>
      </w:r>
      <w:r w:rsidRPr="00191208">
        <w:rPr>
          <w:spacing w:val="-2"/>
        </w:rPr>
        <w:t xml:space="preserve"> </w:t>
      </w:r>
      <w:r w:rsidRPr="00191208">
        <w:t>the</w:t>
      </w:r>
      <w:r w:rsidRPr="00191208">
        <w:rPr>
          <w:spacing w:val="-1"/>
        </w:rPr>
        <w:t xml:space="preserve"> </w:t>
      </w:r>
      <w:r w:rsidRPr="00191208">
        <w:t>information</w:t>
      </w:r>
      <w:r w:rsidRPr="00191208">
        <w:rPr>
          <w:spacing w:val="-1"/>
        </w:rPr>
        <w:t xml:space="preserve"> </w:t>
      </w:r>
      <w:r w:rsidRPr="00191208">
        <w:t>is</w:t>
      </w:r>
      <w:r w:rsidRPr="00191208">
        <w:rPr>
          <w:spacing w:val="-2"/>
        </w:rPr>
        <w:t xml:space="preserve"> </w:t>
      </w:r>
      <w:r w:rsidRPr="00191208">
        <w:t>currently</w:t>
      </w:r>
      <w:r w:rsidRPr="00191208">
        <w:rPr>
          <w:spacing w:val="-6"/>
        </w:rPr>
        <w:t xml:space="preserve"> </w:t>
      </w:r>
      <w:r w:rsidRPr="00191208">
        <w:t>available</w:t>
      </w:r>
    </w:p>
    <w:p w14:paraId="647C2AE1" w14:textId="77777777" w:rsidR="00A35D8C" w:rsidRPr="00191208" w:rsidRDefault="00A35D8C" w:rsidP="00A35D8C">
      <w:pPr>
        <w:pStyle w:val="BodyText"/>
        <w:ind w:left="592"/>
        <w:rPr>
          <w:color w:val="0070C0"/>
        </w:rPr>
      </w:pPr>
      <w:r w:rsidRPr="00191208">
        <w:rPr>
          <w:b/>
          <w:bCs/>
          <w:color w:val="0070C0"/>
        </w:rPr>
        <w:t>No</w:t>
      </w:r>
    </w:p>
    <w:p w14:paraId="0A85F72C" w14:textId="77777777" w:rsidR="00A35D8C" w:rsidRPr="00191208" w:rsidRDefault="00A35D8C" w:rsidP="00A35D8C">
      <w:pPr>
        <w:pStyle w:val="BodyText"/>
        <w:ind w:left="592"/>
      </w:pPr>
      <w:r w:rsidRPr="00191208">
        <w:t>No</w:t>
      </w:r>
      <w:r w:rsidRPr="00191208">
        <w:rPr>
          <w:spacing w:val="-2"/>
        </w:rPr>
        <w:t xml:space="preserve"> </w:t>
      </w:r>
      <w:r w:rsidRPr="00191208">
        <w:t>opinion</w:t>
      </w:r>
    </w:p>
    <w:p w14:paraId="50680902" w14:textId="77777777" w:rsidR="00A35D8C" w:rsidRPr="00191208" w:rsidRDefault="00A35D8C" w:rsidP="00A35D8C">
      <w:pPr>
        <w:pStyle w:val="BodyText"/>
        <w:spacing w:before="9"/>
        <w:ind w:left="309"/>
      </w:pPr>
    </w:p>
    <w:p w14:paraId="422E6A24" w14:textId="77777777" w:rsidR="00A35D8C" w:rsidRPr="00191208" w:rsidRDefault="00A35D8C" w:rsidP="00A35D8C">
      <w:pPr>
        <w:pStyle w:val="BodyText"/>
        <w:ind w:left="309" w:right="320"/>
        <w:rPr>
          <w:color w:val="0070C0"/>
        </w:rPr>
      </w:pPr>
      <w:r w:rsidRPr="00191208">
        <w:rPr>
          <w:i/>
          <w:iCs/>
          <w:color w:val="0070C0"/>
          <w:u w:val="single"/>
        </w:rPr>
        <w:t>For synthetic on balance-sheet securitisations:</w:t>
      </w:r>
      <w:r w:rsidRPr="00191208">
        <w:rPr>
          <w:i/>
          <w:iCs/>
          <w:color w:val="0070C0"/>
          <w:u w:val="single"/>
        </w:rPr>
        <w:br/>
      </w:r>
      <w:r w:rsidRPr="00191208">
        <w:rPr>
          <w:color w:val="0070C0"/>
        </w:rPr>
        <w:t>The responses “yes” would only apply to synthetic securitisations intended to be marketed as sustainable/ESG securitisation, with a transitional period to ensure the availability of information, and with a grandfathering arrangement for existing deals. Otherwise, for non-STS / non-ESG synthetic securitisations, mandatory requirement to publish the environmental performance information should not apply.</w:t>
      </w:r>
    </w:p>
    <w:p w14:paraId="09AACDCF" w14:textId="77777777" w:rsidR="00A35D8C" w:rsidRPr="00191208" w:rsidRDefault="00A35D8C" w:rsidP="00A35D8C">
      <w:pPr>
        <w:pStyle w:val="BodyText"/>
        <w:ind w:left="309" w:right="320"/>
        <w:jc w:val="both"/>
        <w:rPr>
          <w:color w:val="0070C0"/>
        </w:rPr>
      </w:pPr>
    </w:p>
    <w:p w14:paraId="78A632CC" w14:textId="77777777" w:rsidR="00A35D8C" w:rsidRPr="00191208" w:rsidRDefault="00A35D8C" w:rsidP="00A35D8C">
      <w:pPr>
        <w:pStyle w:val="BodyText"/>
        <w:ind w:left="309" w:right="320"/>
        <w:jc w:val="both"/>
        <w:rPr>
          <w:color w:val="0070C0"/>
        </w:rPr>
      </w:pPr>
      <w:r w:rsidRPr="00191208">
        <w:rPr>
          <w:color w:val="0070C0"/>
        </w:rPr>
        <w:t xml:space="preserve">We would also note in this regard that on-balance sheet (synthetic) securitisations designated as STS and involving residential loans or auto loans or leases would in any case be subject to additional transparency requirements under Article 26d of SECR relating to environmental performance, including the new technical standards prescribing the content, </w:t>
      </w:r>
      <w:proofErr w:type="gramStart"/>
      <w:r w:rsidRPr="00191208">
        <w:rPr>
          <w:color w:val="0070C0"/>
        </w:rPr>
        <w:t>methodologies</w:t>
      </w:r>
      <w:proofErr w:type="gramEnd"/>
      <w:r w:rsidRPr="00191208">
        <w:rPr>
          <w:color w:val="0070C0"/>
        </w:rPr>
        <w:t xml:space="preserve"> and presentation of such disclosure which ESAs are required to develop.  </w:t>
      </w:r>
    </w:p>
    <w:p w14:paraId="1AF7A995" w14:textId="77777777" w:rsidR="00A35D8C" w:rsidRPr="00191208" w:rsidRDefault="00A35D8C" w:rsidP="00A35D8C">
      <w:pPr>
        <w:pStyle w:val="BodyText"/>
        <w:ind w:right="320"/>
        <w:jc w:val="both"/>
        <w:rPr>
          <w:color w:val="0070C0"/>
        </w:rPr>
      </w:pPr>
    </w:p>
    <w:p w14:paraId="2A317B24" w14:textId="77777777" w:rsidR="00A35D8C" w:rsidRPr="004611B2" w:rsidRDefault="00A35D8C" w:rsidP="00A35D8C">
      <w:pPr>
        <w:pStyle w:val="BodyText"/>
        <w:ind w:left="309" w:right="320"/>
        <w:jc w:val="both"/>
        <w:rPr>
          <w:color w:val="0070C0"/>
        </w:rPr>
      </w:pPr>
      <w:r w:rsidRPr="00191208">
        <w:rPr>
          <w:color w:val="0070C0"/>
        </w:rPr>
        <w:lastRenderedPageBreak/>
        <w:t>Therefore, we would also recommend caution in this area for the time being – not because we would not support the introduction of environmental performance disclosure requirements, but because there are so many overlapping developments in this area that it would be premature to do so specifically in the securitisation market now. In this regard (and apart from STS considerations noted here above), we</w:t>
      </w:r>
      <w:r w:rsidRPr="004611B2">
        <w:rPr>
          <w:color w:val="0070C0"/>
        </w:rPr>
        <w:t xml:space="preserve"> would note that synthetic securitisations, like securitisation market more generally, can involve different asset types and different institutions acting as counterparties or investors, with a range of sustainability-related regulatory requirements, standards, taxonomies, industry-led initiatives etc. applied to them. </w:t>
      </w:r>
    </w:p>
    <w:p w14:paraId="474DEEE4" w14:textId="77777777" w:rsidR="00A35D8C" w:rsidRPr="001D681C" w:rsidRDefault="00A35D8C" w:rsidP="00A35D8C">
      <w:pPr>
        <w:pStyle w:val="BodyText"/>
        <w:ind w:left="309" w:right="320"/>
        <w:jc w:val="both"/>
        <w:rPr>
          <w:color w:val="0070C0"/>
        </w:rPr>
      </w:pPr>
      <w:r w:rsidRPr="004611B2">
        <w:rPr>
          <w:color w:val="0070C0"/>
        </w:rPr>
        <w:t xml:space="preserve">Therefore, any introduction of further securitisation-specific sustainability reporting may result in duplicative disclosures and reporting, extra </w:t>
      </w:r>
      <w:proofErr w:type="gramStart"/>
      <w:r w:rsidRPr="004611B2">
        <w:rPr>
          <w:color w:val="0070C0"/>
        </w:rPr>
        <w:t>costs</w:t>
      </w:r>
      <w:proofErr w:type="gramEnd"/>
      <w:r w:rsidRPr="004611B2">
        <w:rPr>
          <w:color w:val="0070C0"/>
        </w:rPr>
        <w:t xml:space="preserve"> and regulatory compliance challenges on both sell- and buy-side.</w:t>
      </w:r>
    </w:p>
    <w:p w14:paraId="13D2805D" w14:textId="77777777" w:rsidR="00A35D8C" w:rsidRDefault="00A35D8C" w:rsidP="00A35D8C">
      <w:pPr>
        <w:pStyle w:val="BodyText"/>
        <w:ind w:left="309" w:right="321"/>
        <w:jc w:val="both"/>
        <w:rPr>
          <w:b/>
          <w:bCs/>
          <w:u w:val="single"/>
        </w:rPr>
      </w:pPr>
      <w:r>
        <w:rPr>
          <w:b/>
          <w:bCs/>
          <w:u w:val="single"/>
        </w:rPr>
        <w:br/>
      </w:r>
    </w:p>
    <w:p w14:paraId="0D9339F8" w14:textId="77777777" w:rsidR="00A35D8C" w:rsidRPr="004611B2" w:rsidRDefault="00A35D8C" w:rsidP="00A35D8C">
      <w:pPr>
        <w:pStyle w:val="BodyText"/>
        <w:ind w:left="309" w:right="321"/>
        <w:jc w:val="both"/>
      </w:pPr>
      <w:r w:rsidRPr="004611B2">
        <w:rPr>
          <w:b/>
          <w:bCs/>
          <w:u w:val="single"/>
        </w:rPr>
        <w:t>Question 6.3.</w:t>
      </w:r>
      <w:r w:rsidRPr="004611B2">
        <w:rPr>
          <w:spacing w:val="1"/>
        </w:rPr>
        <w:t xml:space="preserve"> </w:t>
      </w:r>
      <w:r w:rsidRPr="004611B2">
        <w:t>As</w:t>
      </w:r>
      <w:r w:rsidRPr="004611B2">
        <w:rPr>
          <w:spacing w:val="1"/>
        </w:rPr>
        <w:t xml:space="preserve"> </w:t>
      </w:r>
      <w:r w:rsidRPr="004611B2">
        <w:t>an</w:t>
      </w:r>
      <w:r w:rsidRPr="004611B2">
        <w:rPr>
          <w:spacing w:val="1"/>
        </w:rPr>
        <w:t xml:space="preserve"> </w:t>
      </w:r>
      <w:r w:rsidRPr="004611B2">
        <w:t>investor,</w:t>
      </w:r>
      <w:r w:rsidRPr="004611B2">
        <w:rPr>
          <w:spacing w:val="1"/>
        </w:rPr>
        <w:t xml:space="preserve"> </w:t>
      </w:r>
      <w:r w:rsidRPr="004611B2">
        <w:t>do</w:t>
      </w:r>
      <w:r w:rsidRPr="004611B2">
        <w:rPr>
          <w:spacing w:val="1"/>
        </w:rPr>
        <w:t xml:space="preserve"> </w:t>
      </w:r>
      <w:r w:rsidRPr="004611B2">
        <w:t>you</w:t>
      </w:r>
      <w:r w:rsidRPr="004611B2">
        <w:rPr>
          <w:spacing w:val="1"/>
        </w:rPr>
        <w:t xml:space="preserve"> </w:t>
      </w:r>
      <w:r w:rsidRPr="004611B2">
        <w:t>find</w:t>
      </w:r>
      <w:r w:rsidRPr="004611B2">
        <w:rPr>
          <w:spacing w:val="1"/>
        </w:rPr>
        <w:t xml:space="preserve"> </w:t>
      </w:r>
      <w:r w:rsidRPr="004611B2">
        <w:t>the</w:t>
      </w:r>
      <w:r w:rsidRPr="004611B2">
        <w:rPr>
          <w:spacing w:val="61"/>
        </w:rPr>
        <w:t xml:space="preserve"> </w:t>
      </w:r>
      <w:r w:rsidRPr="004611B2">
        <w:t>information</w:t>
      </w:r>
      <w:r w:rsidRPr="004611B2">
        <w:rPr>
          <w:spacing w:val="61"/>
        </w:rPr>
        <w:t xml:space="preserve"> </w:t>
      </w:r>
      <w:r w:rsidRPr="004611B2">
        <w:t>on</w:t>
      </w:r>
      <w:r w:rsidRPr="004611B2">
        <w:rPr>
          <w:spacing w:val="61"/>
        </w:rPr>
        <w:t xml:space="preserve"> </w:t>
      </w:r>
      <w:r w:rsidRPr="004611B2">
        <w:t>environmental</w:t>
      </w:r>
      <w:r w:rsidRPr="004611B2">
        <w:rPr>
          <w:spacing w:val="1"/>
        </w:rPr>
        <w:t xml:space="preserve"> </w:t>
      </w:r>
      <w:r w:rsidRPr="004611B2">
        <w:t>performance</w:t>
      </w:r>
      <w:r w:rsidRPr="004611B2">
        <w:rPr>
          <w:spacing w:val="-2"/>
        </w:rPr>
        <w:t xml:space="preserve"> </w:t>
      </w:r>
      <w:r w:rsidRPr="004611B2">
        <w:t>of assets</w:t>
      </w:r>
      <w:r w:rsidRPr="004611B2">
        <w:rPr>
          <w:spacing w:val="-1"/>
        </w:rPr>
        <w:t xml:space="preserve"> </w:t>
      </w:r>
      <w:r w:rsidRPr="004611B2">
        <w:t>valuable?</w:t>
      </w:r>
    </w:p>
    <w:p w14:paraId="64238BD3" w14:textId="77777777" w:rsidR="00A35D8C" w:rsidRPr="004611B2" w:rsidRDefault="00A35D8C" w:rsidP="00A35D8C">
      <w:pPr>
        <w:pStyle w:val="BodyText"/>
        <w:spacing w:before="10"/>
      </w:pPr>
    </w:p>
    <w:p w14:paraId="42B8085A" w14:textId="77777777" w:rsidR="00A35D8C" w:rsidRPr="004611B2" w:rsidRDefault="00A35D8C" w:rsidP="00A35D8C">
      <w:pPr>
        <w:pStyle w:val="BodyText"/>
        <w:ind w:left="592" w:right="8264"/>
      </w:pPr>
      <w:r w:rsidRPr="004611B2">
        <w:rPr>
          <w:b/>
          <w:bCs/>
          <w:color w:val="0070C0"/>
        </w:rPr>
        <w:t>Yes</w:t>
      </w:r>
      <w:r w:rsidRPr="004611B2">
        <w:rPr>
          <w:b/>
          <w:bCs/>
          <w:color w:val="0070C0"/>
          <w:spacing w:val="-57"/>
        </w:rPr>
        <w:t xml:space="preserve"> </w:t>
      </w:r>
      <w:r w:rsidRPr="004611B2">
        <w:t>No</w:t>
      </w:r>
    </w:p>
    <w:p w14:paraId="29253159" w14:textId="77777777" w:rsidR="00A35D8C" w:rsidRPr="004611B2" w:rsidRDefault="00A35D8C" w:rsidP="00A35D8C">
      <w:pPr>
        <w:pStyle w:val="BodyText"/>
        <w:spacing w:before="1"/>
        <w:ind w:left="592"/>
      </w:pPr>
      <w:r w:rsidRPr="004611B2">
        <w:t>No</w:t>
      </w:r>
      <w:r w:rsidRPr="004611B2">
        <w:rPr>
          <w:spacing w:val="-2"/>
        </w:rPr>
        <w:t xml:space="preserve"> </w:t>
      </w:r>
      <w:r w:rsidRPr="004611B2">
        <w:t>opinion</w:t>
      </w:r>
    </w:p>
    <w:p w14:paraId="12E2F635" w14:textId="77777777" w:rsidR="00A35D8C" w:rsidRPr="004611B2" w:rsidRDefault="00A35D8C" w:rsidP="00A35D8C">
      <w:pPr>
        <w:pStyle w:val="BodyText"/>
        <w:spacing w:before="1"/>
        <w:ind w:left="592"/>
      </w:pPr>
    </w:p>
    <w:p w14:paraId="280BFEAF" w14:textId="77777777" w:rsidR="00A35D8C" w:rsidRPr="004611B2" w:rsidRDefault="00A35D8C" w:rsidP="00A35D8C">
      <w:pPr>
        <w:pStyle w:val="BodyText"/>
        <w:spacing w:before="72"/>
        <w:ind w:left="309"/>
        <w:jc w:val="both"/>
      </w:pPr>
      <w:r w:rsidRPr="004611B2">
        <w:t>Describe</w:t>
      </w:r>
      <w:r w:rsidRPr="004611B2">
        <w:rPr>
          <w:spacing w:val="-3"/>
        </w:rPr>
        <w:t xml:space="preserve"> </w:t>
      </w:r>
      <w:r w:rsidRPr="004611B2">
        <w:t>the</w:t>
      </w:r>
      <w:r w:rsidRPr="004611B2">
        <w:rPr>
          <w:spacing w:val="-2"/>
        </w:rPr>
        <w:t xml:space="preserve"> </w:t>
      </w:r>
      <w:r w:rsidRPr="004611B2">
        <w:t>use</w:t>
      </w:r>
      <w:r w:rsidRPr="004611B2">
        <w:rPr>
          <w:spacing w:val="2"/>
        </w:rPr>
        <w:t xml:space="preserve"> </w:t>
      </w:r>
      <w:r w:rsidRPr="004611B2">
        <w:t>you</w:t>
      </w:r>
      <w:r w:rsidRPr="004611B2">
        <w:rPr>
          <w:spacing w:val="-1"/>
        </w:rPr>
        <w:t xml:space="preserve"> </w:t>
      </w:r>
      <w:r w:rsidRPr="004611B2">
        <w:t>have</w:t>
      </w:r>
      <w:r w:rsidRPr="004611B2">
        <w:rPr>
          <w:spacing w:val="-1"/>
        </w:rPr>
        <w:t xml:space="preserve"> </w:t>
      </w:r>
      <w:r w:rsidRPr="004611B2">
        <w:t>made</w:t>
      </w:r>
      <w:r w:rsidRPr="004611B2">
        <w:rPr>
          <w:spacing w:val="-3"/>
        </w:rPr>
        <w:t xml:space="preserve"> </w:t>
      </w:r>
      <w:r w:rsidRPr="004611B2">
        <w:t>of it?</w:t>
      </w:r>
    </w:p>
    <w:p w14:paraId="6F365896" w14:textId="77777777" w:rsidR="00A35D8C" w:rsidRPr="004611B2" w:rsidRDefault="00A35D8C" w:rsidP="00A35D8C">
      <w:pPr>
        <w:pStyle w:val="BodyText"/>
        <w:spacing w:before="72"/>
        <w:ind w:left="309" w:right="178"/>
        <w:rPr>
          <w:color w:val="0070C0"/>
        </w:rPr>
      </w:pPr>
      <w:r w:rsidRPr="006F4D54">
        <w:rPr>
          <w:i/>
          <w:iCs/>
          <w:color w:val="0070C0"/>
          <w:u w:val="single"/>
        </w:rPr>
        <w:t>For synthetic on balance-sheet securitisations:</w:t>
      </w:r>
      <w:r w:rsidRPr="006F4D54">
        <w:rPr>
          <w:i/>
          <w:iCs/>
          <w:color w:val="0070C0"/>
          <w:u w:val="single"/>
        </w:rPr>
        <w:br/>
      </w:r>
      <w:r w:rsidRPr="004611B2">
        <w:rPr>
          <w:color w:val="0070C0"/>
        </w:rPr>
        <w:t>The information on environmental performance is used by investors for two separate purposes:</w:t>
      </w:r>
    </w:p>
    <w:p w14:paraId="12F16A9B" w14:textId="77777777" w:rsidR="00A35D8C" w:rsidRPr="004611B2" w:rsidRDefault="00A35D8C" w:rsidP="00A35D8C">
      <w:pPr>
        <w:pStyle w:val="BodyText"/>
        <w:numPr>
          <w:ilvl w:val="0"/>
          <w:numId w:val="2"/>
        </w:numPr>
        <w:spacing w:before="72"/>
        <w:ind w:right="178"/>
        <w:jc w:val="both"/>
        <w:rPr>
          <w:color w:val="0070C0"/>
        </w:rPr>
      </w:pPr>
      <w:r w:rsidRPr="004611B2">
        <w:rPr>
          <w:color w:val="0070C0"/>
        </w:rPr>
        <w:t xml:space="preserve">Assess the (positive) </w:t>
      </w:r>
      <w:r w:rsidRPr="004611B2">
        <w:rPr>
          <w:b/>
          <w:bCs/>
          <w:color w:val="0070C0"/>
        </w:rPr>
        <w:t>sustainability impact</w:t>
      </w:r>
      <w:r w:rsidRPr="004611B2">
        <w:rPr>
          <w:color w:val="0070C0"/>
        </w:rPr>
        <w:t xml:space="preserve"> of the portfolio, and benchmark it to their investment strategy: without impact data, investors will not be able to incorporate securitisations in impact-related funds, generally based on SDG themes and criteria</w:t>
      </w:r>
    </w:p>
    <w:p w14:paraId="52937661" w14:textId="77777777" w:rsidR="00A35D8C" w:rsidRPr="004611B2" w:rsidRDefault="00A35D8C" w:rsidP="00A35D8C">
      <w:pPr>
        <w:pStyle w:val="BodyText"/>
        <w:numPr>
          <w:ilvl w:val="0"/>
          <w:numId w:val="2"/>
        </w:numPr>
        <w:spacing w:before="72"/>
        <w:ind w:right="178"/>
        <w:jc w:val="both"/>
        <w:rPr>
          <w:color w:val="0070C0"/>
        </w:rPr>
      </w:pPr>
      <w:r w:rsidRPr="004611B2">
        <w:rPr>
          <w:color w:val="0070C0"/>
        </w:rPr>
        <w:t xml:space="preserve">Assess </w:t>
      </w:r>
      <w:r w:rsidRPr="004611B2">
        <w:rPr>
          <w:b/>
          <w:bCs/>
          <w:color w:val="0070C0"/>
        </w:rPr>
        <w:t>portfolio sensitivity to ESG risks</w:t>
      </w:r>
      <w:r w:rsidRPr="004611B2">
        <w:rPr>
          <w:color w:val="0070C0"/>
        </w:rPr>
        <w:t>, run medium/long-term scenarios and benchmark it to investors’ appetite for ESG risks.</w:t>
      </w:r>
    </w:p>
    <w:p w14:paraId="7E31384F" w14:textId="77777777" w:rsidR="00A35D8C" w:rsidRPr="004611B2" w:rsidRDefault="00A35D8C" w:rsidP="00A35D8C">
      <w:pPr>
        <w:pStyle w:val="BodyText"/>
        <w:spacing w:before="72"/>
        <w:ind w:left="308" w:right="178"/>
        <w:jc w:val="both"/>
        <w:rPr>
          <w:b/>
          <w:bCs/>
          <w:color w:val="0070C0"/>
        </w:rPr>
      </w:pPr>
      <w:r w:rsidRPr="004611B2">
        <w:rPr>
          <w:color w:val="0070C0"/>
        </w:rPr>
        <w:t xml:space="preserve">Investors in synthetic securitisations acknowledge that </w:t>
      </w:r>
      <w:r w:rsidRPr="004611B2">
        <w:rPr>
          <w:b/>
          <w:bCs/>
          <w:color w:val="0070C0"/>
        </w:rPr>
        <w:t>flexibility is required during the transition phase around the format of acceptable securitisation transaction</w:t>
      </w:r>
      <w:r w:rsidRPr="004611B2">
        <w:rPr>
          <w:color w:val="0070C0"/>
        </w:rPr>
        <w:t xml:space="preserve"> (combining collateral / use of proceeds or sustainability linked approach) </w:t>
      </w:r>
      <w:r w:rsidRPr="004611B2">
        <w:rPr>
          <w:b/>
          <w:bCs/>
          <w:color w:val="0070C0"/>
        </w:rPr>
        <w:t xml:space="preserve">and the definition of underlying assets. </w:t>
      </w:r>
    </w:p>
    <w:p w14:paraId="414A1D12" w14:textId="77777777" w:rsidR="00A35D8C" w:rsidRPr="001D681C" w:rsidRDefault="00A35D8C" w:rsidP="00A35D8C">
      <w:pPr>
        <w:pStyle w:val="BodyText"/>
        <w:spacing w:before="72"/>
        <w:ind w:left="308" w:right="178"/>
        <w:jc w:val="both"/>
        <w:rPr>
          <w:color w:val="0070C0"/>
        </w:rPr>
      </w:pPr>
      <w:r w:rsidRPr="004611B2">
        <w:rPr>
          <w:color w:val="0070C0"/>
        </w:rPr>
        <w:t>This flexibility is especially relevant in the SME space, and notably on transactions supported by the EIF, where developing and increasing the proportion of sustainable lending is especially challenging.</w:t>
      </w:r>
    </w:p>
    <w:p w14:paraId="534A0472" w14:textId="77777777" w:rsidR="00A35D8C" w:rsidRPr="004611B2" w:rsidRDefault="00A35D8C" w:rsidP="00A35D8C">
      <w:pPr>
        <w:pStyle w:val="BodyText"/>
        <w:ind w:left="309" w:right="320"/>
        <w:jc w:val="both"/>
        <w:rPr>
          <w:b/>
          <w:bCs/>
          <w:u w:val="single"/>
        </w:rPr>
      </w:pPr>
      <w:r>
        <w:rPr>
          <w:b/>
          <w:bCs/>
          <w:u w:val="single"/>
        </w:rPr>
        <w:br/>
      </w:r>
    </w:p>
    <w:p w14:paraId="59995923" w14:textId="77777777" w:rsidR="00A35D8C" w:rsidRPr="004611B2" w:rsidRDefault="00A35D8C" w:rsidP="00A35D8C">
      <w:pPr>
        <w:pStyle w:val="BodyText"/>
        <w:ind w:left="309" w:right="320"/>
        <w:jc w:val="both"/>
      </w:pPr>
      <w:r w:rsidRPr="004611B2">
        <w:rPr>
          <w:b/>
          <w:bCs/>
          <w:u w:val="single"/>
        </w:rPr>
        <w:t>Question 6.4.</w:t>
      </w:r>
      <w:r w:rsidRPr="004611B2">
        <w:rPr>
          <w:spacing w:val="1"/>
        </w:rPr>
        <w:t xml:space="preserve"> </w:t>
      </w:r>
      <w:r w:rsidRPr="004611B2">
        <w:t>Do you think it is more useful to publish information on environmental</w:t>
      </w:r>
      <w:r w:rsidRPr="004611B2">
        <w:rPr>
          <w:spacing w:val="1"/>
        </w:rPr>
        <w:t xml:space="preserve"> </w:t>
      </w:r>
      <w:r w:rsidRPr="004611B2">
        <w:t>performance</w:t>
      </w:r>
      <w:r w:rsidRPr="004611B2">
        <w:rPr>
          <w:spacing w:val="-2"/>
        </w:rPr>
        <w:t xml:space="preserve"> </w:t>
      </w:r>
      <w:r w:rsidRPr="004611B2">
        <w:t>or on adverse</w:t>
      </w:r>
      <w:r w:rsidRPr="004611B2">
        <w:rPr>
          <w:spacing w:val="-1"/>
        </w:rPr>
        <w:t xml:space="preserve"> </w:t>
      </w:r>
      <w:r w:rsidRPr="004611B2">
        <w:t>impact and why?</w:t>
      </w:r>
    </w:p>
    <w:p w14:paraId="6AFD77BE" w14:textId="77777777" w:rsidR="00A35D8C" w:rsidRPr="004611B2" w:rsidRDefault="00A35D8C" w:rsidP="00A35D8C">
      <w:pPr>
        <w:pStyle w:val="BodyText"/>
        <w:ind w:left="309" w:right="320"/>
        <w:jc w:val="both"/>
        <w:rPr>
          <w:color w:val="0070C0"/>
        </w:rPr>
      </w:pPr>
    </w:p>
    <w:p w14:paraId="18E7A0AC" w14:textId="77777777" w:rsidR="00A35D8C" w:rsidRPr="004611B2" w:rsidRDefault="00A35D8C" w:rsidP="00A35D8C">
      <w:pPr>
        <w:pStyle w:val="BodyText"/>
        <w:ind w:left="309" w:right="320"/>
        <w:rPr>
          <w:color w:val="0070C0"/>
        </w:rPr>
      </w:pPr>
      <w:r w:rsidRPr="006F4D54">
        <w:rPr>
          <w:i/>
          <w:iCs/>
          <w:color w:val="0070C0"/>
          <w:u w:val="single"/>
        </w:rPr>
        <w:t>For synthetic on balance-sheet securitisations:</w:t>
      </w:r>
      <w:r w:rsidRPr="006F4D54">
        <w:rPr>
          <w:i/>
          <w:iCs/>
          <w:color w:val="0070C0"/>
          <w:u w:val="single"/>
        </w:rPr>
        <w:br/>
      </w:r>
      <w:r w:rsidRPr="004611B2">
        <w:rPr>
          <w:color w:val="0070C0"/>
        </w:rPr>
        <w:t xml:space="preserve">On synthetic securitisations that are intended to be marketed as sustainable/ESG securitisations, both are important as they have different purposes, as explained in 6.3. </w:t>
      </w:r>
      <w:r w:rsidRPr="004611B2">
        <w:rPr>
          <w:color w:val="0070C0"/>
        </w:rPr>
        <w:lastRenderedPageBreak/>
        <w:t>hereabove. Positive environmental impact is also as important than negative impact.</w:t>
      </w:r>
    </w:p>
    <w:p w14:paraId="090BA8A6" w14:textId="77777777" w:rsidR="00A35D8C" w:rsidRPr="004611B2" w:rsidRDefault="00A35D8C" w:rsidP="00A35D8C">
      <w:pPr>
        <w:pStyle w:val="BodyText"/>
        <w:ind w:left="309" w:right="320"/>
        <w:jc w:val="both"/>
        <w:rPr>
          <w:color w:val="0070C0"/>
        </w:rPr>
      </w:pPr>
      <w:r w:rsidRPr="004611B2">
        <w:rPr>
          <w:color w:val="0070C0"/>
        </w:rPr>
        <w:t>However, we would caution against developing overly prescriptive securitisation-specific disclosure requirements. Flexibility will be necessary during the transition period on the type of data that borrowers and originating banks are able to report on, and investors will have to assess if the available information is comprehensive enough to achieve their investment strategy.</w:t>
      </w:r>
    </w:p>
    <w:p w14:paraId="1F51AAB2" w14:textId="77777777" w:rsidR="00A35D8C" w:rsidRPr="004611B2" w:rsidRDefault="00A35D8C" w:rsidP="00A35D8C">
      <w:pPr>
        <w:pStyle w:val="BodyText"/>
        <w:spacing w:before="72"/>
        <w:ind w:left="308" w:right="319"/>
        <w:rPr>
          <w:color w:val="0070C0"/>
        </w:rPr>
      </w:pPr>
    </w:p>
    <w:p w14:paraId="1B0E1F98" w14:textId="77777777" w:rsidR="00A35D8C" w:rsidRPr="004611B2" w:rsidRDefault="00A35D8C" w:rsidP="00A35D8C">
      <w:pPr>
        <w:pStyle w:val="BodyText"/>
        <w:spacing w:before="72"/>
        <w:ind w:left="308" w:right="319"/>
        <w:rPr>
          <w:color w:val="0070C0"/>
        </w:rPr>
      </w:pPr>
      <w:proofErr w:type="gramStart"/>
      <w:r w:rsidRPr="004611B2">
        <w:rPr>
          <w:color w:val="0070C0"/>
        </w:rPr>
        <w:t>With regard to</w:t>
      </w:r>
      <w:proofErr w:type="gramEnd"/>
      <w:r w:rsidRPr="004611B2">
        <w:rPr>
          <w:color w:val="0070C0"/>
        </w:rPr>
        <w:t xml:space="preserve"> the latter, we note that investors can refer  </w:t>
      </w:r>
    </w:p>
    <w:p w14:paraId="07DED527" w14:textId="77777777" w:rsidR="00A35D8C" w:rsidRPr="004611B2" w:rsidRDefault="00A35D8C" w:rsidP="00A35D8C">
      <w:pPr>
        <w:pStyle w:val="BodyText"/>
        <w:numPr>
          <w:ilvl w:val="0"/>
          <w:numId w:val="2"/>
        </w:numPr>
        <w:spacing w:before="72"/>
        <w:ind w:right="319"/>
        <w:rPr>
          <w:color w:val="0070C0"/>
        </w:rPr>
      </w:pPr>
      <w:r w:rsidRPr="004611B2">
        <w:rPr>
          <w:color w:val="0070C0"/>
        </w:rPr>
        <w:t xml:space="preserve">For </w:t>
      </w:r>
      <w:r w:rsidRPr="004611B2">
        <w:rPr>
          <w:b/>
          <w:bCs/>
          <w:color w:val="0070C0"/>
        </w:rPr>
        <w:t>risk</w:t>
      </w:r>
      <w:r w:rsidRPr="004611B2">
        <w:rPr>
          <w:color w:val="0070C0"/>
        </w:rPr>
        <w:t xml:space="preserve"> assessment, to the EBA report on management and supervision of ESG risk management, which tackles broader than just environmental risk, and proposes several approaches to assess ESG risks (portfolio alignment, risk framework and loan-by-loan exposure methods), and </w:t>
      </w:r>
    </w:p>
    <w:p w14:paraId="0AA3DEDC" w14:textId="77777777" w:rsidR="00A35D8C" w:rsidRPr="004611B2" w:rsidRDefault="00A35D8C" w:rsidP="00A35D8C">
      <w:pPr>
        <w:pStyle w:val="BodyText"/>
        <w:numPr>
          <w:ilvl w:val="0"/>
          <w:numId w:val="2"/>
        </w:numPr>
        <w:spacing w:before="72"/>
        <w:ind w:right="319"/>
        <w:rPr>
          <w:color w:val="0070C0"/>
        </w:rPr>
      </w:pPr>
      <w:r w:rsidRPr="004611B2">
        <w:rPr>
          <w:color w:val="0070C0"/>
        </w:rPr>
        <w:t xml:space="preserve">For </w:t>
      </w:r>
      <w:r w:rsidRPr="004611B2">
        <w:rPr>
          <w:b/>
          <w:bCs/>
          <w:color w:val="0070C0"/>
        </w:rPr>
        <w:t xml:space="preserve">impact </w:t>
      </w:r>
      <w:r w:rsidRPr="004611B2">
        <w:rPr>
          <w:color w:val="0070C0"/>
        </w:rPr>
        <w:t xml:space="preserve">assessment, to the global </w:t>
      </w:r>
      <w:proofErr w:type="gramStart"/>
      <w:r w:rsidRPr="004611B2">
        <w:rPr>
          <w:color w:val="0070C0"/>
        </w:rPr>
        <w:t>indicators</w:t>
      </w:r>
      <w:proofErr w:type="gramEnd"/>
      <w:r w:rsidRPr="004611B2">
        <w:rPr>
          <w:color w:val="0070C0"/>
        </w:rPr>
        <w:t xml:space="preserve"> framework designed by the UN for the monitoring of the Sustainable Development Goals,</w:t>
      </w:r>
    </w:p>
    <w:p w14:paraId="4BA95F69" w14:textId="77777777" w:rsidR="00A35D8C" w:rsidRDefault="00A35D8C" w:rsidP="00A35D8C">
      <w:pPr>
        <w:pStyle w:val="BodyText"/>
        <w:spacing w:before="72"/>
        <w:ind w:left="308" w:right="319"/>
        <w:rPr>
          <w:color w:val="0070C0"/>
        </w:rPr>
      </w:pPr>
      <w:r w:rsidRPr="004611B2">
        <w:rPr>
          <w:color w:val="0070C0"/>
        </w:rPr>
        <w:t xml:space="preserve">when performing their own ESG due diligence as well as when complying with their SFDR requirements.  </w:t>
      </w:r>
    </w:p>
    <w:p w14:paraId="3BBE0F8B" w14:textId="77777777" w:rsidR="00A35D8C" w:rsidRPr="004611B2" w:rsidRDefault="00A35D8C" w:rsidP="00A35D8C">
      <w:pPr>
        <w:pStyle w:val="BodyText"/>
        <w:spacing w:before="72"/>
        <w:ind w:left="308" w:right="319"/>
      </w:pPr>
      <w:r>
        <w:rPr>
          <w:color w:val="0070C0"/>
        </w:rPr>
        <w:br/>
      </w:r>
      <w:r w:rsidRPr="004611B2">
        <w:rPr>
          <w:color w:val="0070C0"/>
        </w:rPr>
        <w:br/>
      </w:r>
      <w:r w:rsidRPr="004611B2">
        <w:rPr>
          <w:b/>
          <w:bCs/>
          <w:u w:val="single"/>
        </w:rPr>
        <w:t>Question 6.5. a)</w:t>
      </w:r>
      <w:r w:rsidRPr="004611B2">
        <w:t xml:space="preserve"> Do you agree that these asset specific disclosures should become part of</w:t>
      </w:r>
      <w:r w:rsidRPr="004611B2">
        <w:rPr>
          <w:spacing w:val="1"/>
        </w:rPr>
        <w:t xml:space="preserve"> </w:t>
      </w:r>
      <w:r w:rsidRPr="004611B2">
        <w:t>a</w:t>
      </w:r>
      <w:r w:rsidRPr="004611B2">
        <w:rPr>
          <w:spacing w:val="-2"/>
        </w:rPr>
        <w:t xml:space="preserve"> </w:t>
      </w:r>
      <w:r w:rsidRPr="004611B2">
        <w:t>general sustainability</w:t>
      </w:r>
      <w:r w:rsidRPr="004611B2">
        <w:rPr>
          <w:spacing w:val="-5"/>
        </w:rPr>
        <w:t xml:space="preserve"> </w:t>
      </w:r>
      <w:r w:rsidRPr="004611B2">
        <w:t>disclosures regime</w:t>
      </w:r>
      <w:r w:rsidRPr="004611B2">
        <w:rPr>
          <w:spacing w:val="-1"/>
        </w:rPr>
        <w:t xml:space="preserve"> </w:t>
      </w:r>
      <w:r w:rsidRPr="004611B2">
        <w:t>as</w:t>
      </w:r>
      <w:r w:rsidRPr="004611B2">
        <w:rPr>
          <w:spacing w:val="-1"/>
        </w:rPr>
        <w:t xml:space="preserve"> </w:t>
      </w:r>
      <w:r w:rsidRPr="004611B2">
        <w:t>EBA</w:t>
      </w:r>
      <w:r w:rsidRPr="004611B2">
        <w:rPr>
          <w:spacing w:val="-2"/>
        </w:rPr>
        <w:t xml:space="preserve"> </w:t>
      </w:r>
      <w:r w:rsidRPr="004611B2">
        <w:t>is developing?</w:t>
      </w:r>
    </w:p>
    <w:p w14:paraId="05671D85" w14:textId="77777777" w:rsidR="00A35D8C" w:rsidRPr="004611B2" w:rsidRDefault="00A35D8C" w:rsidP="00A35D8C">
      <w:pPr>
        <w:pStyle w:val="BodyText"/>
        <w:spacing w:before="10"/>
      </w:pPr>
    </w:p>
    <w:p w14:paraId="5FE41882" w14:textId="77777777" w:rsidR="00A35D8C" w:rsidRPr="004611B2" w:rsidRDefault="00A35D8C" w:rsidP="00A35D8C">
      <w:pPr>
        <w:pStyle w:val="BodyText"/>
        <w:ind w:left="592" w:right="8264"/>
      </w:pPr>
      <w:r w:rsidRPr="004611B2">
        <w:rPr>
          <w:b/>
          <w:bCs/>
          <w:color w:val="0070C0"/>
        </w:rPr>
        <w:t>Yes</w:t>
      </w:r>
      <w:r w:rsidRPr="004611B2">
        <w:rPr>
          <w:b/>
          <w:bCs/>
          <w:color w:val="0070C0"/>
          <w:spacing w:val="-57"/>
        </w:rPr>
        <w:t xml:space="preserve"> </w:t>
      </w:r>
      <w:r w:rsidRPr="004611B2">
        <w:t>No</w:t>
      </w:r>
    </w:p>
    <w:p w14:paraId="4C8D1EF9" w14:textId="77777777" w:rsidR="00A35D8C" w:rsidRPr="004611B2" w:rsidRDefault="00A35D8C" w:rsidP="00A35D8C">
      <w:pPr>
        <w:pStyle w:val="BodyText"/>
        <w:ind w:left="592"/>
      </w:pPr>
      <w:r w:rsidRPr="004611B2">
        <w:t>No</w:t>
      </w:r>
      <w:r w:rsidRPr="004611B2">
        <w:rPr>
          <w:spacing w:val="-2"/>
        </w:rPr>
        <w:t xml:space="preserve"> </w:t>
      </w:r>
      <w:r w:rsidRPr="004611B2">
        <w:t>opinion</w:t>
      </w:r>
      <w:r w:rsidRPr="004611B2">
        <w:br/>
      </w:r>
    </w:p>
    <w:p w14:paraId="5CEA17F0" w14:textId="77777777" w:rsidR="00A35D8C" w:rsidRPr="004611B2" w:rsidRDefault="00A35D8C" w:rsidP="00A35D8C">
      <w:pPr>
        <w:pStyle w:val="BodyText"/>
        <w:ind w:left="308"/>
        <w:rPr>
          <w:color w:val="0070C0"/>
        </w:rPr>
      </w:pPr>
      <w:r w:rsidRPr="006F4D54">
        <w:rPr>
          <w:i/>
          <w:iCs/>
          <w:color w:val="0070C0"/>
          <w:u w:val="single"/>
        </w:rPr>
        <w:t>For synthetic on balance-sheet securitisations:</w:t>
      </w:r>
      <w:r w:rsidRPr="006F4D54">
        <w:rPr>
          <w:i/>
          <w:iCs/>
          <w:color w:val="0070C0"/>
          <w:u w:val="single"/>
        </w:rPr>
        <w:br/>
      </w:r>
      <w:r w:rsidRPr="004611B2">
        <w:rPr>
          <w:color w:val="0070C0"/>
        </w:rPr>
        <w:t xml:space="preserve">Yes, this will be relevant on securitisations intended to be marketed as sustainable/ESG provided any duplicative disclosures and reporting are avoided and flexibility is maintained during the transition period when availability of relevant data may be more limited. </w:t>
      </w:r>
    </w:p>
    <w:p w14:paraId="1BA53818" w14:textId="77777777" w:rsidR="00A35D8C" w:rsidRPr="004611B2" w:rsidRDefault="00A35D8C" w:rsidP="00A35D8C">
      <w:pPr>
        <w:pStyle w:val="BodyText"/>
        <w:ind w:left="308"/>
        <w:jc w:val="both"/>
        <w:rPr>
          <w:color w:val="0070C0"/>
        </w:rPr>
      </w:pPr>
      <w:r w:rsidRPr="004611B2">
        <w:rPr>
          <w:color w:val="0070C0"/>
        </w:rPr>
        <w:t>There should be no difference between mandatory sustainability disclosures on loan portfolios whatever the purpose. However, depending on the asset type and the investment strategy, investors may ask for additional information that is material to them.</w:t>
      </w:r>
    </w:p>
    <w:p w14:paraId="2C65A565" w14:textId="77777777" w:rsidR="00A35D8C" w:rsidRPr="004611B2" w:rsidRDefault="00A35D8C" w:rsidP="00A35D8C">
      <w:pPr>
        <w:pStyle w:val="BodyText"/>
        <w:ind w:left="308"/>
        <w:jc w:val="both"/>
        <w:rPr>
          <w:color w:val="0070C0"/>
        </w:rPr>
      </w:pPr>
    </w:p>
    <w:p w14:paraId="5286E1C4" w14:textId="77777777" w:rsidR="00A35D8C" w:rsidRPr="004611B2" w:rsidRDefault="00A35D8C" w:rsidP="00A35D8C">
      <w:pPr>
        <w:pStyle w:val="BodyText"/>
        <w:ind w:left="308"/>
        <w:jc w:val="both"/>
        <w:rPr>
          <w:b/>
          <w:bCs/>
          <w:color w:val="0070C0"/>
        </w:rPr>
      </w:pPr>
      <w:r w:rsidRPr="004611B2">
        <w:rPr>
          <w:b/>
          <w:bCs/>
          <w:color w:val="0070C0"/>
        </w:rPr>
        <w:t>Avoiding additional complexity and leveraging currently existing regulatory frameworks and high-level disclosure standards are critical.</w:t>
      </w:r>
    </w:p>
    <w:p w14:paraId="1B900063" w14:textId="77777777" w:rsidR="00A35D8C" w:rsidRPr="004611B2" w:rsidRDefault="00A35D8C" w:rsidP="00A35D8C">
      <w:pPr>
        <w:pStyle w:val="BodyText"/>
        <w:ind w:left="426" w:hanging="142"/>
        <w:jc w:val="both"/>
        <w:rPr>
          <w:color w:val="0070C0"/>
        </w:rPr>
      </w:pPr>
    </w:p>
    <w:p w14:paraId="7E6B83D1" w14:textId="77777777" w:rsidR="00A35D8C" w:rsidRPr="004611B2" w:rsidRDefault="00A35D8C" w:rsidP="00A35D8C">
      <w:pPr>
        <w:pStyle w:val="BodyText"/>
        <w:ind w:left="426" w:hanging="142"/>
        <w:jc w:val="both"/>
        <w:rPr>
          <w:color w:val="0070C0"/>
        </w:rPr>
      </w:pPr>
      <w:r w:rsidRPr="004611B2">
        <w:rPr>
          <w:color w:val="0070C0"/>
        </w:rPr>
        <w:t>On transparency requirements, it is important to highlight that</w:t>
      </w:r>
    </w:p>
    <w:p w14:paraId="7DACEF6B" w14:textId="77777777" w:rsidR="00A35D8C" w:rsidRPr="004611B2" w:rsidRDefault="00A35D8C" w:rsidP="00A35D8C">
      <w:pPr>
        <w:pStyle w:val="BodyText"/>
        <w:ind w:left="308"/>
        <w:jc w:val="both"/>
        <w:rPr>
          <w:color w:val="0070C0"/>
        </w:rPr>
      </w:pPr>
      <w:r w:rsidRPr="004611B2">
        <w:rPr>
          <w:color w:val="0070C0"/>
        </w:rPr>
        <w:t xml:space="preserve">- EU STS (traditional and synthetic) securitisations backed by auto and residential mortgage assets are already required to provide additional disclosure on sustainability and harmonisation of such disclosure will be further made under the new technical standards. </w:t>
      </w:r>
    </w:p>
    <w:p w14:paraId="6E69DDDF" w14:textId="77777777" w:rsidR="00A35D8C" w:rsidRPr="004611B2" w:rsidRDefault="00A35D8C" w:rsidP="00A35D8C">
      <w:pPr>
        <w:pStyle w:val="BodyText"/>
        <w:ind w:left="308"/>
        <w:jc w:val="both"/>
        <w:rPr>
          <w:color w:val="0070C0"/>
        </w:rPr>
      </w:pPr>
      <w:r w:rsidRPr="004611B2">
        <w:rPr>
          <w:color w:val="0070C0"/>
        </w:rPr>
        <w:t>- EU on balance sheet (synthetic) STS framework requires the appointment of an external verification agent to verify that underlying assets comply with the applicable eligibility criteria. Sustainability-related criteria will be part of that verification process.</w:t>
      </w:r>
    </w:p>
    <w:p w14:paraId="6E71938B" w14:textId="77777777" w:rsidR="00A35D8C" w:rsidRPr="004611B2" w:rsidRDefault="00A35D8C" w:rsidP="00A35D8C">
      <w:pPr>
        <w:pStyle w:val="BodyText"/>
        <w:ind w:left="308"/>
        <w:jc w:val="both"/>
        <w:rPr>
          <w:color w:val="0070C0"/>
        </w:rPr>
      </w:pPr>
      <w:r w:rsidRPr="004611B2">
        <w:rPr>
          <w:color w:val="0070C0"/>
        </w:rPr>
        <w:t xml:space="preserve">- Whether or not the deal is an EU STS, securitisations in scope of the EU Securitisation are also required to provide at least quarterly loan-by-loan and investor reporting using very </w:t>
      </w:r>
      <w:r w:rsidRPr="004611B2">
        <w:rPr>
          <w:color w:val="0070C0"/>
        </w:rPr>
        <w:lastRenderedPageBreak/>
        <w:t>prescriptive templates, which already include certain sustainability-related reporting fields (</w:t>
      </w:r>
      <w:proofErr w:type="spellStart"/>
      <w:proofErr w:type="gramStart"/>
      <w:r w:rsidRPr="004611B2">
        <w:rPr>
          <w:color w:val="0070C0"/>
        </w:rPr>
        <w:t>eg</w:t>
      </w:r>
      <w:proofErr w:type="spellEnd"/>
      <w:proofErr w:type="gramEnd"/>
      <w:r w:rsidRPr="004611B2">
        <w:rPr>
          <w:color w:val="0070C0"/>
        </w:rPr>
        <w:t xml:space="preserve"> Residential mortgage loan templates requires loan-by-loan disclosure of the Energy Performance Certificate Value). </w:t>
      </w:r>
    </w:p>
    <w:p w14:paraId="16362C1E" w14:textId="77777777" w:rsidR="00A35D8C" w:rsidRPr="004611B2" w:rsidRDefault="00A35D8C" w:rsidP="00A35D8C">
      <w:pPr>
        <w:pStyle w:val="BodyText"/>
        <w:ind w:left="308"/>
        <w:jc w:val="both"/>
        <w:rPr>
          <w:color w:val="0070C0"/>
        </w:rPr>
      </w:pPr>
      <w:r w:rsidRPr="004611B2">
        <w:rPr>
          <w:color w:val="0070C0"/>
        </w:rPr>
        <w:t xml:space="preserve">Therefore, any additional sustainability related transparency should be carefully incorporated into existing reporting and transparency framework avoiding duplication or creation of unnecessary </w:t>
      </w:r>
      <w:proofErr w:type="gramStart"/>
      <w:r w:rsidRPr="004611B2">
        <w:rPr>
          <w:color w:val="0070C0"/>
        </w:rPr>
        <w:t>burden, and</w:t>
      </w:r>
      <w:proofErr w:type="gramEnd"/>
      <w:r w:rsidRPr="004611B2">
        <w:rPr>
          <w:color w:val="0070C0"/>
        </w:rPr>
        <w:t xml:space="preserve"> must be subject to detailed consultation with the industry.</w:t>
      </w:r>
    </w:p>
    <w:p w14:paraId="37472EAD" w14:textId="77777777" w:rsidR="00A35D8C" w:rsidRPr="004611B2" w:rsidRDefault="00A35D8C" w:rsidP="00A35D8C">
      <w:pPr>
        <w:pStyle w:val="BodyText"/>
        <w:ind w:left="308"/>
        <w:jc w:val="both"/>
        <w:rPr>
          <w:color w:val="0070C0"/>
        </w:rPr>
      </w:pPr>
    </w:p>
    <w:p w14:paraId="40D66A08" w14:textId="77777777" w:rsidR="00A35D8C" w:rsidRPr="004611B2" w:rsidRDefault="00A35D8C" w:rsidP="00A35D8C">
      <w:pPr>
        <w:pStyle w:val="BodyText"/>
        <w:ind w:left="308"/>
        <w:jc w:val="both"/>
        <w:rPr>
          <w:color w:val="0070C0"/>
        </w:rPr>
      </w:pPr>
      <w:r w:rsidRPr="004611B2">
        <w:rPr>
          <w:color w:val="0070C0"/>
        </w:rPr>
        <w:t xml:space="preserve">Considerations should also be made to the </w:t>
      </w:r>
      <w:r w:rsidRPr="004611B2">
        <w:rPr>
          <w:b/>
          <w:bCs/>
          <w:color w:val="0070C0"/>
        </w:rPr>
        <w:t>extra-territorial effect</w:t>
      </w:r>
      <w:r w:rsidRPr="004611B2">
        <w:rPr>
          <w:color w:val="0070C0"/>
        </w:rPr>
        <w:t xml:space="preserve"> of EU regulations for sustainable finance, as many stakeholders operate beyond the boundaries of the European Union and will have to meet multiple ESG-related requirements. </w:t>
      </w:r>
      <w:bookmarkStart w:id="0" w:name="_Hlk80716727"/>
      <w:r w:rsidRPr="004611B2">
        <w:rPr>
          <w:color w:val="0070C0"/>
        </w:rPr>
        <w:t xml:space="preserve">For example, EU investors when investing in non-EU securitisations are also required to confirm that they receive sufficient transparency and disclosures on the deal characteristics and its risk profile. However, for the last three years, since SECR became applicable, it remains unclear whether non-EU securitisations in this context are expected to prepare EU style loan/investor reporting. Therefore, the development of EU sustainable securitisation framework will need to be clear </w:t>
      </w:r>
      <w:proofErr w:type="gramStart"/>
      <w:r w:rsidRPr="004611B2">
        <w:rPr>
          <w:color w:val="0070C0"/>
        </w:rPr>
        <w:t>with regard to</w:t>
      </w:r>
      <w:proofErr w:type="gramEnd"/>
      <w:r w:rsidRPr="004611B2">
        <w:rPr>
          <w:color w:val="0070C0"/>
        </w:rPr>
        <w:t xml:space="preserve"> expectations for sustainability-related disclosures on non-EU deals and for EU deals that may also involve non-EU sell-side parties. In this regard, we would emphases that it is very important for the industry to be clear on the scope of application of any new SECR requirements. It should be clearly stated in any legislative proposal if the new requirements are intended to have extra-territorial effect and, if such extra-territorial effect is intended, meaningful time for consultation with the industry is provided by the European Commission and/or other relevant EU regulators. </w:t>
      </w:r>
      <w:bookmarkEnd w:id="0"/>
    </w:p>
    <w:p w14:paraId="7CAE7DCF" w14:textId="77777777" w:rsidR="00A35D8C" w:rsidRPr="004611B2" w:rsidRDefault="00A35D8C" w:rsidP="00A35D8C">
      <w:pPr>
        <w:pStyle w:val="BodyText"/>
        <w:ind w:left="308"/>
        <w:rPr>
          <w:color w:val="0070C0"/>
        </w:rPr>
      </w:pPr>
    </w:p>
    <w:p w14:paraId="4D1D6449" w14:textId="77777777" w:rsidR="00A35D8C" w:rsidRPr="004611B2" w:rsidRDefault="00A35D8C" w:rsidP="00A35D8C">
      <w:pPr>
        <w:pStyle w:val="BodyText"/>
        <w:spacing w:before="42" w:line="510" w:lineRule="atLeast"/>
        <w:ind w:left="592" w:right="36" w:hanging="284"/>
        <w:rPr>
          <w:spacing w:val="-57"/>
        </w:rPr>
      </w:pPr>
      <w:r w:rsidRPr="004611B2">
        <w:rPr>
          <w:b/>
          <w:bCs/>
          <w:u w:val="single"/>
        </w:rPr>
        <w:t>Question 6.5. b)</w:t>
      </w:r>
      <w:r w:rsidRPr="004611B2">
        <w:t xml:space="preserve"> Should ESG disclosures be mandatory for (multiple choice accepted):</w:t>
      </w:r>
    </w:p>
    <w:p w14:paraId="7B9D288C" w14:textId="77777777" w:rsidR="00A35D8C" w:rsidRPr="004611B2" w:rsidRDefault="00A35D8C" w:rsidP="00A35D8C">
      <w:pPr>
        <w:pStyle w:val="BodyText"/>
        <w:spacing w:before="42" w:line="510" w:lineRule="atLeast"/>
        <w:ind w:left="876" w:right="610" w:hanging="284"/>
        <w:rPr>
          <w:b/>
          <w:bCs/>
          <w:color w:val="0070C0"/>
        </w:rPr>
      </w:pPr>
      <w:r w:rsidRPr="004611B2">
        <w:t>Securitisation</w:t>
      </w:r>
      <w:r w:rsidRPr="004611B2">
        <w:rPr>
          <w:spacing w:val="-1"/>
        </w:rPr>
        <w:t xml:space="preserve"> </w:t>
      </w:r>
      <w:r w:rsidRPr="004611B2">
        <w:t>that complies with</w:t>
      </w:r>
      <w:r w:rsidRPr="004611B2">
        <w:rPr>
          <w:spacing w:val="-1"/>
        </w:rPr>
        <w:t xml:space="preserve"> </w:t>
      </w:r>
      <w:r w:rsidRPr="004611B2">
        <w:t>the EU</w:t>
      </w:r>
      <w:r w:rsidRPr="004611B2">
        <w:rPr>
          <w:spacing w:val="-1"/>
        </w:rPr>
        <w:t xml:space="preserve"> </w:t>
      </w:r>
      <w:r w:rsidRPr="004611B2">
        <w:t>green bond</w:t>
      </w:r>
      <w:r w:rsidRPr="004611B2">
        <w:rPr>
          <w:spacing w:val="-1"/>
        </w:rPr>
        <w:t xml:space="preserve"> </w:t>
      </w:r>
      <w:r w:rsidRPr="004611B2">
        <w:t xml:space="preserve">standard; </w:t>
      </w:r>
      <w:r w:rsidRPr="004611B2">
        <w:rPr>
          <w:b/>
          <w:bCs/>
          <w:color w:val="0070C0"/>
        </w:rPr>
        <w:t>YES</w:t>
      </w:r>
    </w:p>
    <w:p w14:paraId="57296F81" w14:textId="77777777" w:rsidR="00A35D8C" w:rsidRPr="004611B2" w:rsidRDefault="00A35D8C" w:rsidP="00A35D8C">
      <w:pPr>
        <w:pStyle w:val="BodyText"/>
        <w:spacing w:before="7"/>
        <w:ind w:left="592"/>
        <w:rPr>
          <w:b/>
          <w:bCs/>
          <w:color w:val="0070C0"/>
        </w:rPr>
      </w:pPr>
      <w:r w:rsidRPr="004611B2">
        <w:t xml:space="preserve">RMBS; </w:t>
      </w:r>
      <w:r w:rsidRPr="004611B2">
        <w:rPr>
          <w:b/>
          <w:bCs/>
          <w:color w:val="0070C0"/>
        </w:rPr>
        <w:t>Yes</w:t>
      </w:r>
    </w:p>
    <w:p w14:paraId="6BA79063" w14:textId="77777777" w:rsidR="00A35D8C" w:rsidRPr="004611B2" w:rsidRDefault="00A35D8C" w:rsidP="00A35D8C">
      <w:pPr>
        <w:pStyle w:val="BodyText"/>
        <w:ind w:left="592"/>
      </w:pPr>
      <w:r w:rsidRPr="004611B2">
        <w:t>Auto</w:t>
      </w:r>
      <w:r w:rsidRPr="004611B2">
        <w:rPr>
          <w:spacing w:val="-3"/>
        </w:rPr>
        <w:t xml:space="preserve"> </w:t>
      </w:r>
      <w:r w:rsidRPr="004611B2">
        <w:t>loans/leases</w:t>
      </w:r>
      <w:r w:rsidRPr="004611B2">
        <w:rPr>
          <w:spacing w:val="-3"/>
        </w:rPr>
        <w:t xml:space="preserve"> </w:t>
      </w:r>
      <w:r w:rsidRPr="004611B2">
        <w:t xml:space="preserve">ABS; </w:t>
      </w:r>
      <w:r w:rsidRPr="004611B2">
        <w:rPr>
          <w:b/>
          <w:bCs/>
          <w:color w:val="0070C0"/>
        </w:rPr>
        <w:t>Yes</w:t>
      </w:r>
    </w:p>
    <w:p w14:paraId="165B0EB8" w14:textId="77777777" w:rsidR="00A35D8C" w:rsidRPr="004611B2" w:rsidRDefault="00A35D8C" w:rsidP="00A35D8C">
      <w:pPr>
        <w:pStyle w:val="BodyText"/>
        <w:rPr>
          <w:highlight w:val="yellow"/>
        </w:rPr>
      </w:pPr>
    </w:p>
    <w:p w14:paraId="3E5059EC" w14:textId="77777777" w:rsidR="00A35D8C" w:rsidRPr="004611B2" w:rsidRDefault="00A35D8C" w:rsidP="00A35D8C">
      <w:pPr>
        <w:pStyle w:val="BodyText"/>
        <w:ind w:left="309"/>
        <w:rPr>
          <w:color w:val="0070C0"/>
        </w:rPr>
      </w:pPr>
      <w:r w:rsidRPr="004611B2">
        <w:rPr>
          <w:color w:val="0070C0"/>
        </w:rPr>
        <w:t>The responses “yes” above are provided on basis that the relevant synthetic securitisation is intended to be marketed as sustainable/ESG securitisation, otherwise mandatory requirement to publish ESG disclosures should not apply.</w:t>
      </w:r>
    </w:p>
    <w:p w14:paraId="2B968B9A" w14:textId="77777777" w:rsidR="00A35D8C" w:rsidRPr="004611B2" w:rsidRDefault="00A35D8C" w:rsidP="00A35D8C">
      <w:pPr>
        <w:pStyle w:val="BodyText"/>
      </w:pPr>
    </w:p>
    <w:p w14:paraId="497656C1" w14:textId="77777777" w:rsidR="00A35D8C" w:rsidRPr="004611B2" w:rsidRDefault="00A35D8C" w:rsidP="00A35D8C">
      <w:pPr>
        <w:pStyle w:val="BodyText"/>
        <w:ind w:left="309" w:right="321"/>
        <w:jc w:val="both"/>
        <w:rPr>
          <w:b/>
          <w:bCs/>
          <w:u w:val="single"/>
        </w:rPr>
      </w:pPr>
    </w:p>
    <w:p w14:paraId="5BEB12B6" w14:textId="77777777" w:rsidR="00A35D8C" w:rsidRPr="004611B2" w:rsidRDefault="00A35D8C" w:rsidP="00A35D8C">
      <w:pPr>
        <w:pStyle w:val="BodyText"/>
        <w:ind w:left="309" w:right="321"/>
        <w:jc w:val="both"/>
      </w:pPr>
      <w:r w:rsidRPr="004611B2">
        <w:rPr>
          <w:b/>
          <w:bCs/>
          <w:u w:val="single"/>
        </w:rPr>
        <w:t>Question 6.6.</w:t>
      </w:r>
      <w:r w:rsidRPr="004611B2">
        <w:rPr>
          <w:spacing w:val="1"/>
        </w:rPr>
        <w:t xml:space="preserve"> </w:t>
      </w:r>
      <w:r w:rsidRPr="004611B2">
        <w:t>Have</w:t>
      </w:r>
      <w:r w:rsidRPr="004611B2">
        <w:rPr>
          <w:spacing w:val="1"/>
        </w:rPr>
        <w:t xml:space="preserve"> </w:t>
      </w:r>
      <w:r w:rsidRPr="004611B2">
        <w:t>you</w:t>
      </w:r>
      <w:r w:rsidRPr="004611B2">
        <w:rPr>
          <w:spacing w:val="1"/>
        </w:rPr>
        <w:t xml:space="preserve"> </w:t>
      </w:r>
      <w:r w:rsidRPr="004611B2">
        <w:t>issued</w:t>
      </w:r>
      <w:r w:rsidRPr="004611B2">
        <w:rPr>
          <w:spacing w:val="1"/>
        </w:rPr>
        <w:t xml:space="preserve"> </w:t>
      </w:r>
      <w:r w:rsidRPr="004611B2">
        <w:t>or invested in</w:t>
      </w:r>
      <w:r w:rsidRPr="004611B2">
        <w:rPr>
          <w:spacing w:val="60"/>
        </w:rPr>
        <w:t xml:space="preserve"> </w:t>
      </w:r>
      <w:r w:rsidRPr="004611B2">
        <w:t>a green</w:t>
      </w:r>
      <w:r w:rsidRPr="004611B2">
        <w:rPr>
          <w:spacing w:val="60"/>
        </w:rPr>
        <w:t xml:space="preserve"> </w:t>
      </w:r>
      <w:r w:rsidRPr="004611B2">
        <w:t>or sustainable securitisation?</w:t>
      </w:r>
      <w:r w:rsidRPr="004611B2">
        <w:rPr>
          <w:spacing w:val="60"/>
        </w:rPr>
        <w:t xml:space="preserve"> </w:t>
      </w:r>
      <w:r w:rsidRPr="004611B2">
        <w:t>If</w:t>
      </w:r>
      <w:r w:rsidRPr="004611B2">
        <w:rPr>
          <w:spacing w:val="1"/>
        </w:rPr>
        <w:t xml:space="preserve"> </w:t>
      </w:r>
      <w:r w:rsidRPr="004611B2">
        <w:t>yes, how was the green/sustainability dimension reflected in the securitisation? (</w:t>
      </w:r>
      <w:proofErr w:type="gramStart"/>
      <w:r w:rsidRPr="004611B2">
        <w:t>multiple</w:t>
      </w:r>
      <w:proofErr w:type="gramEnd"/>
      <w:r w:rsidRPr="004611B2">
        <w:rPr>
          <w:spacing w:val="1"/>
        </w:rPr>
        <w:t xml:space="preserve"> </w:t>
      </w:r>
      <w:r w:rsidRPr="004611B2">
        <w:t>choice</w:t>
      </w:r>
      <w:r w:rsidRPr="004611B2">
        <w:rPr>
          <w:spacing w:val="-2"/>
        </w:rPr>
        <w:t xml:space="preserve"> </w:t>
      </w:r>
      <w:r w:rsidRPr="004611B2">
        <w:t>accepted)</w:t>
      </w:r>
    </w:p>
    <w:p w14:paraId="6439BFD5" w14:textId="77777777" w:rsidR="00A35D8C" w:rsidRDefault="00A35D8C" w:rsidP="00A35D8C">
      <w:pPr>
        <w:pStyle w:val="BodyText"/>
        <w:spacing w:before="10"/>
      </w:pPr>
    </w:p>
    <w:p w14:paraId="168147EA" w14:textId="77777777" w:rsidR="00A35D8C" w:rsidRPr="004611B2" w:rsidRDefault="00A35D8C" w:rsidP="00A35D8C">
      <w:pPr>
        <w:pStyle w:val="BodyText"/>
        <w:spacing w:before="10"/>
      </w:pPr>
    </w:p>
    <w:tbl>
      <w:tblPr>
        <w:tblStyle w:val="TableGrid"/>
        <w:tblpPr w:leftFromText="180" w:rightFromText="180" w:vertAnchor="text" w:horzAnchor="margin" w:tblpX="279" w:tblpY="-31"/>
        <w:tblW w:w="0" w:type="auto"/>
        <w:tblLook w:val="04A0" w:firstRow="1" w:lastRow="0" w:firstColumn="1" w:lastColumn="0" w:noHBand="0" w:noVBand="1"/>
      </w:tblPr>
      <w:tblGrid>
        <w:gridCol w:w="2561"/>
        <w:gridCol w:w="875"/>
        <w:gridCol w:w="5914"/>
      </w:tblGrid>
      <w:tr w:rsidR="00A35D8C" w:rsidRPr="004611B2" w14:paraId="4DB88980" w14:textId="77777777" w:rsidTr="00BA1BE7">
        <w:tc>
          <w:tcPr>
            <w:tcW w:w="2616" w:type="dxa"/>
          </w:tcPr>
          <w:p w14:paraId="78B0A74F" w14:textId="77777777" w:rsidR="00A35D8C" w:rsidRPr="004611B2" w:rsidRDefault="00A35D8C" w:rsidP="00BA1BE7">
            <w:pPr>
              <w:pStyle w:val="BodyText"/>
              <w:ind w:left="592"/>
            </w:pPr>
          </w:p>
        </w:tc>
        <w:tc>
          <w:tcPr>
            <w:tcW w:w="236" w:type="dxa"/>
          </w:tcPr>
          <w:p w14:paraId="2C0F7098" w14:textId="77777777" w:rsidR="00A35D8C" w:rsidRPr="004611B2" w:rsidRDefault="00A35D8C" w:rsidP="00BA1BE7">
            <w:pPr>
              <w:pStyle w:val="BodyText"/>
              <w:spacing w:before="1"/>
              <w:ind w:right="316"/>
              <w:jc w:val="both"/>
              <w:rPr>
                <w:color w:val="0070C0"/>
              </w:rPr>
            </w:pPr>
          </w:p>
        </w:tc>
        <w:tc>
          <w:tcPr>
            <w:tcW w:w="6388" w:type="dxa"/>
          </w:tcPr>
          <w:p w14:paraId="675F4A76" w14:textId="77777777" w:rsidR="00A35D8C" w:rsidRPr="004611B2" w:rsidRDefault="00A35D8C" w:rsidP="00BA1BE7">
            <w:pPr>
              <w:pStyle w:val="BodyText"/>
              <w:spacing w:before="1"/>
              <w:ind w:right="316"/>
              <w:jc w:val="both"/>
              <w:rPr>
                <w:color w:val="0070C0"/>
              </w:rPr>
            </w:pPr>
            <w:r w:rsidRPr="004611B2">
              <w:t>Please describe how</w:t>
            </w:r>
            <w:r w:rsidRPr="004611B2">
              <w:rPr>
                <w:spacing w:val="1"/>
              </w:rPr>
              <w:t xml:space="preserve"> </w:t>
            </w:r>
            <w:r w:rsidRPr="004611B2">
              <w:t>the use of proceeds principle</w:t>
            </w:r>
            <w:r w:rsidRPr="004611B2">
              <w:rPr>
                <w:spacing w:val="-1"/>
              </w:rPr>
              <w:t xml:space="preserve"> </w:t>
            </w:r>
            <w:r w:rsidRPr="004611B2">
              <w:t xml:space="preserve">is applied </w:t>
            </w:r>
            <w:r w:rsidRPr="004611B2">
              <w:rPr>
                <w:b/>
                <w:bCs/>
                <w:color w:val="0070C0"/>
              </w:rPr>
              <w:t>- Examples</w:t>
            </w:r>
          </w:p>
        </w:tc>
      </w:tr>
      <w:tr w:rsidR="00A35D8C" w:rsidRPr="004611B2" w14:paraId="7CA968A5" w14:textId="77777777" w:rsidTr="00BA1BE7">
        <w:trPr>
          <w:trHeight w:val="558"/>
        </w:trPr>
        <w:tc>
          <w:tcPr>
            <w:tcW w:w="2616" w:type="dxa"/>
          </w:tcPr>
          <w:p w14:paraId="3B7FDE46" w14:textId="77777777" w:rsidR="00A35D8C" w:rsidRPr="004D44C7" w:rsidRDefault="00A35D8C" w:rsidP="00BA1BE7">
            <w:pPr>
              <w:pStyle w:val="BodyText"/>
              <w:ind w:firstLine="22"/>
              <w:rPr>
                <w:color w:val="0070C0"/>
              </w:rPr>
            </w:pPr>
            <w:r w:rsidRPr="004D44C7">
              <w:t>Green</w:t>
            </w:r>
            <w:r w:rsidRPr="004D44C7">
              <w:rPr>
                <w:spacing w:val="-4"/>
              </w:rPr>
              <w:t xml:space="preserve"> </w:t>
            </w:r>
            <w:r w:rsidRPr="004D44C7">
              <w:t>or</w:t>
            </w:r>
            <w:r w:rsidRPr="004D44C7">
              <w:rPr>
                <w:spacing w:val="-4"/>
              </w:rPr>
              <w:t xml:space="preserve"> </w:t>
            </w:r>
            <w:r w:rsidRPr="004D44C7">
              <w:t>sustainable</w:t>
            </w:r>
            <w:r w:rsidRPr="004D44C7">
              <w:rPr>
                <w:spacing w:val="-4"/>
              </w:rPr>
              <w:t xml:space="preserve"> </w:t>
            </w:r>
            <w:r w:rsidRPr="004D44C7">
              <w:t>underlying</w:t>
            </w:r>
            <w:r w:rsidRPr="004D44C7">
              <w:rPr>
                <w:spacing w:val="-4"/>
              </w:rPr>
              <w:t xml:space="preserve"> </w:t>
            </w:r>
            <w:r w:rsidRPr="004D44C7">
              <w:t>assets</w:t>
            </w:r>
          </w:p>
        </w:tc>
        <w:tc>
          <w:tcPr>
            <w:tcW w:w="236" w:type="dxa"/>
          </w:tcPr>
          <w:p w14:paraId="337EF70D" w14:textId="77777777" w:rsidR="00A35D8C" w:rsidRPr="004611B2" w:rsidRDefault="00A35D8C" w:rsidP="00BA1BE7">
            <w:pPr>
              <w:pStyle w:val="BodyText"/>
              <w:spacing w:before="1"/>
              <w:ind w:right="316"/>
              <w:rPr>
                <w:color w:val="0070C0"/>
              </w:rPr>
            </w:pPr>
            <w:r w:rsidRPr="004611B2">
              <w:rPr>
                <w:color w:val="0070C0"/>
              </w:rPr>
              <w:t>Yes</w:t>
            </w:r>
          </w:p>
        </w:tc>
        <w:tc>
          <w:tcPr>
            <w:tcW w:w="6388" w:type="dxa"/>
          </w:tcPr>
          <w:p w14:paraId="28D87C79" w14:textId="77777777" w:rsidR="00A35D8C" w:rsidRPr="00077E06" w:rsidRDefault="00A35D8C" w:rsidP="00A35D8C">
            <w:pPr>
              <w:pStyle w:val="BodyText"/>
              <w:widowControl/>
              <w:numPr>
                <w:ilvl w:val="0"/>
                <w:numId w:val="6"/>
              </w:numPr>
              <w:adjustRightInd w:val="0"/>
              <w:spacing w:before="1"/>
              <w:ind w:left="154" w:right="316" w:hanging="179"/>
              <w:jc w:val="both"/>
              <w:rPr>
                <w:rFonts w:eastAsiaTheme="minorHAnsi"/>
                <w:color w:val="0070C0"/>
                <w:sz w:val="20"/>
                <w:szCs w:val="20"/>
                <w:lang/>
              </w:rPr>
            </w:pPr>
            <w:proofErr w:type="spellStart"/>
            <w:r w:rsidRPr="00077E06">
              <w:rPr>
                <w:rFonts w:eastAsiaTheme="minorHAnsi"/>
                <w:b/>
                <w:bCs/>
                <w:color w:val="0070C0"/>
                <w:sz w:val="20"/>
                <w:szCs w:val="20"/>
                <w:u w:val="single"/>
                <w:lang w:val="fr-FR"/>
              </w:rPr>
              <w:t>Underlying</w:t>
            </w:r>
            <w:proofErr w:type="spellEnd"/>
            <w:r w:rsidRPr="00077E06">
              <w:rPr>
                <w:rFonts w:eastAsiaTheme="minorHAnsi"/>
                <w:b/>
                <w:bCs/>
                <w:color w:val="0070C0"/>
                <w:sz w:val="20"/>
                <w:szCs w:val="20"/>
                <w:u w:val="single"/>
                <w:lang w:val="fr-FR"/>
              </w:rPr>
              <w:t xml:space="preserve"> g</w:t>
            </w:r>
            <w:r w:rsidRPr="00077E06">
              <w:rPr>
                <w:rFonts w:eastAsiaTheme="minorHAnsi"/>
                <w:b/>
                <w:bCs/>
                <w:color w:val="0070C0"/>
                <w:sz w:val="20"/>
                <w:szCs w:val="20"/>
                <w:u w:val="single"/>
                <w:lang/>
              </w:rPr>
              <w:t>reen assets</w:t>
            </w:r>
            <w:r w:rsidRPr="00077E06">
              <w:rPr>
                <w:rFonts w:eastAsiaTheme="minorHAnsi"/>
                <w:color w:val="0070C0"/>
                <w:sz w:val="20"/>
                <w:szCs w:val="20"/>
                <w:lang/>
              </w:rPr>
              <w:t xml:space="preserve"> can include physical assets and financial assets such as loans and</w:t>
            </w:r>
            <w:r w:rsidRPr="00077E06">
              <w:rPr>
                <w:rFonts w:eastAsiaTheme="minorHAnsi"/>
                <w:color w:val="0070C0"/>
                <w:sz w:val="20"/>
                <w:szCs w:val="20"/>
                <w:lang w:val="fr-FR"/>
              </w:rPr>
              <w:t xml:space="preserve"> </w:t>
            </w:r>
            <w:r w:rsidRPr="00077E06">
              <w:rPr>
                <w:rFonts w:eastAsiaTheme="minorHAnsi"/>
                <w:color w:val="0070C0"/>
                <w:sz w:val="20"/>
                <w:szCs w:val="20"/>
                <w:lang/>
              </w:rPr>
              <w:t>trade receivables.</w:t>
            </w:r>
          </w:p>
          <w:p w14:paraId="142C0421" w14:textId="77777777" w:rsidR="00A35D8C" w:rsidRPr="00077E06" w:rsidRDefault="00A35D8C" w:rsidP="00A35D8C">
            <w:pPr>
              <w:pStyle w:val="BodyText"/>
              <w:numPr>
                <w:ilvl w:val="0"/>
                <w:numId w:val="6"/>
              </w:numPr>
              <w:spacing w:before="1"/>
              <w:ind w:left="154" w:right="316" w:hanging="179"/>
              <w:jc w:val="both"/>
              <w:rPr>
                <w:color w:val="0070C0"/>
                <w:sz w:val="20"/>
                <w:szCs w:val="20"/>
              </w:rPr>
            </w:pPr>
            <w:r w:rsidRPr="00077E06">
              <w:rPr>
                <w:rFonts w:eastAsiaTheme="minorHAnsi"/>
                <w:color w:val="0070C0"/>
                <w:sz w:val="20"/>
                <w:szCs w:val="20"/>
                <w:lang/>
              </w:rPr>
              <w:t>Green assets can be tangible or intangible, and they can include the share of working capital that can reasonably be attributed to their operation</w:t>
            </w:r>
            <w:r w:rsidRPr="00077E06">
              <w:rPr>
                <w:rFonts w:eastAsiaTheme="minorHAnsi"/>
                <w:color w:val="FFFFFF"/>
                <w:sz w:val="20"/>
                <w:szCs w:val="20"/>
                <w:lang/>
              </w:rPr>
              <w:t>.</w:t>
            </w:r>
          </w:p>
          <w:p w14:paraId="77A7151D" w14:textId="77777777" w:rsidR="00A35D8C" w:rsidRPr="00077E06" w:rsidRDefault="00A35D8C" w:rsidP="00A35D8C">
            <w:pPr>
              <w:pStyle w:val="BodyText"/>
              <w:numPr>
                <w:ilvl w:val="0"/>
                <w:numId w:val="6"/>
              </w:numPr>
              <w:spacing w:before="1"/>
              <w:ind w:left="154" w:right="316" w:hanging="179"/>
              <w:jc w:val="both"/>
              <w:rPr>
                <w:color w:val="0070C0"/>
                <w:sz w:val="20"/>
                <w:szCs w:val="20"/>
              </w:rPr>
            </w:pPr>
            <w:r w:rsidRPr="00077E06">
              <w:rPr>
                <w:color w:val="0070C0"/>
                <w:sz w:val="20"/>
                <w:szCs w:val="20"/>
              </w:rPr>
              <w:t>Ex: Underlying loans complying with ICMA or LMA standards for sustainable loans</w:t>
            </w:r>
          </w:p>
          <w:p w14:paraId="5FE20367" w14:textId="77777777" w:rsidR="00A35D8C" w:rsidRPr="00077E06" w:rsidRDefault="00A35D8C" w:rsidP="00A35D8C">
            <w:pPr>
              <w:pStyle w:val="BodyText"/>
              <w:widowControl/>
              <w:numPr>
                <w:ilvl w:val="0"/>
                <w:numId w:val="6"/>
              </w:numPr>
              <w:adjustRightInd w:val="0"/>
              <w:spacing w:before="1"/>
              <w:ind w:left="154" w:right="316" w:hanging="179"/>
              <w:jc w:val="both"/>
              <w:rPr>
                <w:rFonts w:eastAsiaTheme="minorHAnsi"/>
                <w:color w:val="0070C0"/>
                <w:sz w:val="20"/>
                <w:szCs w:val="20"/>
                <w:lang/>
              </w:rPr>
            </w:pPr>
            <w:r w:rsidRPr="00077E06">
              <w:rPr>
                <w:color w:val="0070C0"/>
                <w:sz w:val="20"/>
                <w:szCs w:val="20"/>
              </w:rPr>
              <w:t>Ex: M</w:t>
            </w:r>
            <w:r w:rsidRPr="00077E06">
              <w:rPr>
                <w:rFonts w:eastAsiaTheme="minorHAnsi"/>
                <w:color w:val="0070C0"/>
                <w:sz w:val="20"/>
                <w:szCs w:val="20"/>
                <w:lang/>
              </w:rPr>
              <w:t>ortgages to</w:t>
            </w:r>
            <w:r w:rsidRPr="00077E06">
              <w:rPr>
                <w:rFonts w:eastAsiaTheme="minorHAnsi"/>
                <w:color w:val="0070C0"/>
                <w:sz w:val="20"/>
                <w:szCs w:val="20"/>
                <w:lang w:val="fr-FR"/>
              </w:rPr>
              <w:t xml:space="preserve"> </w:t>
            </w:r>
            <w:r w:rsidRPr="00077E06">
              <w:rPr>
                <w:rFonts w:eastAsiaTheme="minorHAnsi"/>
                <w:color w:val="0070C0"/>
                <w:sz w:val="20"/>
                <w:szCs w:val="20"/>
                <w:lang/>
              </w:rPr>
              <w:t>finance energy-efficient homes, electric vehicle loans/leases, solar panel leases</w:t>
            </w:r>
            <w:r w:rsidRPr="00077E06">
              <w:rPr>
                <w:rFonts w:eastAsiaTheme="minorHAnsi"/>
                <w:color w:val="0070C0"/>
                <w:sz w:val="20"/>
                <w:szCs w:val="20"/>
                <w:lang w:val="fr-FR"/>
              </w:rPr>
              <w:t xml:space="preserve">, </w:t>
            </w:r>
            <w:r w:rsidRPr="00077E06">
              <w:rPr>
                <w:rFonts w:eastAsiaTheme="minorHAnsi"/>
                <w:color w:val="0070C0"/>
                <w:sz w:val="20"/>
                <w:szCs w:val="20"/>
                <w:lang/>
              </w:rPr>
              <w:t>SME loans to fund environmental projects, etc.</w:t>
            </w:r>
          </w:p>
        </w:tc>
      </w:tr>
      <w:tr w:rsidR="00A35D8C" w:rsidRPr="004611B2" w14:paraId="7735AE98" w14:textId="77777777" w:rsidTr="00BA1BE7">
        <w:tc>
          <w:tcPr>
            <w:tcW w:w="2616" w:type="dxa"/>
          </w:tcPr>
          <w:p w14:paraId="0A20872B" w14:textId="77777777" w:rsidR="00A35D8C" w:rsidRPr="004D44C7" w:rsidRDefault="00A35D8C" w:rsidP="00BA1BE7">
            <w:pPr>
              <w:pStyle w:val="BodyText"/>
              <w:spacing w:before="1"/>
              <w:ind w:right="316"/>
              <w:rPr>
                <w:color w:val="0070C0"/>
              </w:rPr>
            </w:pPr>
            <w:r w:rsidRPr="004D44C7">
              <w:t>Use of proceeds</w:t>
            </w:r>
            <w:r w:rsidRPr="004D44C7">
              <w:rPr>
                <w:spacing w:val="1"/>
              </w:rPr>
              <w:t xml:space="preserve"> </w:t>
            </w:r>
            <w:r w:rsidRPr="004D44C7">
              <w:t>for</w:t>
            </w:r>
            <w:r w:rsidRPr="004D44C7">
              <w:rPr>
                <w:spacing w:val="1"/>
              </w:rPr>
              <w:t xml:space="preserve"> </w:t>
            </w:r>
            <w:r w:rsidRPr="004D44C7">
              <w:t>green/sustainable projects.</w:t>
            </w:r>
          </w:p>
        </w:tc>
        <w:tc>
          <w:tcPr>
            <w:tcW w:w="236" w:type="dxa"/>
          </w:tcPr>
          <w:p w14:paraId="1CEE2E9A" w14:textId="77777777" w:rsidR="00A35D8C" w:rsidRPr="004611B2" w:rsidRDefault="00A35D8C" w:rsidP="00BA1BE7">
            <w:pPr>
              <w:pStyle w:val="BodyText"/>
              <w:spacing w:before="1"/>
              <w:ind w:right="316"/>
              <w:rPr>
                <w:color w:val="0070C0"/>
              </w:rPr>
            </w:pPr>
            <w:r w:rsidRPr="004611B2">
              <w:rPr>
                <w:color w:val="0070C0"/>
              </w:rPr>
              <w:t>Yes</w:t>
            </w:r>
          </w:p>
        </w:tc>
        <w:tc>
          <w:tcPr>
            <w:tcW w:w="6388" w:type="dxa"/>
          </w:tcPr>
          <w:p w14:paraId="787E8356" w14:textId="77777777" w:rsidR="00A35D8C" w:rsidRPr="004D44C7" w:rsidRDefault="00A35D8C" w:rsidP="00A35D8C">
            <w:pPr>
              <w:pStyle w:val="BodyText"/>
              <w:numPr>
                <w:ilvl w:val="0"/>
                <w:numId w:val="4"/>
              </w:numPr>
              <w:spacing w:before="1"/>
              <w:ind w:left="154" w:right="316" w:hanging="179"/>
              <w:jc w:val="both"/>
              <w:rPr>
                <w:color w:val="0070C0"/>
                <w:sz w:val="20"/>
                <w:szCs w:val="20"/>
              </w:rPr>
            </w:pPr>
            <w:r w:rsidRPr="004D44C7">
              <w:rPr>
                <w:b/>
                <w:bCs/>
                <w:color w:val="0070C0"/>
                <w:sz w:val="20"/>
                <w:szCs w:val="20"/>
                <w:u w:val="single"/>
              </w:rPr>
              <w:t>Underlying brown assets</w:t>
            </w:r>
            <w:r w:rsidRPr="004D44C7">
              <w:rPr>
                <w:color w:val="0070C0"/>
                <w:sz w:val="20"/>
                <w:szCs w:val="20"/>
              </w:rPr>
              <w:t xml:space="preserve">, but the use of proceeds </w:t>
            </w:r>
            <w:proofErr w:type="gramStart"/>
            <w:r w:rsidRPr="004D44C7">
              <w:rPr>
                <w:color w:val="0070C0"/>
                <w:sz w:val="20"/>
                <w:szCs w:val="20"/>
              </w:rPr>
              <w:t>raised</w:t>
            </w:r>
            <w:proofErr w:type="gramEnd"/>
            <w:r w:rsidRPr="004D44C7">
              <w:rPr>
                <w:color w:val="0070C0"/>
                <w:sz w:val="20"/>
                <w:szCs w:val="20"/>
              </w:rPr>
              <w:t xml:space="preserve"> or the </w:t>
            </w:r>
            <w:r w:rsidRPr="004D44C7">
              <w:rPr>
                <w:b/>
                <w:bCs/>
                <w:color w:val="0070C0"/>
                <w:sz w:val="20"/>
                <w:szCs w:val="20"/>
              </w:rPr>
              <w:t xml:space="preserve">capital/liquidity relief </w:t>
            </w:r>
            <w:r w:rsidRPr="004D44C7">
              <w:rPr>
                <w:color w:val="0070C0"/>
                <w:sz w:val="20"/>
                <w:szCs w:val="20"/>
              </w:rPr>
              <w:t>generated is applied for green purposes and/or the originator has strong credentials generally</w:t>
            </w:r>
            <w:r w:rsidRPr="004D44C7">
              <w:rPr>
                <w:rFonts w:eastAsiaTheme="minorHAnsi"/>
                <w:color w:val="000000"/>
                <w:sz w:val="20"/>
                <w:szCs w:val="20"/>
                <w:lang/>
              </w:rPr>
              <w:t xml:space="preserve"> </w:t>
            </w:r>
          </w:p>
          <w:p w14:paraId="28817FB1" w14:textId="77777777" w:rsidR="00A35D8C" w:rsidRPr="00077E06" w:rsidRDefault="00A35D8C" w:rsidP="00A35D8C">
            <w:pPr>
              <w:pStyle w:val="BodyText"/>
              <w:numPr>
                <w:ilvl w:val="0"/>
                <w:numId w:val="4"/>
              </w:numPr>
              <w:spacing w:before="1"/>
              <w:ind w:left="154" w:right="316" w:hanging="179"/>
              <w:jc w:val="both"/>
              <w:rPr>
                <w:color w:val="0070C0"/>
                <w:sz w:val="20"/>
                <w:szCs w:val="20"/>
              </w:rPr>
            </w:pPr>
            <w:r w:rsidRPr="00077E06">
              <w:rPr>
                <w:color w:val="0070C0"/>
                <w:sz w:val="20"/>
                <w:szCs w:val="20"/>
              </w:rPr>
              <w:t xml:space="preserve">Ex: Referencing an existing SME portfolio (brown), but commit to reinvest </w:t>
            </w:r>
            <w:proofErr w:type="gramStart"/>
            <w:r w:rsidRPr="00077E06">
              <w:rPr>
                <w:color w:val="0070C0"/>
                <w:sz w:val="20"/>
                <w:szCs w:val="20"/>
              </w:rPr>
              <w:t>a majority of</w:t>
            </w:r>
            <w:proofErr w:type="gramEnd"/>
            <w:r w:rsidRPr="00077E06">
              <w:rPr>
                <w:color w:val="0070C0"/>
                <w:sz w:val="20"/>
                <w:szCs w:val="20"/>
              </w:rPr>
              <w:t xml:space="preserve"> the </w:t>
            </w:r>
            <w:r w:rsidRPr="00077E06">
              <w:rPr>
                <w:b/>
                <w:bCs/>
                <w:color w:val="0070C0"/>
                <w:sz w:val="20"/>
                <w:szCs w:val="20"/>
              </w:rPr>
              <w:t>proceeds</w:t>
            </w:r>
            <w:r w:rsidRPr="00077E06">
              <w:rPr>
                <w:color w:val="0070C0"/>
                <w:sz w:val="20"/>
                <w:szCs w:val="20"/>
              </w:rPr>
              <w:t xml:space="preserve"> to taxonomy-aligned investments </w:t>
            </w:r>
          </w:p>
          <w:p w14:paraId="0B0C701D" w14:textId="77777777" w:rsidR="00A35D8C" w:rsidRPr="00077E06" w:rsidRDefault="00A35D8C" w:rsidP="00A35D8C">
            <w:pPr>
              <w:pStyle w:val="BodyText"/>
              <w:numPr>
                <w:ilvl w:val="0"/>
                <w:numId w:val="4"/>
              </w:numPr>
              <w:spacing w:before="1"/>
              <w:ind w:left="154" w:right="316" w:hanging="179"/>
              <w:jc w:val="both"/>
              <w:rPr>
                <w:color w:val="0070C0"/>
                <w:sz w:val="20"/>
                <w:szCs w:val="20"/>
              </w:rPr>
            </w:pPr>
            <w:r w:rsidRPr="00077E06">
              <w:rPr>
                <w:color w:val="0070C0"/>
                <w:sz w:val="20"/>
                <w:szCs w:val="20"/>
              </w:rPr>
              <w:t xml:space="preserve">Ex: Commit that 25% of the </w:t>
            </w:r>
            <w:r w:rsidRPr="00077E06">
              <w:rPr>
                <w:b/>
                <w:bCs/>
                <w:color w:val="0070C0"/>
                <w:sz w:val="20"/>
                <w:szCs w:val="20"/>
              </w:rPr>
              <w:t>RWA reduction</w:t>
            </w:r>
            <w:r w:rsidRPr="00077E06">
              <w:rPr>
                <w:color w:val="0070C0"/>
                <w:sz w:val="20"/>
                <w:szCs w:val="20"/>
              </w:rPr>
              <w:t xml:space="preserve"> will be used to spur new Positive Impact financing over the next three years</w:t>
            </w:r>
          </w:p>
        </w:tc>
      </w:tr>
      <w:tr w:rsidR="00A35D8C" w:rsidRPr="004611B2" w14:paraId="2787D4FD" w14:textId="77777777" w:rsidTr="00BA1BE7">
        <w:tc>
          <w:tcPr>
            <w:tcW w:w="2616" w:type="dxa"/>
          </w:tcPr>
          <w:p w14:paraId="617807E9" w14:textId="77777777" w:rsidR="00A35D8C" w:rsidRPr="00191208" w:rsidRDefault="00A35D8C" w:rsidP="00BA1BE7">
            <w:pPr>
              <w:pStyle w:val="BodyText"/>
              <w:spacing w:before="1"/>
              <w:ind w:right="316"/>
              <w:rPr>
                <w:color w:val="0070C0"/>
              </w:rPr>
            </w:pPr>
            <w:r w:rsidRPr="00191208">
              <w:t>Green/sustainable collateral AND</w:t>
            </w:r>
            <w:r w:rsidRPr="00191208">
              <w:rPr>
                <w:spacing w:val="1"/>
              </w:rPr>
              <w:t xml:space="preserve"> </w:t>
            </w:r>
            <w:r w:rsidRPr="00191208">
              <w:t>use</w:t>
            </w:r>
            <w:r w:rsidRPr="00191208">
              <w:rPr>
                <w:spacing w:val="-2"/>
              </w:rPr>
              <w:t xml:space="preserve"> </w:t>
            </w:r>
            <w:r w:rsidRPr="00191208">
              <w:t>of</w:t>
            </w:r>
            <w:r w:rsidRPr="00191208">
              <w:rPr>
                <w:spacing w:val="-1"/>
              </w:rPr>
              <w:t xml:space="preserve"> </w:t>
            </w:r>
            <w:r w:rsidRPr="00191208">
              <w:t>proceeds</w:t>
            </w:r>
            <w:r w:rsidRPr="00191208">
              <w:rPr>
                <w:spacing w:val="2"/>
              </w:rPr>
              <w:t xml:space="preserve"> </w:t>
            </w:r>
            <w:r w:rsidRPr="00191208">
              <w:t>for green/ sustainable</w:t>
            </w:r>
            <w:r w:rsidRPr="00191208">
              <w:rPr>
                <w:spacing w:val="1"/>
              </w:rPr>
              <w:t xml:space="preserve"> </w:t>
            </w:r>
            <w:r w:rsidRPr="00191208">
              <w:t>projects</w:t>
            </w:r>
          </w:p>
        </w:tc>
        <w:tc>
          <w:tcPr>
            <w:tcW w:w="236" w:type="dxa"/>
          </w:tcPr>
          <w:p w14:paraId="54D457E0" w14:textId="77777777" w:rsidR="00A35D8C" w:rsidRPr="00191208" w:rsidRDefault="00A35D8C" w:rsidP="00BA1BE7">
            <w:pPr>
              <w:pStyle w:val="BodyText"/>
              <w:spacing w:before="1"/>
              <w:ind w:right="316"/>
              <w:rPr>
                <w:color w:val="0070C0"/>
              </w:rPr>
            </w:pPr>
            <w:r w:rsidRPr="00191208">
              <w:rPr>
                <w:color w:val="0070C0"/>
              </w:rPr>
              <w:t>No</w:t>
            </w:r>
          </w:p>
        </w:tc>
        <w:tc>
          <w:tcPr>
            <w:tcW w:w="6388" w:type="dxa"/>
          </w:tcPr>
          <w:p w14:paraId="713C0B3B" w14:textId="77777777" w:rsidR="00A35D8C" w:rsidRPr="00077E06" w:rsidRDefault="00A35D8C" w:rsidP="00BA1BE7">
            <w:pPr>
              <w:pStyle w:val="BodyText"/>
              <w:spacing w:before="1"/>
              <w:ind w:right="316" w:hanging="179"/>
              <w:jc w:val="both"/>
              <w:rPr>
                <w:color w:val="0070C0"/>
                <w:sz w:val="20"/>
                <w:szCs w:val="20"/>
              </w:rPr>
            </w:pPr>
          </w:p>
        </w:tc>
      </w:tr>
      <w:tr w:rsidR="00A35D8C" w:rsidRPr="004611B2" w14:paraId="0382D9D6" w14:textId="77777777" w:rsidTr="00BA1BE7">
        <w:trPr>
          <w:trHeight w:val="876"/>
        </w:trPr>
        <w:tc>
          <w:tcPr>
            <w:tcW w:w="2616" w:type="dxa"/>
          </w:tcPr>
          <w:p w14:paraId="2102BFCF" w14:textId="77777777" w:rsidR="00A35D8C" w:rsidRPr="004D44C7" w:rsidRDefault="00A35D8C" w:rsidP="00BA1BE7">
            <w:pPr>
              <w:pStyle w:val="BodyText"/>
              <w:spacing w:before="1"/>
              <w:ind w:left="592" w:hanging="570"/>
            </w:pPr>
            <w:r w:rsidRPr="004D44C7">
              <w:t>Other</w:t>
            </w:r>
            <w:r w:rsidRPr="004D44C7">
              <w:rPr>
                <w:spacing w:val="-3"/>
              </w:rPr>
              <w:t xml:space="preserve"> </w:t>
            </w:r>
            <w:r w:rsidRPr="004D44C7">
              <w:t>(please</w:t>
            </w:r>
            <w:r w:rsidRPr="004D44C7">
              <w:rPr>
                <w:spacing w:val="-4"/>
              </w:rPr>
              <w:t xml:space="preserve"> </w:t>
            </w:r>
            <w:r w:rsidRPr="004D44C7">
              <w:t>describe)</w:t>
            </w:r>
          </w:p>
          <w:p w14:paraId="01853022" w14:textId="77777777" w:rsidR="00A35D8C" w:rsidRPr="004D44C7" w:rsidRDefault="00A35D8C" w:rsidP="00BA1BE7">
            <w:pPr>
              <w:pStyle w:val="BodyText"/>
              <w:spacing w:before="1"/>
              <w:ind w:left="22"/>
              <w:rPr>
                <w:color w:val="0070C0"/>
              </w:rPr>
            </w:pPr>
            <w:r w:rsidRPr="004D44C7">
              <w:rPr>
                <w:color w:val="0070C0"/>
              </w:rPr>
              <w:t>Sustainability-linked securitisations</w:t>
            </w:r>
          </w:p>
        </w:tc>
        <w:tc>
          <w:tcPr>
            <w:tcW w:w="236" w:type="dxa"/>
          </w:tcPr>
          <w:p w14:paraId="6D944A36" w14:textId="77777777" w:rsidR="00A35D8C" w:rsidRPr="004611B2" w:rsidRDefault="00A35D8C" w:rsidP="00BA1BE7">
            <w:pPr>
              <w:pStyle w:val="BodyText"/>
              <w:spacing w:before="1"/>
              <w:ind w:right="316"/>
              <w:rPr>
                <w:color w:val="0070C0"/>
              </w:rPr>
            </w:pPr>
            <w:r w:rsidRPr="004611B2">
              <w:rPr>
                <w:color w:val="0070C0"/>
              </w:rPr>
              <w:t>Yes</w:t>
            </w:r>
          </w:p>
        </w:tc>
        <w:tc>
          <w:tcPr>
            <w:tcW w:w="6388" w:type="dxa"/>
          </w:tcPr>
          <w:p w14:paraId="6CEFECDB" w14:textId="77777777" w:rsidR="00A35D8C" w:rsidRPr="00077E06" w:rsidRDefault="00A35D8C" w:rsidP="00A35D8C">
            <w:pPr>
              <w:pStyle w:val="BodyText"/>
              <w:numPr>
                <w:ilvl w:val="0"/>
                <w:numId w:val="4"/>
              </w:numPr>
              <w:spacing w:before="1"/>
              <w:ind w:left="154" w:right="316" w:hanging="179"/>
              <w:jc w:val="both"/>
              <w:rPr>
                <w:color w:val="0070C0"/>
                <w:sz w:val="20"/>
                <w:szCs w:val="20"/>
              </w:rPr>
            </w:pPr>
            <w:r w:rsidRPr="00077E06">
              <w:rPr>
                <w:b/>
                <w:bCs/>
                <w:color w:val="0070C0"/>
                <w:sz w:val="20"/>
                <w:szCs w:val="20"/>
                <w:u w:val="single"/>
              </w:rPr>
              <w:t>Underlying transitional assets</w:t>
            </w:r>
            <w:r w:rsidRPr="00077E06">
              <w:rPr>
                <w:color w:val="0070C0"/>
                <w:sz w:val="20"/>
                <w:szCs w:val="20"/>
              </w:rPr>
              <w:t xml:space="preserve"> but the structure of the transaction or the terms of the bonds are more favourable if ESG KPIs related to the issuer and/or the underlying assets are met</w:t>
            </w:r>
          </w:p>
          <w:p w14:paraId="4B5E80DF" w14:textId="77777777" w:rsidR="00A35D8C" w:rsidRPr="00077E06" w:rsidRDefault="00A35D8C" w:rsidP="00A35D8C">
            <w:pPr>
              <w:pStyle w:val="BodyText"/>
              <w:numPr>
                <w:ilvl w:val="0"/>
                <w:numId w:val="4"/>
              </w:numPr>
              <w:spacing w:before="1"/>
              <w:ind w:left="154" w:right="316" w:hanging="179"/>
              <w:jc w:val="both"/>
              <w:rPr>
                <w:color w:val="0070C0"/>
                <w:sz w:val="20"/>
                <w:szCs w:val="20"/>
              </w:rPr>
            </w:pPr>
            <w:r w:rsidRPr="00077E06">
              <w:rPr>
                <w:color w:val="0070C0"/>
                <w:sz w:val="20"/>
                <w:szCs w:val="20"/>
              </w:rPr>
              <w:t xml:space="preserve">Ex: If the Bank can redeploy twice more of the RWA reduction towards positive impact projects after 4 years, the coupon is reduced, creating an </w:t>
            </w:r>
            <w:r w:rsidRPr="00077E06">
              <w:rPr>
                <w:b/>
                <w:bCs/>
                <w:color w:val="0070C0"/>
                <w:sz w:val="20"/>
                <w:szCs w:val="20"/>
              </w:rPr>
              <w:t>incentive for additional Positive Impact Finance</w:t>
            </w:r>
            <w:r w:rsidRPr="00077E06">
              <w:rPr>
                <w:color w:val="0070C0"/>
                <w:sz w:val="20"/>
                <w:szCs w:val="20"/>
              </w:rPr>
              <w:t xml:space="preserve"> investment.</w:t>
            </w:r>
          </w:p>
        </w:tc>
      </w:tr>
    </w:tbl>
    <w:p w14:paraId="4DEB8CA8" w14:textId="77777777" w:rsidR="00A35D8C" w:rsidRPr="004611B2" w:rsidRDefault="00A35D8C" w:rsidP="00A35D8C">
      <w:pPr>
        <w:pStyle w:val="BodyText"/>
        <w:spacing w:before="9"/>
      </w:pPr>
    </w:p>
    <w:p w14:paraId="607FDF6C" w14:textId="77777777" w:rsidR="00A35D8C" w:rsidRPr="004611B2" w:rsidRDefault="00A35D8C" w:rsidP="00A35D8C">
      <w:pPr>
        <w:pStyle w:val="BodyText"/>
        <w:numPr>
          <w:ilvl w:val="0"/>
          <w:numId w:val="4"/>
        </w:numPr>
        <w:spacing w:before="9"/>
        <w:ind w:left="720"/>
        <w:jc w:val="both"/>
        <w:rPr>
          <w:color w:val="0070C0"/>
        </w:rPr>
      </w:pPr>
      <w:r w:rsidRPr="004611B2">
        <w:rPr>
          <w:color w:val="0070C0"/>
        </w:rPr>
        <w:t xml:space="preserve">For the voluntary </w:t>
      </w:r>
      <w:r w:rsidRPr="004611B2">
        <w:rPr>
          <w:b/>
          <w:bCs/>
          <w:color w:val="0070C0"/>
        </w:rPr>
        <w:t>Green/Sustainable Securitization Standard</w:t>
      </w:r>
      <w:r w:rsidRPr="004611B2">
        <w:rPr>
          <w:color w:val="0070C0"/>
        </w:rPr>
        <w:t xml:space="preserve">, as for the Green Bond Standard, a common framework is necessary (min % of assets aligned with EU Taxonomy, mandatory third-party validation, grandfathering), to enable investors to include the % aligned with the EU Taxonomy in their GAR (by banks) or in the % of the investment fund aligned (by asset managers). </w:t>
      </w:r>
    </w:p>
    <w:p w14:paraId="24AB1CA2" w14:textId="77777777" w:rsidR="00A35D8C" w:rsidRPr="004611B2" w:rsidRDefault="00A35D8C" w:rsidP="00A35D8C">
      <w:pPr>
        <w:pStyle w:val="BodyText"/>
        <w:spacing w:before="9"/>
        <w:ind w:left="669"/>
        <w:jc w:val="both"/>
        <w:rPr>
          <w:color w:val="0070C0"/>
        </w:rPr>
      </w:pPr>
    </w:p>
    <w:p w14:paraId="537649FE" w14:textId="77777777" w:rsidR="00A35D8C" w:rsidRPr="004611B2" w:rsidRDefault="00A35D8C" w:rsidP="00A35D8C">
      <w:pPr>
        <w:pStyle w:val="BodyText"/>
        <w:numPr>
          <w:ilvl w:val="0"/>
          <w:numId w:val="4"/>
        </w:numPr>
        <w:spacing w:before="9"/>
        <w:ind w:left="720"/>
        <w:jc w:val="both"/>
        <w:rPr>
          <w:color w:val="0070C0"/>
        </w:rPr>
      </w:pPr>
      <w:r w:rsidRPr="004611B2">
        <w:rPr>
          <w:color w:val="0070C0"/>
        </w:rPr>
        <w:t xml:space="preserve">For </w:t>
      </w:r>
      <w:r w:rsidRPr="004611B2">
        <w:rPr>
          <w:b/>
          <w:bCs/>
          <w:color w:val="0070C0"/>
        </w:rPr>
        <w:t>transactions on assets that are not 100% taxonomy-aligned</w:t>
      </w:r>
      <w:r w:rsidRPr="004611B2">
        <w:rPr>
          <w:color w:val="0070C0"/>
        </w:rPr>
        <w:t xml:space="preserve">, setting a minimum on share of sustainable assets would exclude transactions based on use-of-proceeds and sustainability-linked criteria, and provide limited support and incentive for sustainable economic growth. In these early years, we need more flexibility to ensure more funding/capital is available for developing sustainable economy </w:t>
      </w:r>
      <w:proofErr w:type="gramStart"/>
      <w:r w:rsidRPr="004611B2">
        <w:rPr>
          <w:color w:val="0070C0"/>
        </w:rPr>
        <w:t>by the use of</w:t>
      </w:r>
      <w:proofErr w:type="gramEnd"/>
      <w:r w:rsidRPr="004611B2">
        <w:rPr>
          <w:color w:val="0070C0"/>
        </w:rPr>
        <w:t xml:space="preserve"> securitisations. Therefore, as far as the transaction’s characteristics are fully transparent, and disclosures are proportionate, we recommend that</w:t>
      </w:r>
    </w:p>
    <w:p w14:paraId="7C0178A0" w14:textId="77777777" w:rsidR="00A35D8C" w:rsidRPr="004611B2" w:rsidRDefault="00A35D8C" w:rsidP="00A35D8C">
      <w:pPr>
        <w:pStyle w:val="BodyText"/>
        <w:numPr>
          <w:ilvl w:val="0"/>
          <w:numId w:val="3"/>
        </w:numPr>
        <w:spacing w:before="9"/>
        <w:ind w:left="1211" w:hanging="284"/>
        <w:jc w:val="both"/>
        <w:rPr>
          <w:color w:val="0070C0"/>
        </w:rPr>
      </w:pPr>
      <w:r w:rsidRPr="004611B2">
        <w:rPr>
          <w:color w:val="0070C0"/>
        </w:rPr>
        <w:t xml:space="preserve">for securitisation with a </w:t>
      </w:r>
      <w:r w:rsidRPr="004611B2">
        <w:rPr>
          <w:b/>
          <w:bCs/>
          <w:color w:val="0070C0"/>
        </w:rPr>
        <w:t>share of sustainable assets</w:t>
      </w:r>
      <w:r w:rsidRPr="004611B2">
        <w:rPr>
          <w:color w:val="0070C0"/>
        </w:rPr>
        <w:t xml:space="preserve"> in the underlying pool, a sliding scale starting with </w:t>
      </w:r>
      <w:proofErr w:type="gramStart"/>
      <w:r w:rsidRPr="004611B2">
        <w:rPr>
          <w:color w:val="0070C0"/>
        </w:rPr>
        <w:t>e.g.</w:t>
      </w:r>
      <w:proofErr w:type="gramEnd"/>
      <w:r w:rsidRPr="004611B2">
        <w:rPr>
          <w:color w:val="0070C0"/>
        </w:rPr>
        <w:t xml:space="preserve"> 30% - 40% and gradually moving to 100%. Long-dated securitisations could in time repurchase/remove non-sustainable assets from the pool and replace them with sustainable ones to achieve higher than 40-50% during the life </w:t>
      </w:r>
      <w:r w:rsidRPr="004611B2">
        <w:rPr>
          <w:color w:val="0070C0"/>
        </w:rPr>
        <w:lastRenderedPageBreak/>
        <w:t>of the deal. Such a sliding scale would not only account for the limited availability of sustainable collateral, but also stimulate the transition</w:t>
      </w:r>
    </w:p>
    <w:p w14:paraId="5F7D8CC8" w14:textId="77777777" w:rsidR="00A35D8C" w:rsidRPr="004611B2" w:rsidRDefault="00A35D8C" w:rsidP="00A35D8C">
      <w:pPr>
        <w:pStyle w:val="BodyText"/>
        <w:numPr>
          <w:ilvl w:val="0"/>
          <w:numId w:val="3"/>
        </w:numPr>
        <w:spacing w:before="9"/>
        <w:ind w:left="1211" w:hanging="284"/>
        <w:jc w:val="both"/>
        <w:rPr>
          <w:color w:val="0070C0"/>
        </w:rPr>
      </w:pPr>
      <w:r w:rsidRPr="004611B2">
        <w:rPr>
          <w:color w:val="0070C0"/>
        </w:rPr>
        <w:t xml:space="preserve">for securitisations based on </w:t>
      </w:r>
      <w:r w:rsidRPr="004611B2">
        <w:rPr>
          <w:b/>
          <w:bCs/>
          <w:color w:val="0070C0"/>
        </w:rPr>
        <w:t>use of proceeds</w:t>
      </w:r>
      <w:r w:rsidRPr="004611B2">
        <w:rPr>
          <w:color w:val="0070C0"/>
        </w:rPr>
        <w:t xml:space="preserve">, a similar sliding share could be applied, but starting at a higher minimum level (e.g., 50%), on the proceeds used for sustainability purposes - irrespective of </w:t>
      </w:r>
      <w:proofErr w:type="gramStart"/>
      <w:r w:rsidRPr="004611B2">
        <w:rPr>
          <w:color w:val="0070C0"/>
        </w:rPr>
        <w:t>whether or not</w:t>
      </w:r>
      <w:proofErr w:type="gramEnd"/>
      <w:r w:rsidRPr="004611B2">
        <w:rPr>
          <w:color w:val="0070C0"/>
        </w:rPr>
        <w:t xml:space="preserve"> any of the underlying assets are themselves sustainable. A synthetic risk transfer deal where none of the reference obligations are sustainable should nevertheless qualify if a large and growing amount of proceeds are used for sustainable purposes.</w:t>
      </w:r>
    </w:p>
    <w:p w14:paraId="6E8EBBD4" w14:textId="77777777" w:rsidR="00A35D8C" w:rsidRPr="004611B2" w:rsidRDefault="00A35D8C" w:rsidP="00A35D8C">
      <w:pPr>
        <w:pStyle w:val="BodyText"/>
        <w:spacing w:before="9"/>
        <w:ind w:left="669"/>
        <w:jc w:val="both"/>
        <w:rPr>
          <w:color w:val="0070C0"/>
        </w:rPr>
      </w:pPr>
      <w:r w:rsidRPr="004611B2">
        <w:rPr>
          <w:color w:val="0070C0"/>
        </w:rPr>
        <w:t xml:space="preserve">The characteristics of the proposed sliding scales are to be subject to the review by the Joint Committee of </w:t>
      </w:r>
      <w:proofErr w:type="spellStart"/>
      <w:r w:rsidRPr="004611B2">
        <w:rPr>
          <w:color w:val="0070C0"/>
        </w:rPr>
        <w:t>ESAs's</w:t>
      </w:r>
      <w:proofErr w:type="spellEnd"/>
      <w:r w:rsidRPr="004611B2">
        <w:rPr>
          <w:color w:val="0070C0"/>
        </w:rPr>
        <w:t xml:space="preserve"> under Article 44 of the SECR which mandates it to report every three years, starting with 1 Jan 2021, on the functioning of the SECR regime. Article 44 should subsequently be amended to expressly mandate the Joint Committee to report on the functioning of the sustainable securitisation framework. Thus, the appropriateness of the sliding scales will be monitored and assessed from time to time. </w:t>
      </w:r>
    </w:p>
    <w:p w14:paraId="74C8B8C9" w14:textId="77777777" w:rsidR="00A35D8C" w:rsidRPr="004611B2" w:rsidRDefault="00A35D8C" w:rsidP="00A35D8C">
      <w:pPr>
        <w:pStyle w:val="BodyText"/>
        <w:spacing w:before="9"/>
        <w:ind w:left="309"/>
        <w:jc w:val="both"/>
        <w:rPr>
          <w:color w:val="0070C0"/>
        </w:rPr>
      </w:pPr>
    </w:p>
    <w:p w14:paraId="5365F220" w14:textId="77777777" w:rsidR="00A35D8C" w:rsidRPr="004611B2" w:rsidRDefault="00A35D8C" w:rsidP="00A35D8C">
      <w:pPr>
        <w:pStyle w:val="BodyText"/>
        <w:spacing w:before="9"/>
        <w:ind w:left="309"/>
        <w:jc w:val="both"/>
        <w:rPr>
          <w:color w:val="0070C0"/>
        </w:rPr>
      </w:pPr>
      <w:r w:rsidRPr="004611B2">
        <w:rPr>
          <w:color w:val="0070C0"/>
        </w:rPr>
        <w:t xml:space="preserve">In summary, we suggest to clearly differentiate between </w:t>
      </w:r>
    </w:p>
    <w:p w14:paraId="0906A040" w14:textId="77777777" w:rsidR="00A35D8C" w:rsidRPr="004611B2" w:rsidRDefault="00A35D8C" w:rsidP="00A35D8C">
      <w:pPr>
        <w:pStyle w:val="BodyText"/>
        <w:numPr>
          <w:ilvl w:val="0"/>
          <w:numId w:val="5"/>
        </w:numPr>
        <w:spacing w:before="9"/>
        <w:jc w:val="both"/>
        <w:rPr>
          <w:color w:val="0070C0"/>
        </w:rPr>
      </w:pPr>
      <w:r w:rsidRPr="004611B2">
        <w:rPr>
          <w:b/>
          <w:bCs/>
          <w:color w:val="0070C0"/>
        </w:rPr>
        <w:t>the qualification of “sustainable securitisation” as per the SECR regulations</w:t>
      </w:r>
      <w:r w:rsidRPr="004611B2">
        <w:rPr>
          <w:color w:val="0070C0"/>
        </w:rPr>
        <w:t>, which would apply to the 3 types of transactions (based on the underlying loans, on the use-of-proceeds or on the sustainability-linked incentives embedded in the loans), applicable</w:t>
      </w:r>
      <w:r w:rsidRPr="004611B2">
        <w:rPr>
          <w:b/>
          <w:bCs/>
          <w:color w:val="0070C0"/>
        </w:rPr>
        <w:t xml:space="preserve"> </w:t>
      </w:r>
      <w:r w:rsidRPr="004611B2">
        <w:rPr>
          <w:color w:val="0070C0"/>
        </w:rPr>
        <w:t>during the</w:t>
      </w:r>
      <w:r w:rsidRPr="004611B2">
        <w:rPr>
          <w:b/>
          <w:bCs/>
          <w:color w:val="0070C0"/>
        </w:rPr>
        <w:t xml:space="preserve"> transition phase</w:t>
      </w:r>
      <w:r w:rsidRPr="004611B2">
        <w:rPr>
          <w:color w:val="0070C0"/>
        </w:rPr>
        <w:t>, with the</w:t>
      </w:r>
      <w:r w:rsidRPr="004611B2">
        <w:rPr>
          <w:b/>
          <w:bCs/>
          <w:color w:val="0070C0"/>
        </w:rPr>
        <w:t xml:space="preserve"> sliding shares</w:t>
      </w:r>
      <w:r w:rsidRPr="004611B2">
        <w:rPr>
          <w:color w:val="0070C0"/>
        </w:rPr>
        <w:t>, aiming to</w:t>
      </w:r>
      <w:r w:rsidRPr="004611B2">
        <w:rPr>
          <w:b/>
          <w:bCs/>
          <w:color w:val="0070C0"/>
        </w:rPr>
        <w:t xml:space="preserve"> </w:t>
      </w:r>
      <w:r w:rsidRPr="004611B2">
        <w:rPr>
          <w:b/>
          <w:bCs/>
          <w:color w:val="0070C0"/>
          <w:u w:val="single"/>
        </w:rPr>
        <w:t>promote the transition,</w:t>
      </w:r>
      <w:r w:rsidRPr="004611B2">
        <w:rPr>
          <w:b/>
          <w:bCs/>
          <w:color w:val="0070C0"/>
        </w:rPr>
        <w:t xml:space="preserve"> </w:t>
      </w:r>
      <w:r w:rsidRPr="004611B2">
        <w:rPr>
          <w:color w:val="0070C0"/>
        </w:rPr>
        <w:t>and finance sustainable assets after the transition phase, and</w:t>
      </w:r>
    </w:p>
    <w:p w14:paraId="5E3E7CEF" w14:textId="77777777" w:rsidR="00A35D8C" w:rsidRPr="00976CA4" w:rsidRDefault="00A35D8C" w:rsidP="00A35D8C">
      <w:pPr>
        <w:pStyle w:val="BodyText"/>
        <w:numPr>
          <w:ilvl w:val="0"/>
          <w:numId w:val="5"/>
        </w:numPr>
        <w:spacing w:before="9"/>
        <w:rPr>
          <w:color w:val="0070C0"/>
        </w:rPr>
      </w:pPr>
      <w:r w:rsidRPr="004611B2">
        <w:rPr>
          <w:b/>
          <w:bCs/>
          <w:color w:val="0070C0"/>
        </w:rPr>
        <w:t xml:space="preserve">the voluntary « label » </w:t>
      </w:r>
      <w:r w:rsidRPr="004611B2">
        <w:rPr>
          <w:color w:val="0070C0"/>
        </w:rPr>
        <w:t xml:space="preserve">that would only apply to close to </w:t>
      </w:r>
      <w:r w:rsidRPr="004611B2">
        <w:rPr>
          <w:b/>
          <w:bCs/>
          <w:color w:val="0070C0"/>
        </w:rPr>
        <w:t xml:space="preserve">100% taxonomy-aligned </w:t>
      </w:r>
      <w:r w:rsidRPr="004611B2">
        <w:rPr>
          <w:color w:val="0070C0"/>
        </w:rPr>
        <w:t>underlying assets, but</w:t>
      </w:r>
      <w:r w:rsidRPr="004611B2">
        <w:rPr>
          <w:b/>
          <w:bCs/>
          <w:color w:val="0070C0"/>
        </w:rPr>
        <w:t xml:space="preserve"> </w:t>
      </w:r>
      <w:r w:rsidRPr="004611B2">
        <w:rPr>
          <w:b/>
          <w:bCs/>
          <w:color w:val="0070C0"/>
          <w:u w:val="single"/>
        </w:rPr>
        <w:t>without promoting transition</w:t>
      </w:r>
      <w:r w:rsidRPr="004611B2">
        <w:rPr>
          <w:b/>
          <w:bCs/>
          <w:color w:val="0070C0"/>
        </w:rPr>
        <w:t xml:space="preserve">. </w:t>
      </w:r>
      <w:r w:rsidRPr="004611B2">
        <w:rPr>
          <w:color w:val="0070C0"/>
        </w:rPr>
        <w:t xml:space="preserve">Such a label can already apply now to transactions on </w:t>
      </w:r>
      <w:proofErr w:type="gramStart"/>
      <w:r w:rsidRPr="004611B2">
        <w:rPr>
          <w:color w:val="0070C0"/>
        </w:rPr>
        <w:t>e.g.</w:t>
      </w:r>
      <w:proofErr w:type="gramEnd"/>
      <w:r w:rsidRPr="004611B2">
        <w:rPr>
          <w:color w:val="0070C0"/>
        </w:rPr>
        <w:t xml:space="preserve"> renewable energy projects or green mortgages, but would </w:t>
      </w:r>
      <w:r w:rsidRPr="004611B2">
        <w:rPr>
          <w:b/>
          <w:bCs/>
          <w:color w:val="0070C0"/>
        </w:rPr>
        <w:t>not</w:t>
      </w:r>
      <w:r w:rsidRPr="004611B2">
        <w:rPr>
          <w:color w:val="0070C0"/>
        </w:rPr>
        <w:t xml:space="preserve"> help SME and corporates in transition. </w:t>
      </w:r>
      <w:r w:rsidRPr="004611B2">
        <w:rPr>
          <w:color w:val="0070C0"/>
        </w:rPr>
        <w:br/>
        <w:t>Securities issued from transactions based on "use-of-proceeds" might qualify for a "green" or "sustainable" bond label, while the label "sustainable securitisations" is restricted to transactions collateralized by taxonomy-aligned assets.</w:t>
      </w:r>
    </w:p>
    <w:p w14:paraId="1E4BB3D1" w14:textId="77777777" w:rsidR="00A35D8C" w:rsidRDefault="00A35D8C" w:rsidP="00A35D8C">
      <w:pPr>
        <w:pStyle w:val="BodyText"/>
        <w:spacing w:before="1"/>
        <w:ind w:left="309" w:right="316"/>
        <w:jc w:val="both"/>
        <w:rPr>
          <w:b/>
          <w:bCs/>
          <w:u w:val="single"/>
        </w:rPr>
      </w:pPr>
    </w:p>
    <w:p w14:paraId="593E2E58" w14:textId="77777777" w:rsidR="00A35D8C" w:rsidRDefault="00A35D8C" w:rsidP="00A35D8C">
      <w:pPr>
        <w:pStyle w:val="BodyText"/>
        <w:spacing w:before="1"/>
        <w:ind w:left="309" w:right="316"/>
        <w:jc w:val="both"/>
        <w:rPr>
          <w:b/>
          <w:bCs/>
          <w:u w:val="single"/>
        </w:rPr>
      </w:pPr>
    </w:p>
    <w:p w14:paraId="4184C281" w14:textId="77777777" w:rsidR="00A35D8C" w:rsidRDefault="00A35D8C" w:rsidP="00A35D8C">
      <w:pPr>
        <w:rPr>
          <w:b/>
          <w:bCs/>
          <w:u w:val="single"/>
        </w:rPr>
      </w:pPr>
      <w:r>
        <w:rPr>
          <w:b/>
          <w:bCs/>
          <w:u w:val="single"/>
        </w:rPr>
        <w:br w:type="page"/>
      </w:r>
    </w:p>
    <w:p w14:paraId="1D26B538" w14:textId="77777777" w:rsidR="00A35D8C" w:rsidRPr="004611B2" w:rsidRDefault="00A35D8C" w:rsidP="00A35D8C">
      <w:pPr>
        <w:pStyle w:val="BodyText"/>
        <w:spacing w:before="1"/>
        <w:ind w:left="309" w:right="316"/>
        <w:jc w:val="both"/>
      </w:pPr>
      <w:r w:rsidRPr="004611B2">
        <w:rPr>
          <w:b/>
          <w:bCs/>
          <w:u w:val="single"/>
        </w:rPr>
        <w:lastRenderedPageBreak/>
        <w:t>Question 6.6.</w:t>
      </w:r>
      <w:r w:rsidRPr="004611B2">
        <w:rPr>
          <w:spacing w:val="1"/>
        </w:rPr>
        <w:t xml:space="preserve"> </w:t>
      </w:r>
      <w:r w:rsidRPr="004611B2">
        <w:t>According</w:t>
      </w:r>
      <w:r w:rsidRPr="004611B2">
        <w:rPr>
          <w:spacing w:val="1"/>
        </w:rPr>
        <w:t xml:space="preserve"> </w:t>
      </w:r>
      <w:r w:rsidRPr="004611B2">
        <w:t>to</w:t>
      </w:r>
      <w:r w:rsidRPr="004611B2">
        <w:rPr>
          <w:spacing w:val="1"/>
        </w:rPr>
        <w:t xml:space="preserve"> </w:t>
      </w:r>
      <w:r w:rsidRPr="004611B2">
        <w:t>the</w:t>
      </w:r>
      <w:r w:rsidRPr="004611B2">
        <w:rPr>
          <w:spacing w:val="1"/>
        </w:rPr>
        <w:t xml:space="preserve"> </w:t>
      </w:r>
      <w:hyperlink r:id="rId5" w:anchor="green-bonds">
        <w:r w:rsidRPr="004611B2">
          <w:rPr>
            <w:color w:val="0000FF"/>
            <w:u w:val="single" w:color="0000FF"/>
          </w:rPr>
          <w:t>Commission</w:t>
        </w:r>
        <w:r w:rsidRPr="004611B2">
          <w:rPr>
            <w:color w:val="0000FF"/>
            <w:spacing w:val="1"/>
            <w:u w:val="single" w:color="0000FF"/>
          </w:rPr>
          <w:t xml:space="preserve"> </w:t>
        </w:r>
        <w:r w:rsidRPr="004611B2">
          <w:rPr>
            <w:color w:val="0000FF"/>
            <w:u w:val="single" w:color="0000FF"/>
          </w:rPr>
          <w:t>proposal</w:t>
        </w:r>
        <w:r w:rsidRPr="004611B2">
          <w:rPr>
            <w:color w:val="0000FF"/>
            <w:spacing w:val="1"/>
            <w:u w:val="single" w:color="0000FF"/>
          </w:rPr>
          <w:t xml:space="preserve"> </w:t>
        </w:r>
        <w:r w:rsidRPr="004611B2">
          <w:rPr>
            <w:color w:val="0000FF"/>
            <w:u w:val="single" w:color="0000FF"/>
          </w:rPr>
          <w:t>for</w:t>
        </w:r>
        <w:r w:rsidRPr="004611B2">
          <w:rPr>
            <w:color w:val="0000FF"/>
            <w:spacing w:val="1"/>
            <w:u w:val="single" w:color="0000FF"/>
          </w:rPr>
          <w:t xml:space="preserve"> </w:t>
        </w:r>
        <w:r w:rsidRPr="004611B2">
          <w:rPr>
            <w:color w:val="0000FF"/>
            <w:u w:val="single" w:color="0000FF"/>
          </w:rPr>
          <w:t>a</w:t>
        </w:r>
        <w:r w:rsidRPr="004611B2">
          <w:rPr>
            <w:color w:val="0000FF"/>
            <w:spacing w:val="1"/>
            <w:u w:val="single" w:color="0000FF"/>
          </w:rPr>
          <w:t xml:space="preserve"> </w:t>
        </w:r>
        <w:r w:rsidRPr="004611B2">
          <w:rPr>
            <w:color w:val="0000FF"/>
            <w:u w:val="single" w:color="0000FF"/>
          </w:rPr>
          <w:t>European</w:t>
        </w:r>
        <w:r w:rsidRPr="004611B2">
          <w:rPr>
            <w:color w:val="0000FF"/>
            <w:spacing w:val="1"/>
            <w:u w:val="single" w:color="0000FF"/>
          </w:rPr>
          <w:t xml:space="preserve"> </w:t>
        </w:r>
        <w:r w:rsidRPr="004611B2">
          <w:rPr>
            <w:color w:val="0000FF"/>
            <w:u w:val="single" w:color="0000FF"/>
          </w:rPr>
          <w:t>green</w:t>
        </w:r>
        <w:r w:rsidRPr="004611B2">
          <w:rPr>
            <w:color w:val="0000FF"/>
            <w:spacing w:val="60"/>
            <w:u w:val="single" w:color="0000FF"/>
          </w:rPr>
          <w:t xml:space="preserve"> </w:t>
        </w:r>
        <w:r w:rsidRPr="004611B2">
          <w:rPr>
            <w:color w:val="0000FF"/>
            <w:u w:val="single" w:color="0000FF"/>
          </w:rPr>
          <w:t>bond</w:t>
        </w:r>
      </w:hyperlink>
      <w:r w:rsidRPr="004611B2">
        <w:rPr>
          <w:color w:val="0000FF"/>
          <w:spacing w:val="1"/>
        </w:rPr>
        <w:t xml:space="preserve"> </w:t>
      </w:r>
      <w:hyperlink r:id="rId6" w:anchor="green-bonds">
        <w:r w:rsidRPr="004611B2">
          <w:rPr>
            <w:color w:val="0000FF"/>
            <w:u w:val="single" w:color="0000FF"/>
          </w:rPr>
          <w:t>standard</w:t>
        </w:r>
        <w:r w:rsidRPr="004611B2">
          <w:t>,</w:t>
        </w:r>
      </w:hyperlink>
      <w:r w:rsidRPr="004611B2">
        <w:t xml:space="preserve"> a securitisation bond may qualify as EU green bond if the proceeds of the</w:t>
      </w:r>
      <w:r w:rsidRPr="004611B2">
        <w:rPr>
          <w:spacing w:val="1"/>
        </w:rPr>
        <w:t xml:space="preserve"> </w:t>
      </w:r>
      <w:r w:rsidRPr="004611B2">
        <w:t>securitisation are used by the issuing special purpose vehicle to purchase the underlying</w:t>
      </w:r>
      <w:r w:rsidRPr="004611B2">
        <w:rPr>
          <w:spacing w:val="1"/>
        </w:rPr>
        <w:t xml:space="preserve"> </w:t>
      </w:r>
      <w:r w:rsidRPr="004611B2">
        <w:t xml:space="preserve">portfolio of Taxonomy-aligned assets. Is there a need to adjust this </w:t>
      </w:r>
      <w:proofErr w:type="spellStart"/>
      <w:r w:rsidRPr="004611B2">
        <w:t>EuGB</w:t>
      </w:r>
      <w:proofErr w:type="spellEnd"/>
      <w:r w:rsidRPr="004611B2">
        <w:t xml:space="preserve"> approach to</w:t>
      </w:r>
      <w:r w:rsidRPr="004611B2">
        <w:rPr>
          <w:spacing w:val="1"/>
        </w:rPr>
        <w:t xml:space="preserve"> </w:t>
      </w:r>
      <w:r w:rsidRPr="004611B2">
        <w:t>better</w:t>
      </w:r>
      <w:r w:rsidRPr="004611B2">
        <w:rPr>
          <w:spacing w:val="1"/>
        </w:rPr>
        <w:t xml:space="preserve"> </w:t>
      </w:r>
      <w:r w:rsidRPr="004611B2">
        <w:t>accommodate</w:t>
      </w:r>
      <w:r w:rsidRPr="004611B2">
        <w:rPr>
          <w:spacing w:val="1"/>
        </w:rPr>
        <w:t xml:space="preserve"> </w:t>
      </w:r>
      <w:r w:rsidRPr="004611B2">
        <w:t>sustainable</w:t>
      </w:r>
      <w:r w:rsidRPr="004611B2">
        <w:rPr>
          <w:spacing w:val="1"/>
        </w:rPr>
        <w:t xml:space="preserve"> </w:t>
      </w:r>
      <w:r w:rsidRPr="004611B2">
        <w:t>securitisations</w:t>
      </w:r>
      <w:r w:rsidRPr="004611B2">
        <w:rPr>
          <w:spacing w:val="1"/>
        </w:rPr>
        <w:t xml:space="preserve"> </w:t>
      </w:r>
      <w:r w:rsidRPr="004611B2">
        <w:t>or</w:t>
      </w:r>
      <w:r w:rsidRPr="004611B2">
        <w:rPr>
          <w:spacing w:val="1"/>
        </w:rPr>
        <w:t xml:space="preserve"> </w:t>
      </w:r>
      <w:r w:rsidRPr="004611B2">
        <w:t>is</w:t>
      </w:r>
      <w:r w:rsidRPr="004611B2">
        <w:rPr>
          <w:spacing w:val="1"/>
        </w:rPr>
        <w:t xml:space="preserve"> </w:t>
      </w:r>
      <w:r w:rsidRPr="004611B2">
        <w:t>there</w:t>
      </w:r>
      <w:r w:rsidRPr="004611B2">
        <w:rPr>
          <w:spacing w:val="1"/>
        </w:rPr>
        <w:t xml:space="preserve"> </w:t>
      </w:r>
      <w:r w:rsidRPr="004611B2">
        <w:t>a</w:t>
      </w:r>
      <w:r w:rsidRPr="004611B2">
        <w:rPr>
          <w:spacing w:val="1"/>
        </w:rPr>
        <w:t xml:space="preserve"> </w:t>
      </w:r>
      <w:r w:rsidRPr="004611B2">
        <w:t>need</w:t>
      </w:r>
      <w:r w:rsidRPr="004611B2">
        <w:rPr>
          <w:spacing w:val="1"/>
        </w:rPr>
        <w:t xml:space="preserve"> </w:t>
      </w:r>
      <w:r w:rsidRPr="004611B2">
        <w:t>for</w:t>
      </w:r>
      <w:r w:rsidRPr="004611B2">
        <w:rPr>
          <w:spacing w:val="1"/>
        </w:rPr>
        <w:t xml:space="preserve"> </w:t>
      </w:r>
      <w:r w:rsidRPr="004611B2">
        <w:t>a</w:t>
      </w:r>
      <w:r w:rsidRPr="004611B2">
        <w:rPr>
          <w:spacing w:val="60"/>
        </w:rPr>
        <w:t xml:space="preserve"> </w:t>
      </w:r>
      <w:r w:rsidRPr="004611B2">
        <w:t>separate</w:t>
      </w:r>
      <w:r w:rsidRPr="004611B2">
        <w:rPr>
          <w:spacing w:val="1"/>
        </w:rPr>
        <w:t xml:space="preserve"> </w:t>
      </w:r>
      <w:r w:rsidRPr="004611B2">
        <w:t>sustainable</w:t>
      </w:r>
      <w:r w:rsidRPr="004611B2">
        <w:rPr>
          <w:spacing w:val="-2"/>
        </w:rPr>
        <w:t xml:space="preserve"> </w:t>
      </w:r>
      <w:r w:rsidRPr="004611B2">
        <w:t>securitisation</w:t>
      </w:r>
      <w:r w:rsidRPr="004611B2">
        <w:rPr>
          <w:spacing w:val="2"/>
        </w:rPr>
        <w:t xml:space="preserve"> </w:t>
      </w:r>
      <w:r w:rsidRPr="004611B2">
        <w:t>standard?</w:t>
      </w:r>
    </w:p>
    <w:p w14:paraId="7102DD76" w14:textId="77777777" w:rsidR="00A35D8C" w:rsidRPr="004611B2" w:rsidRDefault="00A35D8C" w:rsidP="00A35D8C">
      <w:pPr>
        <w:pStyle w:val="BodyText"/>
        <w:spacing w:before="10"/>
      </w:pPr>
    </w:p>
    <w:p w14:paraId="15F6F9F2" w14:textId="77777777" w:rsidR="00A35D8C" w:rsidRPr="004611B2" w:rsidRDefault="00A35D8C" w:rsidP="00A35D8C">
      <w:pPr>
        <w:pStyle w:val="BodyText"/>
        <w:ind w:left="592" w:right="8264"/>
      </w:pPr>
      <w:r w:rsidRPr="004611B2">
        <w:t>Yes No</w:t>
      </w:r>
    </w:p>
    <w:p w14:paraId="3EDF78FA" w14:textId="77777777" w:rsidR="00A35D8C" w:rsidRPr="004611B2" w:rsidRDefault="00A35D8C" w:rsidP="00A35D8C">
      <w:pPr>
        <w:pStyle w:val="BodyText"/>
        <w:ind w:left="592"/>
      </w:pPr>
      <w:r w:rsidRPr="004611B2">
        <w:t>No</w:t>
      </w:r>
      <w:r w:rsidRPr="004611B2">
        <w:rPr>
          <w:spacing w:val="-2"/>
        </w:rPr>
        <w:t xml:space="preserve"> </w:t>
      </w:r>
      <w:r w:rsidRPr="004611B2">
        <w:t>opinion</w:t>
      </w:r>
    </w:p>
    <w:p w14:paraId="1E30F447" w14:textId="77777777" w:rsidR="00A35D8C" w:rsidRPr="004611B2" w:rsidRDefault="00A35D8C" w:rsidP="00A35D8C">
      <w:pPr>
        <w:pStyle w:val="BodyText"/>
        <w:spacing w:before="1"/>
        <w:ind w:left="309" w:right="316" w:firstLine="60"/>
        <w:jc w:val="both"/>
      </w:pPr>
    </w:p>
    <w:p w14:paraId="5717F905" w14:textId="77777777" w:rsidR="00A35D8C" w:rsidRPr="004611B2" w:rsidRDefault="00A35D8C" w:rsidP="00A35D8C">
      <w:pPr>
        <w:pStyle w:val="BodyText"/>
        <w:spacing w:before="1"/>
        <w:ind w:left="309" w:right="316" w:firstLine="60"/>
        <w:jc w:val="both"/>
      </w:pPr>
      <w:r w:rsidRPr="004611B2">
        <w:t>Auto-loans/leases</w:t>
      </w:r>
    </w:p>
    <w:p w14:paraId="4DB91B9E" w14:textId="77777777" w:rsidR="00A35D8C" w:rsidRPr="004611B2" w:rsidRDefault="00A35D8C" w:rsidP="00A35D8C">
      <w:pPr>
        <w:pStyle w:val="BodyText"/>
        <w:spacing w:before="1"/>
        <w:ind w:left="309" w:right="316" w:firstLine="60"/>
        <w:jc w:val="both"/>
      </w:pPr>
      <w:r w:rsidRPr="004611B2">
        <w:t>Trade receivables</w:t>
      </w:r>
    </w:p>
    <w:p w14:paraId="51655E54" w14:textId="77777777" w:rsidR="00A35D8C" w:rsidRPr="004611B2" w:rsidRDefault="00A35D8C" w:rsidP="00A35D8C">
      <w:pPr>
        <w:pStyle w:val="BodyText"/>
        <w:spacing w:before="1"/>
        <w:ind w:left="309" w:right="316" w:firstLine="60"/>
        <w:jc w:val="both"/>
      </w:pPr>
      <w:r w:rsidRPr="004611B2">
        <w:t xml:space="preserve">Residential mortgages (RMBS) </w:t>
      </w:r>
    </w:p>
    <w:p w14:paraId="38E0A5DE" w14:textId="77777777" w:rsidR="00A35D8C" w:rsidRPr="004611B2" w:rsidRDefault="00A35D8C" w:rsidP="00A35D8C">
      <w:pPr>
        <w:pStyle w:val="BodyText"/>
        <w:spacing w:before="1"/>
        <w:ind w:left="309" w:right="316" w:firstLine="60"/>
        <w:jc w:val="both"/>
      </w:pPr>
      <w:r w:rsidRPr="004611B2">
        <w:t xml:space="preserve">SME loans - </w:t>
      </w:r>
      <w:r w:rsidRPr="004611B2">
        <w:rPr>
          <w:b/>
          <w:bCs/>
          <w:color w:val="0070C0"/>
        </w:rPr>
        <w:t>Yes</w:t>
      </w:r>
    </w:p>
    <w:p w14:paraId="1D47F7F6" w14:textId="77777777" w:rsidR="00A35D8C" w:rsidRPr="004611B2" w:rsidRDefault="00A35D8C" w:rsidP="00A35D8C">
      <w:pPr>
        <w:pStyle w:val="BodyText"/>
        <w:spacing w:before="1"/>
        <w:ind w:left="309" w:right="316" w:firstLine="60"/>
        <w:jc w:val="both"/>
        <w:rPr>
          <w:b/>
          <w:bCs/>
          <w:color w:val="0070C0"/>
        </w:rPr>
      </w:pPr>
      <w:r w:rsidRPr="004611B2">
        <w:t xml:space="preserve">Corporate loans </w:t>
      </w:r>
      <w:r w:rsidRPr="004611B2">
        <w:rPr>
          <w:b/>
          <w:bCs/>
          <w:color w:val="0070C0"/>
        </w:rPr>
        <w:t>- Yes</w:t>
      </w:r>
    </w:p>
    <w:p w14:paraId="6D0068B0" w14:textId="77777777" w:rsidR="00A35D8C" w:rsidRPr="004611B2" w:rsidRDefault="00A35D8C" w:rsidP="00A35D8C">
      <w:pPr>
        <w:pStyle w:val="BodyText"/>
        <w:spacing w:before="1"/>
        <w:ind w:left="309" w:right="316" w:firstLine="60"/>
        <w:jc w:val="both"/>
      </w:pPr>
      <w:r w:rsidRPr="004611B2">
        <w:t xml:space="preserve">Leases </w:t>
      </w:r>
    </w:p>
    <w:p w14:paraId="43BD1D5A" w14:textId="77777777" w:rsidR="00A35D8C" w:rsidRPr="004611B2" w:rsidRDefault="00A35D8C" w:rsidP="00A35D8C">
      <w:pPr>
        <w:pStyle w:val="BodyText"/>
        <w:spacing w:before="1"/>
        <w:ind w:left="309" w:right="316" w:firstLine="60"/>
        <w:jc w:val="both"/>
      </w:pPr>
      <w:r w:rsidRPr="004611B2">
        <w:t>Consumer loans</w:t>
      </w:r>
    </w:p>
    <w:p w14:paraId="491BD173" w14:textId="77777777" w:rsidR="00A35D8C" w:rsidRPr="004611B2" w:rsidRDefault="00A35D8C" w:rsidP="00A35D8C">
      <w:pPr>
        <w:pStyle w:val="BodyText"/>
        <w:spacing w:before="1"/>
        <w:ind w:left="309" w:right="316" w:firstLine="60"/>
        <w:jc w:val="both"/>
      </w:pPr>
      <w:r w:rsidRPr="004611B2">
        <w:t xml:space="preserve">Credit-card receivables </w:t>
      </w:r>
    </w:p>
    <w:p w14:paraId="4B3EF4C1" w14:textId="77777777" w:rsidR="00A35D8C" w:rsidRPr="001D681C" w:rsidRDefault="00A35D8C" w:rsidP="00A35D8C">
      <w:pPr>
        <w:pStyle w:val="BodyText"/>
        <w:spacing w:before="1"/>
        <w:ind w:left="309" w:right="316" w:firstLine="60"/>
        <w:jc w:val="both"/>
        <w:rPr>
          <w:b/>
          <w:bCs/>
          <w:color w:val="0070C0"/>
        </w:rPr>
      </w:pPr>
      <w:r w:rsidRPr="004611B2">
        <w:t xml:space="preserve">Other – please </w:t>
      </w:r>
      <w:proofErr w:type="gramStart"/>
      <w:r w:rsidRPr="004611B2">
        <w:t>specify :</w:t>
      </w:r>
      <w:proofErr w:type="gramEnd"/>
      <w:r w:rsidRPr="004611B2">
        <w:t xml:space="preserve"> </w:t>
      </w:r>
      <w:r w:rsidRPr="004611B2">
        <w:rPr>
          <w:color w:val="0070C0"/>
        </w:rPr>
        <w:t xml:space="preserve">Asset based finance (commercial mortgages, project and infrastructure finance, etc): </w:t>
      </w:r>
      <w:r w:rsidRPr="001D681C">
        <w:rPr>
          <w:b/>
          <w:bCs/>
          <w:color w:val="0070C0"/>
        </w:rPr>
        <w:t>Yes</w:t>
      </w:r>
    </w:p>
    <w:p w14:paraId="494070FF" w14:textId="77777777" w:rsidR="00A35D8C" w:rsidRPr="004611B2" w:rsidRDefault="00A35D8C" w:rsidP="00A35D8C">
      <w:pPr>
        <w:pStyle w:val="BodyText"/>
        <w:ind w:left="592" w:right="8264"/>
        <w:rPr>
          <w:b/>
          <w:bCs/>
          <w:color w:val="0070C0"/>
        </w:rPr>
      </w:pPr>
    </w:p>
    <w:p w14:paraId="483BBB28" w14:textId="77777777" w:rsidR="00A35D8C" w:rsidRPr="004611B2" w:rsidRDefault="00A35D8C" w:rsidP="00A35D8C">
      <w:pPr>
        <w:pStyle w:val="BodyText"/>
        <w:spacing w:before="9"/>
        <w:ind w:left="309"/>
        <w:jc w:val="both"/>
        <w:rPr>
          <w:color w:val="0070C0"/>
        </w:rPr>
      </w:pPr>
      <w:r w:rsidRPr="004611B2">
        <w:t>[If so, what should be the requirements for a securitisation standard?]</w:t>
      </w:r>
      <w:r w:rsidRPr="004611B2">
        <w:rPr>
          <w:spacing w:val="60"/>
        </w:rPr>
        <w:t xml:space="preserve"> </w:t>
      </w:r>
      <w:r w:rsidRPr="004611B2">
        <w:t>Please explain</w:t>
      </w:r>
      <w:r w:rsidRPr="004611B2">
        <w:rPr>
          <w:spacing w:val="1"/>
        </w:rPr>
        <w:t xml:space="preserve"> </w:t>
      </w:r>
      <w:r w:rsidRPr="004611B2">
        <w:t>your answer.</w:t>
      </w:r>
      <w:r w:rsidRPr="004611B2">
        <w:br/>
      </w:r>
      <w:r w:rsidRPr="004611B2">
        <w:br/>
      </w:r>
      <w:r w:rsidRPr="004611B2">
        <w:rPr>
          <w:b/>
          <w:bCs/>
          <w:color w:val="0070C0"/>
        </w:rPr>
        <w:t>We don’t see the need to change in EUGBS for securitisation the principle that the underlying loans should be aligned with the EU taxonomy.</w:t>
      </w:r>
      <w:r w:rsidRPr="004611B2">
        <w:rPr>
          <w:color w:val="0070C0"/>
        </w:rPr>
        <w:t xml:space="preserve"> A limit might however be set on the assets that lose their status of "taxonomy alignment" due to strengthening of the Technical Screening Criteria over time, </w:t>
      </w:r>
      <w:proofErr w:type="gramStart"/>
      <w:r w:rsidRPr="004611B2">
        <w:rPr>
          <w:color w:val="0070C0"/>
          <w:u w:val="single"/>
        </w:rPr>
        <w:t>as long as</w:t>
      </w:r>
      <w:proofErr w:type="gramEnd"/>
      <w:r w:rsidRPr="004611B2">
        <w:rPr>
          <w:color w:val="0070C0"/>
        </w:rPr>
        <w:t xml:space="preserve"> these assets do not significant harm any sustainability objective. </w:t>
      </w:r>
    </w:p>
    <w:p w14:paraId="3687C32D" w14:textId="77777777" w:rsidR="00A35D8C" w:rsidRPr="004611B2" w:rsidRDefault="00A35D8C" w:rsidP="00A35D8C">
      <w:pPr>
        <w:pStyle w:val="BodyText"/>
        <w:spacing w:before="1"/>
        <w:ind w:left="284" w:right="316"/>
        <w:jc w:val="both"/>
        <w:rPr>
          <w:color w:val="0070C0"/>
        </w:rPr>
      </w:pPr>
    </w:p>
    <w:p w14:paraId="1157606E" w14:textId="77777777" w:rsidR="00A35D8C" w:rsidRPr="004611B2" w:rsidRDefault="00A35D8C" w:rsidP="00A35D8C">
      <w:pPr>
        <w:pStyle w:val="BodyText"/>
        <w:spacing w:before="1"/>
        <w:ind w:left="284" w:right="316"/>
        <w:jc w:val="both"/>
        <w:rPr>
          <w:color w:val="0070C0"/>
        </w:rPr>
      </w:pPr>
      <w:r w:rsidRPr="004611B2">
        <w:rPr>
          <w:color w:val="0070C0"/>
        </w:rPr>
        <w:t xml:space="preserve">It is important that this standard operates like the other bonds or loans standards from ICMA or LMA, remains voluntary, and that careful consideration is given as to how any "label" would interplay with: </w:t>
      </w:r>
    </w:p>
    <w:p w14:paraId="601B0F96" w14:textId="77777777" w:rsidR="00A35D8C" w:rsidRPr="004611B2" w:rsidRDefault="00A35D8C" w:rsidP="00A35D8C">
      <w:pPr>
        <w:pStyle w:val="BodyText"/>
        <w:spacing w:before="1"/>
        <w:ind w:left="284" w:right="316" w:firstLine="25"/>
        <w:jc w:val="both"/>
        <w:rPr>
          <w:color w:val="0070C0"/>
        </w:rPr>
      </w:pPr>
      <w:r w:rsidRPr="004611B2">
        <w:rPr>
          <w:color w:val="0070C0"/>
        </w:rPr>
        <w:t xml:space="preserve">- obtaining (or not) any regulatory </w:t>
      </w:r>
      <w:proofErr w:type="gramStart"/>
      <w:r w:rsidRPr="004611B2">
        <w:rPr>
          <w:color w:val="0070C0"/>
        </w:rPr>
        <w:t>benefit;</w:t>
      </w:r>
      <w:proofErr w:type="gramEnd"/>
    </w:p>
    <w:p w14:paraId="0931CD1B" w14:textId="77777777" w:rsidR="00A35D8C" w:rsidRPr="004611B2" w:rsidRDefault="00A35D8C" w:rsidP="00A35D8C">
      <w:pPr>
        <w:pStyle w:val="BodyText"/>
        <w:spacing w:before="1"/>
        <w:ind w:left="284" w:right="316" w:firstLine="25"/>
        <w:jc w:val="both"/>
        <w:rPr>
          <w:color w:val="0070C0"/>
        </w:rPr>
      </w:pPr>
      <w:r w:rsidRPr="004611B2">
        <w:rPr>
          <w:color w:val="0070C0"/>
        </w:rPr>
        <w:t xml:space="preserve">- existing regulatory benefit that EU STS-designated securitisations already have.  </w:t>
      </w:r>
    </w:p>
    <w:p w14:paraId="56962F97" w14:textId="77777777" w:rsidR="00A35D8C" w:rsidRPr="004611B2" w:rsidRDefault="00A35D8C" w:rsidP="00A35D8C">
      <w:pPr>
        <w:pStyle w:val="BodyText"/>
        <w:spacing w:before="1"/>
        <w:ind w:left="284" w:right="316" w:firstLine="25"/>
        <w:jc w:val="both"/>
        <w:rPr>
          <w:color w:val="0070C0"/>
        </w:rPr>
      </w:pPr>
      <w:r w:rsidRPr="004611B2">
        <w:rPr>
          <w:color w:val="0070C0"/>
        </w:rPr>
        <w:t>We should not end up in a maze of labels and regulatory treatments, like STS but without sustainable label, STS with sustainable label, not STS but with sustainable label, not STS without sustainable label; etc</w:t>
      </w:r>
    </w:p>
    <w:p w14:paraId="5AACA931" w14:textId="77777777" w:rsidR="00A35D8C" w:rsidRPr="004611B2" w:rsidRDefault="00A35D8C" w:rsidP="00A35D8C">
      <w:pPr>
        <w:pStyle w:val="BodyText"/>
        <w:spacing w:before="1"/>
        <w:ind w:left="284" w:right="316" w:firstLine="25"/>
        <w:jc w:val="both"/>
        <w:rPr>
          <w:color w:val="0070C0"/>
        </w:rPr>
      </w:pPr>
    </w:p>
    <w:p w14:paraId="2CE3A7E0" w14:textId="77777777" w:rsidR="00A35D8C" w:rsidRPr="004611B2" w:rsidRDefault="00A35D8C" w:rsidP="00A35D8C">
      <w:pPr>
        <w:pStyle w:val="BodyText"/>
        <w:spacing w:before="1"/>
        <w:ind w:left="284" w:right="316"/>
        <w:jc w:val="both"/>
        <w:rPr>
          <w:color w:val="0070C0"/>
        </w:rPr>
      </w:pPr>
      <w:r w:rsidRPr="004611B2">
        <w:rPr>
          <w:b/>
          <w:bCs/>
          <w:color w:val="0070C0"/>
        </w:rPr>
        <w:t xml:space="preserve">Such </w:t>
      </w:r>
      <w:proofErr w:type="gramStart"/>
      <w:r w:rsidRPr="004611B2">
        <w:rPr>
          <w:b/>
          <w:bCs/>
          <w:color w:val="0070C0"/>
        </w:rPr>
        <w:t>a</w:t>
      </w:r>
      <w:proofErr w:type="gramEnd"/>
      <w:r w:rsidRPr="004611B2">
        <w:rPr>
          <w:b/>
          <w:bCs/>
          <w:color w:val="0070C0"/>
        </w:rPr>
        <w:t xml:space="preserve"> EU label would mainly be relevant for public transactions</w:t>
      </w:r>
      <w:r w:rsidRPr="004611B2">
        <w:rPr>
          <w:color w:val="0070C0"/>
        </w:rPr>
        <w:t xml:space="preserve">, but less for private transactions, because junior private credit investors will use their own internal framework to assess the ESG risk and the sustainability impact of the loan pools. </w:t>
      </w:r>
    </w:p>
    <w:p w14:paraId="34AC0582" w14:textId="77777777" w:rsidR="00A35D8C" w:rsidRPr="004611B2" w:rsidRDefault="00A35D8C" w:rsidP="00A35D8C">
      <w:pPr>
        <w:pStyle w:val="BodyText"/>
        <w:spacing w:before="1"/>
        <w:ind w:left="309" w:right="316"/>
        <w:jc w:val="both"/>
        <w:rPr>
          <w:color w:val="0070C0"/>
        </w:rPr>
      </w:pPr>
    </w:p>
    <w:p w14:paraId="465C0A7E" w14:textId="77777777" w:rsidR="00A35D8C" w:rsidRPr="004611B2" w:rsidRDefault="00A35D8C" w:rsidP="00A35D8C">
      <w:pPr>
        <w:pStyle w:val="BodyText"/>
        <w:spacing w:before="1"/>
        <w:ind w:left="284" w:right="316"/>
        <w:jc w:val="both"/>
        <w:rPr>
          <w:color w:val="0070C0"/>
        </w:rPr>
      </w:pPr>
      <w:r w:rsidRPr="004611B2">
        <w:rPr>
          <w:color w:val="0070C0"/>
        </w:rPr>
        <w:t xml:space="preserve">Harmonisation will however be very helpful, but in these early years, the markets are likely to continue to be fragmented. Therefore, without flexibility for receiving regulatory benefit </w:t>
      </w:r>
      <w:r w:rsidRPr="004611B2">
        <w:rPr>
          <w:color w:val="0070C0"/>
        </w:rPr>
        <w:lastRenderedPageBreak/>
        <w:t>that will promote sustainable securitisations, a one-size-fits-all label will likely to achieve the opposite effect and could be detrimental to the development of sustainable securitisation market.</w:t>
      </w:r>
    </w:p>
    <w:p w14:paraId="540B5B70" w14:textId="77777777" w:rsidR="00A35D8C" w:rsidRPr="004611B2" w:rsidRDefault="00A35D8C" w:rsidP="00A35D8C">
      <w:pPr>
        <w:pStyle w:val="BodyText"/>
        <w:spacing w:before="1"/>
        <w:ind w:left="284" w:right="316"/>
        <w:jc w:val="both"/>
        <w:rPr>
          <w:color w:val="133850"/>
        </w:rPr>
      </w:pPr>
    </w:p>
    <w:p w14:paraId="52BFC575" w14:textId="77777777" w:rsidR="00A35D8C" w:rsidRDefault="00A35D8C" w:rsidP="00A35D8C">
      <w:pPr>
        <w:pStyle w:val="BodyText"/>
        <w:spacing w:before="1"/>
        <w:ind w:left="284" w:right="316"/>
        <w:jc w:val="both"/>
        <w:rPr>
          <w:color w:val="0070C0"/>
        </w:rPr>
      </w:pPr>
      <w:r w:rsidRPr="004611B2">
        <w:rPr>
          <w:color w:val="0070C0"/>
        </w:rPr>
        <w:t>For all these reasons, any sustainability-related securitisation framework needs to work alongside other sustainability-related frameworks avoiding duplication and ensuring that any securitisation-specific changes do not lead to unnecessary burdens and increased costs of doing a securitisation, which will inevitably further hinder the development of wider securitisation issuer- and investor-base.</w:t>
      </w:r>
    </w:p>
    <w:p w14:paraId="2206F751" w14:textId="77777777" w:rsidR="00A35D8C" w:rsidRDefault="00A35D8C" w:rsidP="00A35D8C">
      <w:pPr>
        <w:pStyle w:val="BodyText"/>
        <w:spacing w:before="1"/>
        <w:ind w:left="284" w:right="316"/>
        <w:jc w:val="both"/>
        <w:rPr>
          <w:color w:val="0070C0"/>
        </w:rPr>
      </w:pPr>
    </w:p>
    <w:p w14:paraId="6DCA3917" w14:textId="58B33A34" w:rsidR="00A35D8C" w:rsidRDefault="00A35D8C"/>
    <w:p w14:paraId="6ECCCC3B" w14:textId="41C3F07D" w:rsidR="00A35D8C" w:rsidRDefault="00A35D8C"/>
    <w:p w14:paraId="14EDCB65" w14:textId="01A0AF52" w:rsidR="00A35D8C" w:rsidRDefault="00A35D8C"/>
    <w:p w14:paraId="0C729729" w14:textId="231DC67B" w:rsidR="00A35D8C" w:rsidRDefault="00A35D8C"/>
    <w:p w14:paraId="48541FB5" w14:textId="5E513BBB" w:rsidR="00A35D8C" w:rsidRDefault="00A35D8C"/>
    <w:p w14:paraId="6D6D5657" w14:textId="1696268B" w:rsidR="00A35D8C" w:rsidRDefault="00A35D8C"/>
    <w:p w14:paraId="19515B5F" w14:textId="612AF9D1" w:rsidR="00A35D8C" w:rsidRDefault="00A35D8C"/>
    <w:p w14:paraId="48BEAA81" w14:textId="55A00010" w:rsidR="00A35D8C" w:rsidRDefault="00A35D8C"/>
    <w:p w14:paraId="762F408C" w14:textId="0DCC39CB" w:rsidR="00A35D8C" w:rsidRDefault="00A35D8C"/>
    <w:p w14:paraId="6ED1C8D5" w14:textId="0112740A" w:rsidR="00A35D8C" w:rsidRDefault="00A35D8C"/>
    <w:p w14:paraId="3BFA6366" w14:textId="0FC409A4" w:rsidR="00A35D8C" w:rsidRDefault="00A35D8C"/>
    <w:p w14:paraId="6EB27F63" w14:textId="50CDFC9D" w:rsidR="00A35D8C" w:rsidRDefault="00A35D8C"/>
    <w:p w14:paraId="0960F26C" w14:textId="6740D57A" w:rsidR="00A35D8C" w:rsidRDefault="00A35D8C"/>
    <w:p w14:paraId="3D4A84A9" w14:textId="6ED00AFA" w:rsidR="00A35D8C" w:rsidRDefault="00A35D8C"/>
    <w:p w14:paraId="3E4212E1" w14:textId="07DB1789" w:rsidR="00A35D8C" w:rsidRDefault="00A35D8C"/>
    <w:p w14:paraId="7B22956B" w14:textId="78CB21FA" w:rsidR="00A35D8C" w:rsidRDefault="00A35D8C"/>
    <w:p w14:paraId="23E37A9E" w14:textId="68E3D08B" w:rsidR="00A35D8C" w:rsidRDefault="00A35D8C"/>
    <w:p w14:paraId="06C459D6" w14:textId="35B72B74" w:rsidR="00A35D8C" w:rsidRDefault="00A35D8C"/>
    <w:p w14:paraId="4F0ACA45" w14:textId="6BFE9DB1" w:rsidR="00A35D8C" w:rsidRDefault="00A35D8C"/>
    <w:p w14:paraId="21F48D55" w14:textId="3DDEBD70" w:rsidR="00A35D8C" w:rsidRDefault="00A35D8C"/>
    <w:p w14:paraId="25163713" w14:textId="604B8F05" w:rsidR="00A35D8C" w:rsidRDefault="00A35D8C"/>
    <w:p w14:paraId="4DBA98B8" w14:textId="0A81A5E3" w:rsidR="00A35D8C" w:rsidRDefault="00A35D8C"/>
    <w:p w14:paraId="2AC59D2E" w14:textId="7A2BAB86" w:rsidR="00A35D8C" w:rsidRDefault="00A35D8C"/>
    <w:p w14:paraId="78602E42" w14:textId="1CDBA07A" w:rsidR="00A35D8C" w:rsidRDefault="00A35D8C"/>
    <w:p w14:paraId="30A81D98" w14:textId="3C842FAE" w:rsidR="00A35D8C" w:rsidRDefault="00A35D8C"/>
    <w:p w14:paraId="3625E96C" w14:textId="6778AB73" w:rsidR="00A35D8C" w:rsidRDefault="00A35D8C"/>
    <w:p w14:paraId="1B56451A" w14:textId="57A5C69E" w:rsidR="00A35D8C" w:rsidRDefault="00A35D8C"/>
    <w:p w14:paraId="0DC182E1" w14:textId="53C69F4B" w:rsidR="00A35D8C" w:rsidRDefault="00A35D8C"/>
    <w:p w14:paraId="05D9EADF" w14:textId="141432B3" w:rsidR="00A35D8C" w:rsidRDefault="00A35D8C"/>
    <w:p w14:paraId="65E9ADA7" w14:textId="50B7DB73" w:rsidR="00A35D8C" w:rsidRDefault="00A35D8C"/>
    <w:p w14:paraId="386AA751" w14:textId="6EA18E69" w:rsidR="00A35D8C" w:rsidRDefault="00A35D8C"/>
    <w:p w14:paraId="46E156FE" w14:textId="4DD32A0F" w:rsidR="00A35D8C" w:rsidRDefault="00A35D8C"/>
    <w:p w14:paraId="39016ED8" w14:textId="070635CE" w:rsidR="00A35D8C" w:rsidRDefault="00A35D8C"/>
    <w:p w14:paraId="76662F6B" w14:textId="49360718" w:rsidR="00A35D8C" w:rsidRDefault="00A35D8C"/>
    <w:p w14:paraId="5C72A146" w14:textId="3E8A482C" w:rsidR="00A35D8C" w:rsidRDefault="00A35D8C" w:rsidP="00A35D8C">
      <w:pPr>
        <w:jc w:val="center"/>
        <w:rPr>
          <w:rFonts w:ascii="Times New Roman" w:hAnsi="Times New Roman" w:cs="Times New Roman"/>
          <w:b/>
          <w:bCs/>
          <w:sz w:val="28"/>
          <w:szCs w:val="28"/>
        </w:rPr>
      </w:pPr>
      <w:r w:rsidRPr="00A35D8C">
        <w:rPr>
          <w:rFonts w:ascii="Times New Roman" w:hAnsi="Times New Roman" w:cs="Times New Roman"/>
          <w:b/>
          <w:bCs/>
          <w:sz w:val="28"/>
          <w:szCs w:val="28"/>
        </w:rPr>
        <w:lastRenderedPageBreak/>
        <w:t xml:space="preserve">QUESTION </w:t>
      </w:r>
      <w:r>
        <w:rPr>
          <w:rFonts w:ascii="Times New Roman" w:hAnsi="Times New Roman" w:cs="Times New Roman"/>
          <w:b/>
          <w:bCs/>
          <w:sz w:val="28"/>
          <w:szCs w:val="28"/>
        </w:rPr>
        <w:t>9</w:t>
      </w:r>
    </w:p>
    <w:p w14:paraId="59FF93D4" w14:textId="3CD70FAC" w:rsidR="00A35D8C" w:rsidRDefault="00A35D8C" w:rsidP="00A35D8C">
      <w:pPr>
        <w:rPr>
          <w:rFonts w:ascii="Times New Roman" w:hAnsi="Times New Roman" w:cs="Times New Roman"/>
          <w:b/>
          <w:bCs/>
          <w:sz w:val="28"/>
          <w:szCs w:val="28"/>
        </w:rPr>
      </w:pPr>
    </w:p>
    <w:p w14:paraId="3AEA515E" w14:textId="77777777" w:rsidR="00A35D8C" w:rsidRPr="004611B2" w:rsidRDefault="00A35D8C" w:rsidP="00A35D8C">
      <w:pPr>
        <w:pStyle w:val="Heading1"/>
        <w:numPr>
          <w:ilvl w:val="0"/>
          <w:numId w:val="1"/>
        </w:numPr>
        <w:tabs>
          <w:tab w:val="left" w:pos="789"/>
          <w:tab w:val="left" w:pos="790"/>
        </w:tabs>
      </w:pPr>
      <w:r w:rsidRPr="004611B2">
        <w:t>Assessment</w:t>
      </w:r>
      <w:r w:rsidRPr="004611B2">
        <w:rPr>
          <w:spacing w:val="-3"/>
        </w:rPr>
        <w:t xml:space="preserve"> </w:t>
      </w:r>
      <w:r w:rsidRPr="004611B2">
        <w:t>of</w:t>
      </w:r>
      <w:r w:rsidRPr="004611B2">
        <w:rPr>
          <w:spacing w:val="-2"/>
        </w:rPr>
        <w:t xml:space="preserve"> </w:t>
      </w:r>
      <w:r w:rsidRPr="004611B2">
        <w:t>non-neutrality</w:t>
      </w:r>
      <w:r w:rsidRPr="004611B2">
        <w:rPr>
          <w:spacing w:val="-3"/>
        </w:rPr>
        <w:t xml:space="preserve"> </w:t>
      </w:r>
      <w:r w:rsidRPr="004611B2">
        <w:t>correction</w:t>
      </w:r>
      <w:r w:rsidRPr="004611B2">
        <w:rPr>
          <w:spacing w:val="-2"/>
        </w:rPr>
        <w:t xml:space="preserve"> </w:t>
      </w:r>
      <w:r w:rsidRPr="004611B2">
        <w:t>factors</w:t>
      </w:r>
      <w:r w:rsidRPr="004611B2">
        <w:rPr>
          <w:spacing w:val="-3"/>
        </w:rPr>
        <w:t xml:space="preserve"> </w:t>
      </w:r>
      <w:r w:rsidRPr="004611B2">
        <w:t>impact</w:t>
      </w:r>
    </w:p>
    <w:p w14:paraId="4A4048C2" w14:textId="77777777" w:rsidR="00A35D8C" w:rsidRPr="004611B2" w:rsidRDefault="00A35D8C" w:rsidP="00A35D8C">
      <w:pPr>
        <w:pStyle w:val="BodyText"/>
        <w:spacing w:before="5"/>
        <w:rPr>
          <w:b/>
        </w:rPr>
      </w:pPr>
    </w:p>
    <w:p w14:paraId="1F340A81" w14:textId="77777777" w:rsidR="00A35D8C" w:rsidRPr="004611B2" w:rsidRDefault="00A35D8C" w:rsidP="00A35D8C">
      <w:pPr>
        <w:ind w:left="309" w:right="317"/>
        <w:jc w:val="both"/>
      </w:pPr>
      <w:r w:rsidRPr="004611B2">
        <w:rPr>
          <w:b/>
          <w:bCs/>
          <w:u w:val="single"/>
        </w:rPr>
        <w:t>Question 9.1 a)</w:t>
      </w:r>
      <w:r w:rsidRPr="004611B2">
        <w:t xml:space="preserve"> In your view, is the capital impact of the current levels of the (p) factor</w:t>
      </w:r>
      <w:r w:rsidRPr="004611B2">
        <w:rPr>
          <w:spacing w:val="1"/>
        </w:rPr>
        <w:t xml:space="preserve"> </w:t>
      </w:r>
      <w:r w:rsidRPr="004611B2">
        <w:t>proportionate,</w:t>
      </w:r>
      <w:r w:rsidRPr="004611B2">
        <w:rPr>
          <w:spacing w:val="58"/>
        </w:rPr>
        <w:t xml:space="preserve"> </w:t>
      </w:r>
      <w:r w:rsidRPr="004611B2">
        <w:t>having</w:t>
      </w:r>
      <w:r w:rsidRPr="004611B2">
        <w:rPr>
          <w:spacing w:val="56"/>
        </w:rPr>
        <w:t xml:space="preserve"> </w:t>
      </w:r>
      <w:r w:rsidRPr="004611B2">
        <w:t>regard</w:t>
      </w:r>
      <w:r w:rsidRPr="004611B2">
        <w:rPr>
          <w:spacing w:val="58"/>
        </w:rPr>
        <w:t xml:space="preserve"> </w:t>
      </w:r>
      <w:r w:rsidRPr="004611B2">
        <w:t>to</w:t>
      </w:r>
      <w:r w:rsidRPr="004611B2">
        <w:rPr>
          <w:spacing w:val="59"/>
        </w:rPr>
        <w:t xml:space="preserve"> </w:t>
      </w:r>
      <w:r w:rsidRPr="004611B2">
        <w:t>the</w:t>
      </w:r>
      <w:r w:rsidRPr="004611B2">
        <w:rPr>
          <w:spacing w:val="58"/>
        </w:rPr>
        <w:t xml:space="preserve"> </w:t>
      </w:r>
      <w:r w:rsidRPr="004611B2">
        <w:t>relative</w:t>
      </w:r>
      <w:r w:rsidRPr="004611B2">
        <w:rPr>
          <w:spacing w:val="58"/>
        </w:rPr>
        <w:t xml:space="preserve"> </w:t>
      </w:r>
      <w:r w:rsidRPr="004611B2">
        <w:t>riskiness</w:t>
      </w:r>
      <w:r w:rsidRPr="004611B2">
        <w:rPr>
          <w:spacing w:val="58"/>
        </w:rPr>
        <w:t xml:space="preserve"> </w:t>
      </w:r>
      <w:r w:rsidRPr="004611B2">
        <w:t>of</w:t>
      </w:r>
      <w:r w:rsidRPr="004611B2">
        <w:rPr>
          <w:spacing w:val="58"/>
        </w:rPr>
        <w:t xml:space="preserve"> </w:t>
      </w:r>
      <w:r w:rsidRPr="004611B2">
        <w:t>each</w:t>
      </w:r>
      <w:r w:rsidRPr="004611B2">
        <w:rPr>
          <w:spacing w:val="58"/>
        </w:rPr>
        <w:t xml:space="preserve"> </w:t>
      </w:r>
      <w:r w:rsidRPr="004611B2">
        <w:t>of</w:t>
      </w:r>
      <w:r w:rsidRPr="004611B2">
        <w:rPr>
          <w:spacing w:val="58"/>
        </w:rPr>
        <w:t xml:space="preserve"> </w:t>
      </w:r>
      <w:r w:rsidRPr="004611B2">
        <w:t>the</w:t>
      </w:r>
      <w:r w:rsidRPr="004611B2">
        <w:rPr>
          <w:spacing w:val="58"/>
        </w:rPr>
        <w:t xml:space="preserve"> </w:t>
      </w:r>
      <w:r w:rsidRPr="004611B2">
        <w:t>tranches</w:t>
      </w:r>
      <w:r w:rsidRPr="004611B2">
        <w:rPr>
          <w:spacing w:val="58"/>
        </w:rPr>
        <w:t xml:space="preserve"> </w:t>
      </w:r>
      <w:r w:rsidRPr="004611B2">
        <w:t>in</w:t>
      </w:r>
      <w:r w:rsidRPr="004611B2">
        <w:rPr>
          <w:spacing w:val="59"/>
        </w:rPr>
        <w:t xml:space="preserve"> </w:t>
      </w:r>
      <w:r w:rsidRPr="004611B2">
        <w:t>the</w:t>
      </w:r>
      <w:r w:rsidRPr="004611B2">
        <w:rPr>
          <w:spacing w:val="-58"/>
        </w:rPr>
        <w:t xml:space="preserve"> </w:t>
      </w:r>
      <w:r w:rsidRPr="004611B2">
        <w:t>waterfall,</w:t>
      </w:r>
      <w:r w:rsidRPr="004611B2">
        <w:rPr>
          <w:spacing w:val="-1"/>
        </w:rPr>
        <w:t xml:space="preserve"> </w:t>
      </w:r>
      <w:r w:rsidRPr="004611B2">
        <w:t>and adequate</w:t>
      </w:r>
      <w:r w:rsidRPr="004611B2">
        <w:rPr>
          <w:spacing w:val="-1"/>
        </w:rPr>
        <w:t xml:space="preserve"> </w:t>
      </w:r>
      <w:r w:rsidRPr="004611B2">
        <w:t>to capture</w:t>
      </w:r>
      <w:r w:rsidRPr="004611B2">
        <w:rPr>
          <w:spacing w:val="-3"/>
        </w:rPr>
        <w:t xml:space="preserve"> </w:t>
      </w:r>
      <w:proofErr w:type="spellStart"/>
      <w:r w:rsidRPr="004611B2">
        <w:t>securitisations’</w:t>
      </w:r>
      <w:proofErr w:type="spellEnd"/>
      <w:r w:rsidRPr="004611B2">
        <w:rPr>
          <w:spacing w:val="1"/>
        </w:rPr>
        <w:t xml:space="preserve"> </w:t>
      </w:r>
      <w:r w:rsidRPr="004611B2">
        <w:t>agency</w:t>
      </w:r>
      <w:r w:rsidRPr="004611B2">
        <w:rPr>
          <w:spacing w:val="-3"/>
        </w:rPr>
        <w:t xml:space="preserve"> </w:t>
      </w:r>
      <w:r w:rsidRPr="004611B2">
        <w:t>and</w:t>
      </w:r>
      <w:r w:rsidRPr="004611B2">
        <w:rPr>
          <w:spacing w:val="-1"/>
        </w:rPr>
        <w:t xml:space="preserve"> </w:t>
      </w:r>
      <w:r w:rsidRPr="004611B2">
        <w:t>modelling</w:t>
      </w:r>
      <w:r w:rsidRPr="004611B2">
        <w:rPr>
          <w:spacing w:val="-3"/>
        </w:rPr>
        <w:t xml:space="preserve"> </w:t>
      </w:r>
      <w:r w:rsidRPr="004611B2">
        <w:t>risks?</w:t>
      </w:r>
    </w:p>
    <w:p w14:paraId="2A83AA0A" w14:textId="77777777" w:rsidR="00A35D8C" w:rsidRPr="004611B2" w:rsidRDefault="00A35D8C" w:rsidP="00A35D8C">
      <w:pPr>
        <w:spacing w:before="10"/>
      </w:pPr>
    </w:p>
    <w:p w14:paraId="181F1DCC" w14:textId="77777777" w:rsidR="00A35D8C" w:rsidRPr="004611B2" w:rsidRDefault="00A35D8C" w:rsidP="00A35D8C">
      <w:pPr>
        <w:ind w:left="592" w:right="8264"/>
      </w:pPr>
      <w:r w:rsidRPr="004611B2">
        <w:t>Yes</w:t>
      </w:r>
      <w:r w:rsidRPr="004611B2">
        <w:rPr>
          <w:spacing w:val="-57"/>
        </w:rPr>
        <w:t xml:space="preserve"> </w:t>
      </w:r>
      <w:r w:rsidRPr="004611B2">
        <w:rPr>
          <w:b/>
          <w:bCs/>
          <w:color w:val="0070C0"/>
        </w:rPr>
        <w:t>No</w:t>
      </w:r>
    </w:p>
    <w:p w14:paraId="7CC6DE9E" w14:textId="77777777" w:rsidR="00A35D8C" w:rsidRPr="004611B2" w:rsidRDefault="00A35D8C" w:rsidP="00A35D8C">
      <w:pPr>
        <w:spacing w:before="1"/>
        <w:ind w:left="592"/>
      </w:pPr>
      <w:r w:rsidRPr="004611B2">
        <w:t>No</w:t>
      </w:r>
      <w:r w:rsidRPr="004611B2">
        <w:rPr>
          <w:spacing w:val="-2"/>
        </w:rPr>
        <w:t xml:space="preserve"> </w:t>
      </w:r>
      <w:r w:rsidRPr="004611B2">
        <w:t>opinion</w:t>
      </w:r>
    </w:p>
    <w:p w14:paraId="7457467C" w14:textId="77777777" w:rsidR="00A35D8C" w:rsidRPr="004611B2" w:rsidRDefault="00A35D8C" w:rsidP="00A35D8C">
      <w:pPr>
        <w:spacing w:before="1"/>
        <w:ind w:left="592"/>
      </w:pPr>
    </w:p>
    <w:p w14:paraId="53380340" w14:textId="77777777" w:rsidR="00A35D8C" w:rsidRPr="00CC278F" w:rsidRDefault="00A35D8C" w:rsidP="00A35D8C">
      <w:pPr>
        <w:pStyle w:val="BodyText"/>
        <w:spacing w:before="1"/>
        <w:ind w:left="360"/>
        <w:rPr>
          <w:color w:val="0070C0"/>
          <w:lang w:val="nl-BE"/>
        </w:rPr>
      </w:pPr>
      <w:r w:rsidRPr="006F4D54">
        <w:rPr>
          <w:i/>
          <w:iCs/>
          <w:color w:val="0070C0"/>
          <w:u w:val="single"/>
        </w:rPr>
        <w:t>For synthetic on balance-sheet securitisations:</w:t>
      </w:r>
      <w:r w:rsidRPr="006F4D54">
        <w:rPr>
          <w:i/>
          <w:iCs/>
          <w:color w:val="0070C0"/>
          <w:u w:val="single"/>
        </w:rPr>
        <w:br/>
      </w:r>
      <w:r w:rsidRPr="00CC278F">
        <w:rPr>
          <w:color w:val="0070C0"/>
        </w:rPr>
        <w:t xml:space="preserve">P factor and RW floors were originally introduced </w:t>
      </w:r>
      <w:r w:rsidRPr="00B868A2">
        <w:rPr>
          <w:color w:val="0070C0"/>
        </w:rPr>
        <w:t xml:space="preserve">to create a </w:t>
      </w:r>
      <w:r w:rsidRPr="00B868A2">
        <w:rPr>
          <w:b/>
          <w:bCs/>
          <w:color w:val="0070C0"/>
        </w:rPr>
        <w:t>non-neutrality effect</w:t>
      </w:r>
      <w:r w:rsidRPr="00B868A2">
        <w:rPr>
          <w:color w:val="0070C0"/>
        </w:rPr>
        <w:t xml:space="preserve"> in capital vs the underlying pool, and account for</w:t>
      </w:r>
      <w:r w:rsidRPr="00CC278F">
        <w:rPr>
          <w:color w:val="0070C0"/>
        </w:rPr>
        <w:t xml:space="preserve"> the agency and modelling risks </w:t>
      </w:r>
      <w:r w:rsidRPr="00B868A2">
        <w:rPr>
          <w:color w:val="0070C0"/>
        </w:rPr>
        <w:t xml:space="preserve">specific to securitisation transactions. </w:t>
      </w:r>
      <w:r w:rsidRPr="00CC278F">
        <w:rPr>
          <w:color w:val="0070C0"/>
          <w:lang w:val="nl-BE"/>
        </w:rPr>
        <w:t xml:space="preserve">These risks were, between others, at the source of the collapse of US sub-prime residential mortgages securitisations during the 2007-2008 global financial crisis. </w:t>
      </w:r>
    </w:p>
    <w:p w14:paraId="26E18000" w14:textId="77777777" w:rsidR="00A35D8C" w:rsidRPr="00CC278F" w:rsidRDefault="00A35D8C" w:rsidP="00A35D8C">
      <w:pPr>
        <w:pStyle w:val="BodyText"/>
        <w:spacing w:before="1"/>
        <w:ind w:left="360"/>
        <w:rPr>
          <w:color w:val="0070C0"/>
          <w:lang w:val="nl-BE"/>
        </w:rPr>
      </w:pPr>
    </w:p>
    <w:p w14:paraId="33F839FF" w14:textId="77777777" w:rsidR="00A35D8C" w:rsidRPr="00CC278F" w:rsidRDefault="00A35D8C" w:rsidP="00A35D8C">
      <w:pPr>
        <w:pStyle w:val="BodyText"/>
        <w:spacing w:before="1"/>
        <w:ind w:left="360"/>
        <w:rPr>
          <w:color w:val="0070C0"/>
          <w:lang w:val="nl-BE"/>
        </w:rPr>
      </w:pPr>
      <w:r w:rsidRPr="00CC278F">
        <w:rPr>
          <w:color w:val="0070C0"/>
          <w:lang w:val="nl-BE"/>
        </w:rPr>
        <w:t>However, these risks are very different in synthetic on balance-sheet securitisations and have been materially mitigated since 2008 :</w:t>
      </w:r>
    </w:p>
    <w:p w14:paraId="54D5B5BD" w14:textId="77777777" w:rsidR="00A35D8C" w:rsidRPr="00CC278F" w:rsidRDefault="00A35D8C" w:rsidP="00A35D8C">
      <w:pPr>
        <w:pStyle w:val="BodyText"/>
        <w:spacing w:before="1"/>
        <w:rPr>
          <w:b/>
          <w:bCs/>
          <w:color w:val="0070C0"/>
          <w:lang w:val="nl-BE"/>
        </w:rPr>
      </w:pPr>
    </w:p>
    <w:p w14:paraId="25AA0627" w14:textId="77777777" w:rsidR="00A35D8C" w:rsidRPr="00CC278F" w:rsidRDefault="00A35D8C" w:rsidP="00A35D8C">
      <w:pPr>
        <w:pStyle w:val="BodyText"/>
        <w:numPr>
          <w:ilvl w:val="0"/>
          <w:numId w:val="7"/>
        </w:numPr>
        <w:spacing w:before="1"/>
        <w:ind w:left="709" w:hanging="283"/>
        <w:rPr>
          <w:color w:val="0070C0"/>
          <w:lang w:val="nl-BE"/>
        </w:rPr>
      </w:pPr>
      <w:r w:rsidRPr="00CC278F">
        <w:rPr>
          <w:b/>
          <w:bCs/>
          <w:color w:val="0070C0"/>
          <w:lang w:val="nl-BE"/>
        </w:rPr>
        <w:t>Agency risk</w:t>
      </w:r>
      <w:r w:rsidRPr="00CC278F">
        <w:rPr>
          <w:color w:val="0070C0"/>
          <w:lang w:val="nl-BE"/>
        </w:rPr>
        <w:t xml:space="preserve"> is the operational risk arising from the multiple relationships between the agents of a securitisation structure, and related information asymetries.</w:t>
      </w:r>
    </w:p>
    <w:p w14:paraId="06BACEA1" w14:textId="77777777" w:rsidR="00A35D8C" w:rsidRPr="00CC278F" w:rsidRDefault="00A35D8C" w:rsidP="00A35D8C">
      <w:pPr>
        <w:pStyle w:val="ListParagraph"/>
        <w:numPr>
          <w:ilvl w:val="2"/>
          <w:numId w:val="8"/>
        </w:numPr>
        <w:ind w:left="1134" w:hanging="283"/>
        <w:rPr>
          <w:color w:val="0070C0"/>
          <w:sz w:val="24"/>
          <w:szCs w:val="24"/>
        </w:rPr>
      </w:pPr>
      <w:r w:rsidRPr="00CC278F">
        <w:rPr>
          <w:color w:val="0070C0"/>
          <w:sz w:val="24"/>
          <w:szCs w:val="24"/>
        </w:rPr>
        <w:t xml:space="preserve">However, in synthetic on balance-sheet securitisations aiming at risk transfer, banks are retaining the senior tranche. For this retained tranche, there is </w:t>
      </w:r>
      <w:r w:rsidRPr="00CC278F">
        <w:rPr>
          <w:b/>
          <w:bCs/>
          <w:color w:val="0070C0"/>
          <w:sz w:val="24"/>
          <w:szCs w:val="24"/>
        </w:rPr>
        <w:t>no asymmetry of information</w:t>
      </w:r>
      <w:r w:rsidRPr="00CC278F">
        <w:rPr>
          <w:color w:val="0070C0"/>
          <w:sz w:val="24"/>
          <w:szCs w:val="24"/>
        </w:rPr>
        <w:t xml:space="preserve"> as the seller, the servicer and the buyer are the same institution: the originating bank</w:t>
      </w:r>
    </w:p>
    <w:p w14:paraId="47959C67" w14:textId="77777777" w:rsidR="00A35D8C" w:rsidRPr="00CC278F" w:rsidRDefault="00A35D8C" w:rsidP="00A35D8C">
      <w:pPr>
        <w:pStyle w:val="ListParagraph"/>
        <w:numPr>
          <w:ilvl w:val="2"/>
          <w:numId w:val="8"/>
        </w:numPr>
        <w:ind w:left="1134" w:hanging="283"/>
        <w:rPr>
          <w:color w:val="0070C0"/>
          <w:sz w:val="24"/>
          <w:szCs w:val="24"/>
        </w:rPr>
      </w:pPr>
      <w:r w:rsidRPr="00CC278F">
        <w:rPr>
          <w:color w:val="0070C0"/>
          <w:sz w:val="24"/>
          <w:szCs w:val="24"/>
        </w:rPr>
        <w:t>These transactions are also mostly private and not externally rated: they rarely bear the rating agency risk</w:t>
      </w:r>
    </w:p>
    <w:p w14:paraId="519DF1CF" w14:textId="77777777" w:rsidR="00A35D8C" w:rsidRPr="00CC278F" w:rsidRDefault="00A35D8C" w:rsidP="00A35D8C">
      <w:pPr>
        <w:ind w:left="774"/>
        <w:rPr>
          <w:color w:val="0070C0"/>
        </w:rPr>
      </w:pPr>
      <w:r w:rsidRPr="00CC278F">
        <w:rPr>
          <w:color w:val="0070C0"/>
        </w:rPr>
        <w:t xml:space="preserve">Therefore, </w:t>
      </w:r>
      <w:r w:rsidRPr="00CC278F">
        <w:rPr>
          <w:b/>
          <w:bCs/>
          <w:color w:val="0070C0"/>
        </w:rPr>
        <w:t>there is a specific rationale to reduce the non-neutrality effect created to account for agency risk in originators’ retained tranches of synthetic on-balance-sheet transactions.</w:t>
      </w:r>
      <w:r w:rsidRPr="00CC278F">
        <w:rPr>
          <w:b/>
          <w:bCs/>
          <w:color w:val="0070C0"/>
        </w:rPr>
        <w:br/>
      </w:r>
    </w:p>
    <w:p w14:paraId="33527C99" w14:textId="77777777" w:rsidR="00A35D8C" w:rsidRPr="00CC278F" w:rsidRDefault="00A35D8C" w:rsidP="00A35D8C">
      <w:pPr>
        <w:pStyle w:val="BodyText"/>
        <w:numPr>
          <w:ilvl w:val="0"/>
          <w:numId w:val="7"/>
        </w:numPr>
        <w:spacing w:before="1"/>
        <w:ind w:left="774" w:hanging="283"/>
        <w:rPr>
          <w:b/>
          <w:bCs/>
          <w:color w:val="0070C0"/>
        </w:rPr>
      </w:pPr>
      <w:r w:rsidRPr="00CC278F">
        <w:rPr>
          <w:b/>
          <w:bCs/>
          <w:color w:val="0070C0"/>
        </w:rPr>
        <w:t>Modelling risk</w:t>
      </w:r>
      <w:r w:rsidRPr="00CC278F">
        <w:rPr>
          <w:color w:val="0070C0"/>
        </w:rPr>
        <w:t xml:space="preserve">, as articulated in 2012 and 2014 BCBS papers justifying non—neutrality in the securitisation framework (*) arises from the layering of models and assumptions made on the underlying pool and on transaction structural features to estimate the loss distribution which serves to define the waterfall of tranche. </w:t>
      </w:r>
      <w:r w:rsidRPr="00CC278F">
        <w:rPr>
          <w:color w:val="0070C0"/>
        </w:rPr>
        <w:br/>
      </w:r>
    </w:p>
    <w:p w14:paraId="7E82D0B8" w14:textId="77777777" w:rsidR="00A35D8C" w:rsidRPr="00CC278F" w:rsidRDefault="00A35D8C" w:rsidP="00A35D8C">
      <w:pPr>
        <w:ind w:left="709" w:hanging="142"/>
        <w:rPr>
          <w:color w:val="0070C0"/>
        </w:rPr>
      </w:pPr>
      <w:r w:rsidRPr="00CC278F">
        <w:rPr>
          <w:color w:val="0070C0"/>
        </w:rPr>
        <w:t xml:space="preserve">   However, </w:t>
      </w:r>
      <w:proofErr w:type="gramStart"/>
      <w:r w:rsidRPr="00CC278F">
        <w:rPr>
          <w:color w:val="0070C0"/>
        </w:rPr>
        <w:t>subsequent to</w:t>
      </w:r>
      <w:proofErr w:type="gramEnd"/>
      <w:r w:rsidRPr="00CC278F">
        <w:rPr>
          <w:color w:val="0070C0"/>
        </w:rPr>
        <w:t xml:space="preserve"> those BCBS papers, and </w:t>
      </w:r>
      <w:r w:rsidRPr="00CC278F">
        <w:rPr>
          <w:b/>
          <w:bCs/>
          <w:color w:val="0070C0"/>
        </w:rPr>
        <w:t>particularly in the EU</w:t>
      </w:r>
      <w:r w:rsidRPr="00CC278F">
        <w:rPr>
          <w:color w:val="0070C0"/>
        </w:rPr>
        <w:t>, confidence in models has been significantly enhanced by the following initiatives:</w:t>
      </w:r>
    </w:p>
    <w:p w14:paraId="7B8E2C8F" w14:textId="77777777" w:rsidR="00A35D8C" w:rsidRPr="00CC278F" w:rsidRDefault="00A35D8C" w:rsidP="00A35D8C">
      <w:pPr>
        <w:pStyle w:val="ListParagraph"/>
        <w:numPr>
          <w:ilvl w:val="2"/>
          <w:numId w:val="8"/>
        </w:numPr>
        <w:ind w:left="1134" w:hanging="283"/>
        <w:rPr>
          <w:color w:val="0070C0"/>
          <w:sz w:val="24"/>
          <w:szCs w:val="24"/>
        </w:rPr>
      </w:pPr>
      <w:r w:rsidRPr="00CC278F">
        <w:rPr>
          <w:color w:val="0070C0"/>
          <w:sz w:val="24"/>
          <w:szCs w:val="24"/>
        </w:rPr>
        <w:t>BA IRB repair: harmonization of modelling practices (2013)</w:t>
      </w:r>
    </w:p>
    <w:p w14:paraId="185064C2" w14:textId="77777777" w:rsidR="00A35D8C" w:rsidRPr="00CC278F" w:rsidRDefault="00A35D8C" w:rsidP="00A35D8C">
      <w:pPr>
        <w:pStyle w:val="ListParagraph"/>
        <w:numPr>
          <w:ilvl w:val="2"/>
          <w:numId w:val="8"/>
        </w:numPr>
        <w:ind w:left="1134" w:hanging="283"/>
        <w:rPr>
          <w:color w:val="0070C0"/>
          <w:sz w:val="24"/>
          <w:szCs w:val="24"/>
        </w:rPr>
      </w:pPr>
      <w:r w:rsidRPr="00CC278F">
        <w:rPr>
          <w:color w:val="0070C0"/>
          <w:sz w:val="24"/>
          <w:szCs w:val="24"/>
        </w:rPr>
        <w:t xml:space="preserve">TRIM: deep review of </w:t>
      </w:r>
      <w:r w:rsidRPr="00CC278F">
        <w:rPr>
          <w:color w:val="0070C0"/>
          <w:sz w:val="24"/>
          <w:szCs w:val="24"/>
          <w:lang w:val="nl-BE"/>
        </w:rPr>
        <w:t>banks’ main i</w:t>
      </w:r>
      <w:proofErr w:type="spellStart"/>
      <w:r w:rsidRPr="00CC278F">
        <w:rPr>
          <w:color w:val="0070C0"/>
          <w:sz w:val="24"/>
          <w:szCs w:val="24"/>
        </w:rPr>
        <w:t>nternal</w:t>
      </w:r>
      <w:proofErr w:type="spellEnd"/>
      <w:r w:rsidRPr="00CC278F">
        <w:rPr>
          <w:color w:val="0070C0"/>
          <w:sz w:val="24"/>
          <w:szCs w:val="24"/>
        </w:rPr>
        <w:t xml:space="preserve"> models by supervisors</w:t>
      </w:r>
    </w:p>
    <w:p w14:paraId="5F36353A" w14:textId="77777777" w:rsidR="00A35D8C" w:rsidRPr="00CC278F" w:rsidRDefault="00A35D8C" w:rsidP="00A35D8C">
      <w:pPr>
        <w:pStyle w:val="ListParagraph"/>
        <w:numPr>
          <w:ilvl w:val="2"/>
          <w:numId w:val="8"/>
        </w:numPr>
        <w:ind w:left="1134" w:hanging="283"/>
        <w:rPr>
          <w:color w:val="0070C0"/>
          <w:sz w:val="24"/>
          <w:szCs w:val="24"/>
        </w:rPr>
      </w:pPr>
      <w:r w:rsidRPr="00CC278F">
        <w:rPr>
          <w:color w:val="0070C0"/>
          <w:sz w:val="24"/>
          <w:szCs w:val="24"/>
        </w:rPr>
        <w:t>Model risk management frameworks and capital attributed to model risk</w:t>
      </w:r>
    </w:p>
    <w:p w14:paraId="3DA4C83D" w14:textId="77777777" w:rsidR="00A35D8C" w:rsidRPr="00CC278F" w:rsidRDefault="00A35D8C" w:rsidP="00A35D8C">
      <w:pPr>
        <w:pStyle w:val="ListParagraph"/>
        <w:numPr>
          <w:ilvl w:val="2"/>
          <w:numId w:val="8"/>
        </w:numPr>
        <w:ind w:left="1134" w:hanging="283"/>
        <w:rPr>
          <w:color w:val="0070C0"/>
          <w:sz w:val="24"/>
          <w:szCs w:val="24"/>
        </w:rPr>
      </w:pPr>
      <w:r w:rsidRPr="00CC278F">
        <w:rPr>
          <w:color w:val="0070C0"/>
          <w:sz w:val="24"/>
          <w:szCs w:val="24"/>
        </w:rPr>
        <w:t>Forward-looking yearly stress tests, to complement historical models</w:t>
      </w:r>
      <w:r w:rsidRPr="00CC278F">
        <w:rPr>
          <w:color w:val="0070C0"/>
          <w:sz w:val="24"/>
          <w:szCs w:val="24"/>
        </w:rPr>
        <w:br/>
      </w:r>
    </w:p>
    <w:p w14:paraId="75A2A1A6" w14:textId="77777777" w:rsidR="00A35D8C" w:rsidRPr="00B868A2" w:rsidRDefault="00A35D8C" w:rsidP="00A35D8C">
      <w:pPr>
        <w:ind w:left="709"/>
        <w:rPr>
          <w:color w:val="0070C0"/>
        </w:rPr>
      </w:pPr>
      <w:r w:rsidRPr="00CC278F">
        <w:rPr>
          <w:b/>
          <w:bCs/>
          <w:color w:val="0070C0"/>
        </w:rPr>
        <w:t xml:space="preserve">P factors and RW floors have not been amended to reflect these model risk mitigants. The non-neutrality of </w:t>
      </w:r>
      <w:proofErr w:type="spellStart"/>
      <w:r w:rsidRPr="00CC278F">
        <w:rPr>
          <w:b/>
          <w:bCs/>
          <w:color w:val="0070C0"/>
        </w:rPr>
        <w:t>securitisation</w:t>
      </w:r>
      <w:proofErr w:type="spellEnd"/>
      <w:r w:rsidRPr="00CC278F">
        <w:rPr>
          <w:b/>
          <w:bCs/>
          <w:color w:val="0070C0"/>
        </w:rPr>
        <w:t xml:space="preserve"> risk weights achieved through p factor and RW</w:t>
      </w:r>
      <w:r w:rsidRPr="00CC278F">
        <w:rPr>
          <w:b/>
          <w:bCs/>
          <w:color w:val="0070C0"/>
          <w:lang w:val="nl-BE"/>
        </w:rPr>
        <w:t xml:space="preserve"> </w:t>
      </w:r>
      <w:r w:rsidRPr="00CC278F">
        <w:rPr>
          <w:b/>
          <w:bCs/>
          <w:color w:val="0070C0"/>
        </w:rPr>
        <w:t xml:space="preserve">floors was </w:t>
      </w:r>
      <w:proofErr w:type="gramStart"/>
      <w:r w:rsidRPr="00CC278F">
        <w:rPr>
          <w:b/>
          <w:bCs/>
          <w:color w:val="0070C0"/>
        </w:rPr>
        <w:t>actually increased</w:t>
      </w:r>
      <w:proofErr w:type="gramEnd"/>
      <w:r w:rsidRPr="00CC278F">
        <w:rPr>
          <w:b/>
          <w:bCs/>
          <w:color w:val="0070C0"/>
        </w:rPr>
        <w:t xml:space="preserve"> in recent years. </w:t>
      </w:r>
      <w:r w:rsidRPr="00CC278F">
        <w:rPr>
          <w:b/>
          <w:bCs/>
          <w:color w:val="0070C0"/>
        </w:rPr>
        <w:br/>
      </w:r>
      <w:r w:rsidRPr="00CC278F">
        <w:rPr>
          <w:color w:val="0070C0"/>
        </w:rPr>
        <w:t xml:space="preserve">STS transactions – simpler and more </w:t>
      </w:r>
      <w:proofErr w:type="spellStart"/>
      <w:r w:rsidRPr="00CC278F">
        <w:rPr>
          <w:color w:val="0070C0"/>
        </w:rPr>
        <w:t>standardised</w:t>
      </w:r>
      <w:proofErr w:type="spellEnd"/>
      <w:r w:rsidRPr="00CC278F">
        <w:rPr>
          <w:color w:val="0070C0"/>
        </w:rPr>
        <w:t xml:space="preserve"> – and naturally embedding a lower modelling risk, only “benefitted” from a more limited increase. The reduced risk weights associated with STS do not purport to reflect the broader, fundamental, reductions in model risk achieved by EU banks and outlined above.  </w:t>
      </w:r>
    </w:p>
    <w:p w14:paraId="7B20672B" w14:textId="77777777" w:rsidR="00A35D8C" w:rsidRPr="00CC278F" w:rsidRDefault="00A35D8C" w:rsidP="00A35D8C">
      <w:pPr>
        <w:ind w:left="720"/>
        <w:rPr>
          <w:color w:val="0070C0"/>
        </w:rPr>
      </w:pPr>
      <w:r w:rsidRPr="00CC278F">
        <w:rPr>
          <w:color w:val="0070C0"/>
        </w:rPr>
        <w:t xml:space="preserve">As indicated by BCBS, modelling risk resides mostly in the senior tranches, </w:t>
      </w:r>
      <w:proofErr w:type="gramStart"/>
      <w:r w:rsidRPr="00CC278F">
        <w:rPr>
          <w:color w:val="0070C0"/>
        </w:rPr>
        <w:t>i.e.</w:t>
      </w:r>
      <w:proofErr w:type="gramEnd"/>
      <w:r w:rsidRPr="00CC278F">
        <w:rPr>
          <w:color w:val="0070C0"/>
        </w:rPr>
        <w:t xml:space="preserve"> in the ultimate level of the waterfall structure, while junior tranches are only sensitive to genuine credit risk. </w:t>
      </w:r>
      <w:r w:rsidRPr="00CC278F">
        <w:rPr>
          <w:b/>
          <w:bCs/>
          <w:color w:val="0070C0"/>
        </w:rPr>
        <w:t>The reduction of non-neutrality due to model risk should therefore specifically target a reduction of the RW floor on senior tranches</w:t>
      </w:r>
      <w:r w:rsidRPr="00CC278F">
        <w:rPr>
          <w:color w:val="0070C0"/>
        </w:rPr>
        <w:t>, which are typically retained by banks.</w:t>
      </w:r>
      <w:r>
        <w:rPr>
          <w:color w:val="0070C0"/>
        </w:rPr>
        <w:br/>
      </w:r>
    </w:p>
    <w:p w14:paraId="2522E538" w14:textId="77777777" w:rsidR="00A35D8C" w:rsidRPr="00CC278F" w:rsidRDefault="00A35D8C" w:rsidP="00A35D8C">
      <w:pPr>
        <w:pStyle w:val="ListParagraph"/>
        <w:numPr>
          <w:ilvl w:val="0"/>
          <w:numId w:val="7"/>
        </w:numPr>
        <w:ind w:firstLine="66"/>
        <w:rPr>
          <w:color w:val="0070C0"/>
          <w:sz w:val="24"/>
          <w:szCs w:val="24"/>
          <w:lang w:val="en-US"/>
        </w:rPr>
      </w:pPr>
      <w:r w:rsidRPr="00CC278F">
        <w:rPr>
          <w:color w:val="0070C0"/>
          <w:sz w:val="24"/>
          <w:szCs w:val="24"/>
          <w:lang w:val="en-US"/>
        </w:rPr>
        <w:t xml:space="preserve">Moreover, </w:t>
      </w:r>
    </w:p>
    <w:p w14:paraId="46C04DEA" w14:textId="77777777" w:rsidR="00A35D8C" w:rsidRPr="00CC278F" w:rsidRDefault="00A35D8C" w:rsidP="00A35D8C">
      <w:pPr>
        <w:pStyle w:val="ListParagraph"/>
        <w:numPr>
          <w:ilvl w:val="1"/>
          <w:numId w:val="7"/>
        </w:numPr>
        <w:rPr>
          <w:color w:val="0070C0"/>
          <w:sz w:val="24"/>
          <w:szCs w:val="24"/>
        </w:rPr>
      </w:pPr>
      <w:r w:rsidRPr="00CC278F">
        <w:rPr>
          <w:color w:val="0070C0"/>
          <w:sz w:val="24"/>
          <w:szCs w:val="24"/>
        </w:rPr>
        <w:t xml:space="preserve">the strengthening of the regulatory landscape for securitisations has </w:t>
      </w:r>
      <w:proofErr w:type="gramStart"/>
      <w:r w:rsidRPr="00CC278F">
        <w:rPr>
          <w:color w:val="0070C0"/>
          <w:sz w:val="24"/>
          <w:szCs w:val="24"/>
        </w:rPr>
        <w:t>reduced significantly</w:t>
      </w:r>
      <w:proofErr w:type="gramEnd"/>
      <w:r w:rsidRPr="00CC278F">
        <w:rPr>
          <w:color w:val="0070C0"/>
          <w:sz w:val="24"/>
          <w:szCs w:val="24"/>
        </w:rPr>
        <w:t xml:space="preserve"> the agency and model risks which justified the introduction of the p factor after the Global Financial Crisis</w:t>
      </w:r>
    </w:p>
    <w:p w14:paraId="5A79E92A" w14:textId="77777777" w:rsidR="00A35D8C" w:rsidRPr="00CC278F" w:rsidRDefault="00A35D8C" w:rsidP="00A35D8C">
      <w:pPr>
        <w:pStyle w:val="ListParagraph"/>
        <w:numPr>
          <w:ilvl w:val="1"/>
          <w:numId w:val="7"/>
        </w:numPr>
        <w:rPr>
          <w:color w:val="0070C0"/>
          <w:sz w:val="24"/>
          <w:szCs w:val="24"/>
        </w:rPr>
      </w:pPr>
      <w:r w:rsidRPr="00CC278F">
        <w:rPr>
          <w:color w:val="0070C0"/>
          <w:sz w:val="24"/>
          <w:szCs w:val="24"/>
        </w:rPr>
        <w:t>Many additional safeguards are now in place in regulations to offset any perceived additional risks (</w:t>
      </w:r>
      <w:proofErr w:type="gramStart"/>
      <w:r w:rsidRPr="00CC278F">
        <w:rPr>
          <w:color w:val="0070C0"/>
          <w:sz w:val="24"/>
          <w:szCs w:val="24"/>
        </w:rPr>
        <w:t>e.g.</w:t>
      </w:r>
      <w:proofErr w:type="gramEnd"/>
      <w:r w:rsidRPr="00CC278F">
        <w:rPr>
          <w:color w:val="0070C0"/>
          <w:sz w:val="24"/>
          <w:szCs w:val="24"/>
        </w:rPr>
        <w:t xml:space="preserve"> Systematic supervisory review of the SRT assessment process).</w:t>
      </w:r>
      <w:r w:rsidRPr="00CC278F">
        <w:rPr>
          <w:color w:val="0070C0"/>
          <w:sz w:val="24"/>
          <w:szCs w:val="24"/>
        </w:rPr>
        <w:br/>
      </w:r>
    </w:p>
    <w:p w14:paraId="11F2E453" w14:textId="77777777" w:rsidR="00A35D8C" w:rsidRPr="00CC278F" w:rsidRDefault="00A35D8C" w:rsidP="00A35D8C">
      <w:pPr>
        <w:ind w:left="349"/>
        <w:rPr>
          <w:b/>
          <w:bCs/>
          <w:color w:val="0070C0"/>
        </w:rPr>
      </w:pPr>
      <w:r w:rsidRPr="00CC278F">
        <w:rPr>
          <w:b/>
          <w:bCs/>
          <w:color w:val="0070C0"/>
        </w:rPr>
        <w:t xml:space="preserve">All in, in synthetic on balance-sheet </w:t>
      </w:r>
      <w:proofErr w:type="spellStart"/>
      <w:r w:rsidRPr="00CC278F">
        <w:rPr>
          <w:b/>
          <w:bCs/>
          <w:color w:val="0070C0"/>
        </w:rPr>
        <w:t>securitisations</w:t>
      </w:r>
      <w:proofErr w:type="spellEnd"/>
      <w:r w:rsidRPr="00CC278F">
        <w:rPr>
          <w:b/>
          <w:bCs/>
          <w:color w:val="0070C0"/>
        </w:rPr>
        <w:t>, the absence of information asymmetry (agency risk) and the mitigation of the model risk specific to retained senior tranches justify for a recalibration of both the p factor and the RW floor.</w:t>
      </w:r>
    </w:p>
    <w:p w14:paraId="2E2E057E" w14:textId="77777777" w:rsidR="00A35D8C" w:rsidRPr="00CC278F" w:rsidRDefault="00A35D8C" w:rsidP="00A35D8C">
      <w:pPr>
        <w:pStyle w:val="ListParagraph"/>
        <w:ind w:left="349" w:firstLine="0"/>
        <w:rPr>
          <w:color w:val="0070C0"/>
          <w:sz w:val="24"/>
          <w:szCs w:val="24"/>
        </w:rPr>
      </w:pPr>
      <w:r w:rsidRPr="00CC278F">
        <w:rPr>
          <w:color w:val="0070C0"/>
          <w:sz w:val="24"/>
          <w:szCs w:val="24"/>
        </w:rPr>
        <w:br/>
        <w:t>Moreover, the finalisation of Ba</w:t>
      </w:r>
      <w:proofErr w:type="spellStart"/>
      <w:r w:rsidRPr="00CC278F">
        <w:rPr>
          <w:color w:val="0070C0"/>
          <w:sz w:val="24"/>
          <w:szCs w:val="24"/>
          <w:lang w:val="en-US"/>
        </w:rPr>
        <w:t>sel</w:t>
      </w:r>
      <w:proofErr w:type="spellEnd"/>
      <w:r w:rsidRPr="00CC278F">
        <w:rPr>
          <w:color w:val="0070C0"/>
          <w:sz w:val="24"/>
          <w:szCs w:val="24"/>
          <w:lang w:val="en-US"/>
        </w:rPr>
        <w:t xml:space="preserve"> III</w:t>
      </w:r>
      <w:r w:rsidRPr="00CC278F">
        <w:rPr>
          <w:color w:val="0070C0"/>
          <w:sz w:val="24"/>
          <w:szCs w:val="24"/>
        </w:rPr>
        <w:t xml:space="preserve"> will introduce a double layer of conservatism on balance-sheet securitisations on the pools RWA and on the risk-weight of the tranches:</w:t>
      </w:r>
    </w:p>
    <w:p w14:paraId="3695753C" w14:textId="77777777" w:rsidR="00A35D8C" w:rsidRPr="00CC278F" w:rsidRDefault="00A35D8C" w:rsidP="00A35D8C">
      <w:pPr>
        <w:pStyle w:val="ListParagraph"/>
        <w:numPr>
          <w:ilvl w:val="1"/>
          <w:numId w:val="9"/>
        </w:numPr>
        <w:ind w:left="720"/>
        <w:rPr>
          <w:color w:val="0070C0"/>
          <w:sz w:val="24"/>
          <w:szCs w:val="24"/>
        </w:rPr>
      </w:pPr>
      <w:r w:rsidRPr="00CC278F">
        <w:rPr>
          <w:color w:val="0070C0"/>
          <w:sz w:val="24"/>
          <w:szCs w:val="24"/>
        </w:rPr>
        <w:t xml:space="preserve">The first layer of conservatism relates to the calculation of the </w:t>
      </w:r>
      <w:r w:rsidRPr="00CC278F">
        <w:rPr>
          <w:b/>
          <w:bCs/>
          <w:color w:val="0070C0"/>
          <w:sz w:val="24"/>
          <w:szCs w:val="24"/>
        </w:rPr>
        <w:t>RW on retained tranches</w:t>
      </w:r>
      <w:r w:rsidRPr="00CC278F">
        <w:rPr>
          <w:color w:val="0070C0"/>
          <w:sz w:val="24"/>
          <w:szCs w:val="24"/>
        </w:rPr>
        <w:t>: the RW on retained tranches under SEC-IRBA is, in effect, floored based on the output of SEC-SA (or SEC-ERB) calculations, which are more conservatively calibrated than the SEC-IRBA.</w:t>
      </w:r>
    </w:p>
    <w:p w14:paraId="1EBF5D0F" w14:textId="77777777" w:rsidR="00A35D8C" w:rsidRPr="00CC278F" w:rsidRDefault="00A35D8C" w:rsidP="00A35D8C">
      <w:pPr>
        <w:pStyle w:val="ListParagraph"/>
        <w:numPr>
          <w:ilvl w:val="1"/>
          <w:numId w:val="9"/>
        </w:numPr>
        <w:ind w:left="720"/>
        <w:rPr>
          <w:color w:val="0070C0"/>
          <w:sz w:val="24"/>
          <w:szCs w:val="24"/>
        </w:rPr>
      </w:pPr>
      <w:r w:rsidRPr="00CC278F">
        <w:rPr>
          <w:color w:val="0070C0"/>
          <w:sz w:val="24"/>
          <w:szCs w:val="24"/>
        </w:rPr>
        <w:t xml:space="preserve">The second layer of conservatism results from the application of the SA, which is more conservatively calibrated than the IRBA, to calculate the </w:t>
      </w:r>
      <w:r w:rsidRPr="00CC278F">
        <w:rPr>
          <w:b/>
          <w:bCs/>
          <w:color w:val="0070C0"/>
          <w:sz w:val="24"/>
          <w:szCs w:val="24"/>
        </w:rPr>
        <w:t>RW of the underlying pool</w:t>
      </w:r>
      <w:r w:rsidRPr="00CC278F">
        <w:rPr>
          <w:color w:val="0070C0"/>
          <w:sz w:val="24"/>
          <w:szCs w:val="24"/>
        </w:rPr>
        <w:t>, as an input to SEC-SA: the SA will lead to a higher capital charge without any change in the underlying risk.</w:t>
      </w:r>
    </w:p>
    <w:p w14:paraId="2E61CF42" w14:textId="77777777" w:rsidR="00A35D8C" w:rsidRPr="00CC278F" w:rsidRDefault="00A35D8C" w:rsidP="00A35D8C">
      <w:pPr>
        <w:ind w:left="349"/>
        <w:rPr>
          <w:color w:val="0070C0"/>
        </w:rPr>
      </w:pPr>
      <w:r w:rsidRPr="00CC278F">
        <w:rPr>
          <w:color w:val="0070C0"/>
        </w:rPr>
        <w:t xml:space="preserve">The consequences of the output floor on </w:t>
      </w:r>
      <w:proofErr w:type="spellStart"/>
      <w:r w:rsidRPr="00CC278F">
        <w:rPr>
          <w:color w:val="0070C0"/>
        </w:rPr>
        <w:t>securitisation</w:t>
      </w:r>
      <w:proofErr w:type="spellEnd"/>
      <w:r w:rsidRPr="00CC278F">
        <w:rPr>
          <w:color w:val="0070C0"/>
        </w:rPr>
        <w:t xml:space="preserve"> </w:t>
      </w:r>
      <w:proofErr w:type="gramStart"/>
      <w:r w:rsidRPr="00CC278F">
        <w:rPr>
          <w:color w:val="0070C0"/>
        </w:rPr>
        <w:t>is</w:t>
      </w:r>
      <w:proofErr w:type="gramEnd"/>
      <w:r w:rsidRPr="00CC278F">
        <w:rPr>
          <w:color w:val="0070C0"/>
        </w:rPr>
        <w:t xml:space="preserve"> again particularly worrying for synthetic </w:t>
      </w:r>
      <w:proofErr w:type="spellStart"/>
      <w:r w:rsidRPr="00CC278F">
        <w:rPr>
          <w:color w:val="0070C0"/>
        </w:rPr>
        <w:t>securitisations</w:t>
      </w:r>
      <w:proofErr w:type="spellEnd"/>
      <w:r w:rsidRPr="00CC278F">
        <w:rPr>
          <w:color w:val="0070C0"/>
        </w:rPr>
        <w:t xml:space="preserve"> where - by definition - the senior tranche is retained, contrary to traditional true sale </w:t>
      </w:r>
      <w:proofErr w:type="spellStart"/>
      <w:r w:rsidRPr="00CC278F">
        <w:rPr>
          <w:color w:val="0070C0"/>
        </w:rPr>
        <w:t>securitisations</w:t>
      </w:r>
      <w:proofErr w:type="spellEnd"/>
      <w:r w:rsidRPr="00CC278F">
        <w:rPr>
          <w:color w:val="0070C0"/>
        </w:rPr>
        <w:t xml:space="preserve">. </w:t>
      </w:r>
    </w:p>
    <w:p w14:paraId="7958E366" w14:textId="77777777" w:rsidR="00A35D8C" w:rsidRPr="00CC278F" w:rsidRDefault="00A35D8C" w:rsidP="00A35D8C">
      <w:pPr>
        <w:ind w:left="349"/>
        <w:rPr>
          <w:color w:val="0070C0"/>
        </w:rPr>
      </w:pPr>
      <w:r w:rsidRPr="00CC278F">
        <w:rPr>
          <w:color w:val="0070C0"/>
        </w:rPr>
        <w:t xml:space="preserve">It is important that the RWA inflation due to the introduction of IRB input floors and the SA output floors on </w:t>
      </w:r>
      <w:proofErr w:type="spellStart"/>
      <w:r w:rsidRPr="00CC278F">
        <w:rPr>
          <w:color w:val="0070C0"/>
        </w:rPr>
        <w:t>securitised</w:t>
      </w:r>
      <w:proofErr w:type="spellEnd"/>
      <w:r w:rsidRPr="00CC278F">
        <w:rPr>
          <w:color w:val="0070C0"/>
        </w:rPr>
        <w:t xml:space="preserve"> pools is not further magnified by the non-neutrality of the </w:t>
      </w:r>
      <w:proofErr w:type="spellStart"/>
      <w:r w:rsidRPr="00CC278F">
        <w:rPr>
          <w:color w:val="0070C0"/>
        </w:rPr>
        <w:t>securitisation</w:t>
      </w:r>
      <w:proofErr w:type="spellEnd"/>
      <w:r w:rsidRPr="00CC278F">
        <w:rPr>
          <w:color w:val="0070C0"/>
        </w:rPr>
        <w:t xml:space="preserve"> risk weight functions. Hence a re-calibration of the SEC-IRBA and SEC-SA formulae should be undertaken.  </w:t>
      </w:r>
    </w:p>
    <w:p w14:paraId="6218CABF" w14:textId="77777777" w:rsidR="00A35D8C" w:rsidRPr="00CC278F" w:rsidRDefault="00A35D8C" w:rsidP="00A35D8C">
      <w:pPr>
        <w:ind w:left="349"/>
        <w:rPr>
          <w:b/>
          <w:bCs/>
          <w:color w:val="0070C0"/>
        </w:rPr>
      </w:pPr>
      <w:r w:rsidRPr="00CC278F">
        <w:rPr>
          <w:b/>
          <w:bCs/>
          <w:color w:val="0070C0"/>
        </w:rPr>
        <w:t xml:space="preserve">By increasing the non-neutrality effect without change in the underlying risks, the </w:t>
      </w:r>
      <w:proofErr w:type="spellStart"/>
      <w:r w:rsidRPr="00CC278F">
        <w:rPr>
          <w:b/>
          <w:bCs/>
          <w:color w:val="0070C0"/>
        </w:rPr>
        <w:t>finalisation</w:t>
      </w:r>
      <w:proofErr w:type="spellEnd"/>
      <w:r w:rsidRPr="00CC278F">
        <w:rPr>
          <w:b/>
          <w:bCs/>
          <w:color w:val="0070C0"/>
        </w:rPr>
        <w:t xml:space="preserve"> of Basel III will also justify a review of the p factors and RW floors, particularly for on balance-sheet </w:t>
      </w:r>
      <w:proofErr w:type="spellStart"/>
      <w:r w:rsidRPr="00CC278F">
        <w:rPr>
          <w:b/>
          <w:bCs/>
          <w:color w:val="0070C0"/>
        </w:rPr>
        <w:t>securitisation</w:t>
      </w:r>
      <w:proofErr w:type="spellEnd"/>
      <w:r w:rsidRPr="00CC278F">
        <w:rPr>
          <w:b/>
          <w:bCs/>
          <w:color w:val="0070C0"/>
        </w:rPr>
        <w:t xml:space="preserve"> where senior tranches are retained.</w:t>
      </w:r>
    </w:p>
    <w:p w14:paraId="6C26E39E" w14:textId="77777777" w:rsidR="00A35D8C" w:rsidRPr="004611B2" w:rsidRDefault="00A35D8C" w:rsidP="00A35D8C">
      <w:pPr>
        <w:spacing w:before="1"/>
        <w:ind w:left="360"/>
        <w:rPr>
          <w:color w:val="0070C0"/>
        </w:rPr>
      </w:pPr>
    </w:p>
    <w:p w14:paraId="2AF70342" w14:textId="77777777" w:rsidR="00A35D8C" w:rsidRDefault="00A35D8C" w:rsidP="00A35D8C">
      <w:pPr>
        <w:ind w:left="349"/>
        <w:rPr>
          <w:color w:val="0070C0"/>
        </w:rPr>
      </w:pPr>
    </w:p>
    <w:p w14:paraId="6144D351" w14:textId="77777777" w:rsidR="00A35D8C" w:rsidRPr="00CC278F" w:rsidRDefault="00A35D8C" w:rsidP="00A35D8C">
      <w:pPr>
        <w:ind w:left="349"/>
        <w:rPr>
          <w:color w:val="0070C0"/>
        </w:rPr>
      </w:pPr>
      <w:r w:rsidRPr="00CC278F">
        <w:rPr>
          <w:color w:val="0070C0"/>
        </w:rPr>
        <w:t xml:space="preserve">(*) </w:t>
      </w:r>
      <w:r w:rsidRPr="00CC278F">
        <w:rPr>
          <w:color w:val="0070C0"/>
          <w:u w:val="single"/>
        </w:rPr>
        <w:t>BCBS 2012</w:t>
      </w:r>
      <w:r w:rsidRPr="00CC278F">
        <w:rPr>
          <w:color w:val="0070C0"/>
        </w:rPr>
        <w:t xml:space="preserve"> consultative paper: </w:t>
      </w:r>
      <w:r w:rsidRPr="00CC278F">
        <w:rPr>
          <w:color w:val="0070C0"/>
          <w:sz w:val="20"/>
          <w:szCs w:val="20"/>
        </w:rPr>
        <w:t>“</w:t>
      </w:r>
      <w:r w:rsidRPr="00CC278F">
        <w:rPr>
          <w:i/>
          <w:iCs/>
          <w:color w:val="0070C0"/>
          <w:sz w:val="20"/>
          <w:szCs w:val="20"/>
        </w:rPr>
        <w:t xml:space="preserve">Model risk is arguably more acute for </w:t>
      </w:r>
      <w:proofErr w:type="spellStart"/>
      <w:r w:rsidRPr="00CC278F">
        <w:rPr>
          <w:i/>
          <w:iCs/>
          <w:color w:val="0070C0"/>
          <w:sz w:val="20"/>
          <w:szCs w:val="20"/>
        </w:rPr>
        <w:t>securitisations</w:t>
      </w:r>
      <w:proofErr w:type="spellEnd"/>
      <w:r w:rsidRPr="00CC278F">
        <w:rPr>
          <w:i/>
          <w:iCs/>
          <w:color w:val="0070C0"/>
          <w:sz w:val="20"/>
          <w:szCs w:val="20"/>
        </w:rPr>
        <w:t xml:space="preserve"> exposures, because setting capital requirements for </w:t>
      </w:r>
      <w:proofErr w:type="spellStart"/>
      <w:r w:rsidRPr="00CC278F">
        <w:rPr>
          <w:i/>
          <w:iCs/>
          <w:color w:val="0070C0"/>
          <w:sz w:val="20"/>
          <w:szCs w:val="20"/>
        </w:rPr>
        <w:t>securitisation</w:t>
      </w:r>
      <w:proofErr w:type="spellEnd"/>
      <w:r w:rsidRPr="00CC278F">
        <w:rPr>
          <w:i/>
          <w:iCs/>
          <w:color w:val="0070C0"/>
          <w:sz w:val="20"/>
          <w:szCs w:val="20"/>
        </w:rPr>
        <w:t xml:space="preserve"> exposures involves multiple layers of modelling exercises and assumptions. […] This </w:t>
      </w:r>
      <w:r w:rsidRPr="00CC278F">
        <w:rPr>
          <w:b/>
          <w:bCs/>
          <w:i/>
          <w:iCs/>
          <w:color w:val="0070C0"/>
          <w:sz w:val="20"/>
          <w:szCs w:val="20"/>
        </w:rPr>
        <w:t>layering of models and assumptions</w:t>
      </w:r>
      <w:r w:rsidRPr="00CC278F">
        <w:rPr>
          <w:i/>
          <w:iCs/>
          <w:color w:val="0070C0"/>
          <w:sz w:val="20"/>
          <w:szCs w:val="20"/>
        </w:rPr>
        <w:t xml:space="preserve"> can amplify the uncertainty associated with capital estimates. In addition, </w:t>
      </w:r>
      <w:r w:rsidRPr="00CC278F">
        <w:rPr>
          <w:b/>
          <w:bCs/>
          <w:i/>
          <w:iCs/>
          <w:color w:val="0070C0"/>
          <w:sz w:val="20"/>
          <w:szCs w:val="20"/>
        </w:rPr>
        <w:t xml:space="preserve">the uncertainty in capital estimates is higher for </w:t>
      </w:r>
      <w:proofErr w:type="gramStart"/>
      <w:r w:rsidRPr="00CC278F">
        <w:rPr>
          <w:b/>
          <w:bCs/>
          <w:i/>
          <w:iCs/>
          <w:color w:val="0070C0"/>
          <w:sz w:val="20"/>
          <w:szCs w:val="20"/>
        </w:rPr>
        <w:t>highly-rated</w:t>
      </w:r>
      <w:proofErr w:type="gramEnd"/>
      <w:r w:rsidRPr="00CC278F">
        <w:rPr>
          <w:i/>
          <w:iCs/>
          <w:color w:val="0070C0"/>
          <w:sz w:val="20"/>
          <w:szCs w:val="20"/>
        </w:rPr>
        <w:t>, seemingly low-risk tranches and there is an asymmetric nature to the uncertainty</w:t>
      </w:r>
      <w:r w:rsidRPr="00CC278F">
        <w:rPr>
          <w:color w:val="0070C0"/>
          <w:sz w:val="20"/>
          <w:szCs w:val="20"/>
        </w:rPr>
        <w:t>.”</w:t>
      </w:r>
    </w:p>
    <w:p w14:paraId="286BAA30" w14:textId="77777777" w:rsidR="00A35D8C" w:rsidRPr="00CC278F" w:rsidRDefault="00A35D8C" w:rsidP="00A35D8C">
      <w:pPr>
        <w:ind w:left="349"/>
        <w:rPr>
          <w:i/>
          <w:iCs/>
          <w:color w:val="0070C0"/>
          <w:sz w:val="20"/>
          <w:szCs w:val="20"/>
        </w:rPr>
      </w:pPr>
      <w:r w:rsidRPr="00CC278F">
        <w:rPr>
          <w:color w:val="0070C0"/>
          <w:u w:val="single"/>
        </w:rPr>
        <w:t>BCBS 2014</w:t>
      </w:r>
      <w:r w:rsidRPr="00CC278F">
        <w:rPr>
          <w:color w:val="0070C0"/>
        </w:rPr>
        <w:t xml:space="preserve">: </w:t>
      </w:r>
      <w:r w:rsidRPr="00CC278F">
        <w:rPr>
          <w:color w:val="0070C0"/>
          <w:sz w:val="20"/>
          <w:szCs w:val="20"/>
        </w:rPr>
        <w:t>“</w:t>
      </w:r>
      <w:r w:rsidRPr="00CC278F">
        <w:rPr>
          <w:i/>
          <w:iCs/>
          <w:color w:val="0070C0"/>
          <w:sz w:val="20"/>
          <w:szCs w:val="20"/>
        </w:rPr>
        <w:t xml:space="preserve">The objectives of a </w:t>
      </w:r>
      <w:r w:rsidRPr="00CC278F">
        <w:rPr>
          <w:b/>
          <w:bCs/>
          <w:i/>
          <w:iCs/>
          <w:color w:val="0070C0"/>
          <w:sz w:val="20"/>
          <w:szCs w:val="20"/>
        </w:rPr>
        <w:t>risk-weight floor</w:t>
      </w:r>
      <w:r w:rsidRPr="00CC278F">
        <w:rPr>
          <w:i/>
          <w:iCs/>
          <w:color w:val="0070C0"/>
          <w:sz w:val="20"/>
          <w:szCs w:val="20"/>
        </w:rPr>
        <w:t xml:space="preserve"> are: </w:t>
      </w:r>
    </w:p>
    <w:p w14:paraId="456CAC29" w14:textId="77777777" w:rsidR="00A35D8C" w:rsidRPr="00CC278F" w:rsidRDefault="00A35D8C" w:rsidP="00A35D8C">
      <w:pPr>
        <w:pStyle w:val="ListParagraph"/>
        <w:numPr>
          <w:ilvl w:val="2"/>
          <w:numId w:val="8"/>
        </w:numPr>
        <w:ind w:left="1440"/>
        <w:rPr>
          <w:i/>
          <w:iCs/>
          <w:color w:val="0070C0"/>
          <w:sz w:val="20"/>
          <w:szCs w:val="20"/>
        </w:rPr>
      </w:pPr>
      <w:r w:rsidRPr="00CC278F">
        <w:rPr>
          <w:i/>
          <w:iCs/>
          <w:color w:val="0070C0"/>
          <w:sz w:val="20"/>
          <w:szCs w:val="20"/>
        </w:rPr>
        <w:t>Mitigate concerns related to incorrect model specifications and error from banks’ estimates of inputs to capital formulas (</w:t>
      </w:r>
      <w:proofErr w:type="spellStart"/>
      <w:proofErr w:type="gramStart"/>
      <w:r w:rsidRPr="00CC278F">
        <w:rPr>
          <w:i/>
          <w:iCs/>
          <w:color w:val="0070C0"/>
          <w:sz w:val="20"/>
          <w:szCs w:val="20"/>
        </w:rPr>
        <w:t>ie</w:t>
      </w:r>
      <w:proofErr w:type="spellEnd"/>
      <w:proofErr w:type="gramEnd"/>
      <w:r w:rsidRPr="00CC278F">
        <w:rPr>
          <w:i/>
          <w:iCs/>
          <w:color w:val="0070C0"/>
          <w:sz w:val="20"/>
          <w:szCs w:val="20"/>
        </w:rPr>
        <w:t xml:space="preserve"> model risk); and </w:t>
      </w:r>
    </w:p>
    <w:p w14:paraId="751567A0" w14:textId="77777777" w:rsidR="00A35D8C" w:rsidRDefault="00A35D8C" w:rsidP="00A35D8C">
      <w:pPr>
        <w:pStyle w:val="ListParagraph"/>
        <w:numPr>
          <w:ilvl w:val="2"/>
          <w:numId w:val="8"/>
        </w:numPr>
        <w:ind w:left="1440"/>
        <w:rPr>
          <w:i/>
          <w:iCs/>
          <w:color w:val="0070C0"/>
          <w:sz w:val="20"/>
          <w:szCs w:val="20"/>
        </w:rPr>
      </w:pPr>
      <w:r w:rsidRPr="00CC278F">
        <w:rPr>
          <w:i/>
          <w:iCs/>
          <w:color w:val="0070C0"/>
          <w:sz w:val="20"/>
          <w:szCs w:val="20"/>
        </w:rPr>
        <w:t>Reduce the variation in outcomes for similar risks.”</w:t>
      </w:r>
    </w:p>
    <w:p w14:paraId="513550F2" w14:textId="77777777" w:rsidR="00A35D8C" w:rsidRDefault="00A35D8C" w:rsidP="00A35D8C">
      <w:pPr>
        <w:pStyle w:val="ListParagraph"/>
        <w:ind w:left="1440" w:firstLine="0"/>
        <w:rPr>
          <w:i/>
          <w:iCs/>
          <w:color w:val="0070C0"/>
          <w:sz w:val="20"/>
          <w:szCs w:val="20"/>
        </w:rPr>
      </w:pPr>
    </w:p>
    <w:p w14:paraId="056F3C71" w14:textId="77777777" w:rsidR="00A35D8C" w:rsidRPr="00CC278F" w:rsidRDefault="00A35D8C" w:rsidP="00A35D8C">
      <w:pPr>
        <w:pStyle w:val="ListParagraph"/>
        <w:ind w:left="1440" w:firstLine="0"/>
        <w:rPr>
          <w:i/>
          <w:iCs/>
          <w:color w:val="0070C0"/>
          <w:sz w:val="20"/>
          <w:szCs w:val="20"/>
        </w:rPr>
      </w:pPr>
    </w:p>
    <w:p w14:paraId="176E7D71" w14:textId="77777777" w:rsidR="00A35D8C" w:rsidRPr="004611B2" w:rsidRDefault="00A35D8C" w:rsidP="00A35D8C">
      <w:pPr>
        <w:ind w:left="309" w:right="319"/>
        <w:jc w:val="both"/>
      </w:pPr>
      <w:r w:rsidRPr="004611B2">
        <w:rPr>
          <w:b/>
          <w:bCs/>
          <w:u w:val="single"/>
        </w:rPr>
        <w:t>Question 9.1 b)</w:t>
      </w:r>
      <w:r w:rsidRPr="004611B2">
        <w:t xml:space="preserve"> If you would </w:t>
      </w:r>
      <w:proofErr w:type="spellStart"/>
      <w:r w:rsidRPr="004611B2">
        <w:t>favour</w:t>
      </w:r>
      <w:proofErr w:type="spellEnd"/>
      <w:r w:rsidRPr="004611B2">
        <w:t xml:space="preserve"> reassessing the current (p) factor levels, please</w:t>
      </w:r>
      <w:r w:rsidRPr="004611B2">
        <w:rPr>
          <w:spacing w:val="1"/>
        </w:rPr>
        <w:t xml:space="preserve"> </w:t>
      </w:r>
      <w:r w:rsidRPr="004611B2">
        <w:t>explain</w:t>
      </w:r>
      <w:r w:rsidRPr="004611B2">
        <w:rPr>
          <w:spacing w:val="-1"/>
        </w:rPr>
        <w:t xml:space="preserve"> </w:t>
      </w:r>
      <w:r w:rsidRPr="004611B2">
        <w:t>why</w:t>
      </w:r>
      <w:r w:rsidRPr="004611B2">
        <w:rPr>
          <w:spacing w:val="-6"/>
        </w:rPr>
        <w:t xml:space="preserve"> </w:t>
      </w:r>
      <w:r w:rsidRPr="004611B2">
        <w:t>and what</w:t>
      </w:r>
      <w:r w:rsidRPr="004611B2">
        <w:rPr>
          <w:spacing w:val="-1"/>
        </w:rPr>
        <w:t xml:space="preserve"> </w:t>
      </w:r>
      <w:r w:rsidRPr="004611B2">
        <w:t>alternative</w:t>
      </w:r>
      <w:r w:rsidRPr="004611B2">
        <w:rPr>
          <w:spacing w:val="-1"/>
        </w:rPr>
        <w:t xml:space="preserve"> </w:t>
      </w:r>
      <w:r w:rsidRPr="004611B2">
        <w:t>levels</w:t>
      </w:r>
      <w:r w:rsidRPr="004611B2">
        <w:rPr>
          <w:spacing w:val="-1"/>
        </w:rPr>
        <w:t xml:space="preserve"> </w:t>
      </w:r>
      <w:r w:rsidRPr="004611B2">
        <w:t>for</w:t>
      </w:r>
      <w:r w:rsidRPr="004611B2">
        <w:rPr>
          <w:spacing w:val="-1"/>
        </w:rPr>
        <w:t xml:space="preserve"> </w:t>
      </w:r>
      <w:r w:rsidRPr="004611B2">
        <w:t>(p)</w:t>
      </w:r>
      <w:r w:rsidRPr="004611B2">
        <w:rPr>
          <w:spacing w:val="2"/>
        </w:rPr>
        <w:t xml:space="preserve"> </w:t>
      </w:r>
      <w:r w:rsidRPr="004611B2">
        <w:t>you would</w:t>
      </w:r>
      <w:r w:rsidRPr="004611B2">
        <w:rPr>
          <w:spacing w:val="-2"/>
        </w:rPr>
        <w:t xml:space="preserve"> </w:t>
      </w:r>
      <w:r w:rsidRPr="004611B2">
        <w:t>suggest</w:t>
      </w:r>
      <w:r w:rsidRPr="004611B2">
        <w:rPr>
          <w:spacing w:val="-1"/>
        </w:rPr>
        <w:t xml:space="preserve"> </w:t>
      </w:r>
      <w:r w:rsidRPr="004611B2">
        <w:t>instead.</w:t>
      </w:r>
    </w:p>
    <w:p w14:paraId="04CF08FC" w14:textId="77777777" w:rsidR="00A35D8C" w:rsidRDefault="00A35D8C" w:rsidP="00A35D8C">
      <w:pPr>
        <w:ind w:left="309" w:right="319"/>
        <w:jc w:val="both"/>
      </w:pPr>
    </w:p>
    <w:p w14:paraId="1598501D" w14:textId="77777777" w:rsidR="00A35D8C" w:rsidRPr="004D44C7" w:rsidRDefault="00A35D8C" w:rsidP="00A35D8C">
      <w:pPr>
        <w:ind w:left="349"/>
        <w:rPr>
          <w:color w:val="0070C0"/>
        </w:rPr>
      </w:pPr>
      <w:r w:rsidRPr="006F4D54">
        <w:rPr>
          <w:i/>
          <w:iCs/>
          <w:color w:val="0070C0"/>
          <w:u w:val="single"/>
        </w:rPr>
        <w:t xml:space="preserve">For synthetic on balance-sheet </w:t>
      </w:r>
      <w:proofErr w:type="spellStart"/>
      <w:r w:rsidRPr="006F4D54">
        <w:rPr>
          <w:i/>
          <w:iCs/>
          <w:color w:val="0070C0"/>
          <w:u w:val="single"/>
        </w:rPr>
        <w:t>securitisations</w:t>
      </w:r>
      <w:proofErr w:type="spellEnd"/>
      <w:r w:rsidRPr="006F4D54">
        <w:rPr>
          <w:i/>
          <w:iCs/>
          <w:color w:val="0070C0"/>
          <w:u w:val="single"/>
        </w:rPr>
        <w:t>:</w:t>
      </w:r>
      <w:r w:rsidRPr="006F4D54">
        <w:rPr>
          <w:i/>
          <w:iCs/>
          <w:color w:val="0070C0"/>
          <w:u w:val="single"/>
        </w:rPr>
        <w:br/>
      </w:r>
      <w:r w:rsidRPr="004611B2">
        <w:rPr>
          <w:color w:val="0070C0"/>
        </w:rPr>
        <w:t xml:space="preserve">We estimated the level of non-neutrality that would apply to STS and non-STS </w:t>
      </w:r>
      <w:proofErr w:type="spellStart"/>
      <w:r w:rsidRPr="004611B2">
        <w:rPr>
          <w:color w:val="0070C0"/>
        </w:rPr>
        <w:t>securitisation</w:t>
      </w:r>
      <w:proofErr w:type="spellEnd"/>
      <w:r w:rsidRPr="004611B2">
        <w:rPr>
          <w:color w:val="0070C0"/>
        </w:rPr>
        <w:t xml:space="preserve"> of various asset classes (corporates, consumer loans, residential mortgages low/medium risk, consumer loans), and for STS/non-STS transactions, by comparing</w:t>
      </w:r>
      <w:r w:rsidRPr="004611B2">
        <w:rPr>
          <w:color w:val="0070C0"/>
        </w:rPr>
        <w:br/>
        <w:t xml:space="preserve">- the average RW of the portfolio before </w:t>
      </w:r>
      <w:proofErr w:type="spellStart"/>
      <w:r w:rsidRPr="004611B2">
        <w:rPr>
          <w:color w:val="0070C0"/>
        </w:rPr>
        <w:t>securitisation</w:t>
      </w:r>
      <w:proofErr w:type="spellEnd"/>
      <w:r w:rsidRPr="004611B2">
        <w:rPr>
          <w:color w:val="0070C0"/>
        </w:rPr>
        <w:t xml:space="preserve"> and </w:t>
      </w:r>
      <w:r w:rsidRPr="004611B2">
        <w:rPr>
          <w:color w:val="0070C0"/>
        </w:rPr>
        <w:br/>
        <w:t>- the aggregated RW of all tranches if they were fully retained by the originating bank.</w:t>
      </w:r>
      <w:r w:rsidRPr="004611B2">
        <w:rPr>
          <w:color w:val="0070C0"/>
        </w:rPr>
        <w:br/>
      </w:r>
    </w:p>
    <w:tbl>
      <w:tblPr>
        <w:tblW w:w="8283" w:type="dxa"/>
        <w:jc w:val="center"/>
        <w:tblLook w:val="04A0" w:firstRow="1" w:lastRow="0" w:firstColumn="1" w:lastColumn="0" w:noHBand="0" w:noVBand="1"/>
      </w:tblPr>
      <w:tblGrid>
        <w:gridCol w:w="1271"/>
        <w:gridCol w:w="709"/>
        <w:gridCol w:w="1226"/>
        <w:gridCol w:w="1206"/>
        <w:gridCol w:w="1381"/>
        <w:gridCol w:w="1309"/>
        <w:gridCol w:w="1212"/>
      </w:tblGrid>
      <w:tr w:rsidR="00A35D8C" w:rsidRPr="004611B2" w14:paraId="44936733" w14:textId="77777777" w:rsidTr="00BA1BE7">
        <w:trPr>
          <w:trHeight w:val="765"/>
          <w:jc w:val="center"/>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0F463497" w14:textId="77777777" w:rsidR="00A35D8C" w:rsidRPr="004611B2" w:rsidRDefault="00A35D8C" w:rsidP="00BA1BE7">
            <w:pPr>
              <w:jc w:val="center"/>
              <w:rPr>
                <w:b/>
                <w:bCs/>
                <w:color w:val="002060"/>
                <w:lang/>
              </w:rPr>
            </w:pPr>
            <w:r w:rsidRPr="004611B2">
              <w:rPr>
                <w:b/>
                <w:bCs/>
                <w:color w:val="002060"/>
                <w:lang/>
              </w:rPr>
              <w:t>Multiplication factors</w:t>
            </w:r>
          </w:p>
        </w:tc>
        <w:tc>
          <w:tcPr>
            <w:tcW w:w="1226" w:type="dxa"/>
            <w:tcBorders>
              <w:top w:val="single" w:sz="4" w:space="0" w:color="auto"/>
              <w:left w:val="nil"/>
              <w:bottom w:val="single" w:sz="4" w:space="0" w:color="auto"/>
              <w:right w:val="single" w:sz="4" w:space="0" w:color="auto"/>
            </w:tcBorders>
            <w:vAlign w:val="center"/>
            <w:hideMark/>
          </w:tcPr>
          <w:p w14:paraId="135C4659" w14:textId="77777777" w:rsidR="00A35D8C" w:rsidRPr="004611B2" w:rsidRDefault="00A35D8C" w:rsidP="00BA1BE7">
            <w:pPr>
              <w:jc w:val="center"/>
              <w:rPr>
                <w:color w:val="002060"/>
                <w:lang/>
              </w:rPr>
            </w:pPr>
            <w:r w:rsidRPr="004611B2">
              <w:rPr>
                <w:color w:val="002060"/>
                <w:lang/>
              </w:rPr>
              <w:t>Corporate IG</w:t>
            </w:r>
          </w:p>
        </w:tc>
        <w:tc>
          <w:tcPr>
            <w:tcW w:w="1184" w:type="dxa"/>
            <w:tcBorders>
              <w:top w:val="single" w:sz="4" w:space="0" w:color="auto"/>
              <w:left w:val="nil"/>
              <w:bottom w:val="single" w:sz="4" w:space="0" w:color="auto"/>
              <w:right w:val="single" w:sz="4" w:space="0" w:color="auto"/>
            </w:tcBorders>
            <w:vAlign w:val="center"/>
            <w:hideMark/>
          </w:tcPr>
          <w:p w14:paraId="56036E5E" w14:textId="77777777" w:rsidR="00A35D8C" w:rsidRPr="004611B2" w:rsidRDefault="00A35D8C" w:rsidP="00BA1BE7">
            <w:pPr>
              <w:jc w:val="center"/>
              <w:rPr>
                <w:color w:val="002060"/>
                <w:lang/>
              </w:rPr>
            </w:pPr>
            <w:r w:rsidRPr="004611B2">
              <w:rPr>
                <w:color w:val="002060"/>
                <w:lang/>
              </w:rPr>
              <w:t>Corporate HY</w:t>
            </w:r>
          </w:p>
        </w:tc>
        <w:tc>
          <w:tcPr>
            <w:tcW w:w="1381" w:type="dxa"/>
            <w:tcBorders>
              <w:top w:val="single" w:sz="4" w:space="0" w:color="auto"/>
              <w:left w:val="nil"/>
              <w:bottom w:val="single" w:sz="4" w:space="0" w:color="auto"/>
              <w:right w:val="single" w:sz="4" w:space="0" w:color="auto"/>
            </w:tcBorders>
            <w:vAlign w:val="center"/>
            <w:hideMark/>
          </w:tcPr>
          <w:p w14:paraId="5CADE22A" w14:textId="77777777" w:rsidR="00A35D8C" w:rsidRPr="004611B2" w:rsidRDefault="00A35D8C" w:rsidP="00BA1BE7">
            <w:pPr>
              <w:jc w:val="center"/>
              <w:rPr>
                <w:color w:val="002060"/>
                <w:lang/>
              </w:rPr>
            </w:pPr>
            <w:r w:rsidRPr="004611B2">
              <w:rPr>
                <w:color w:val="002060"/>
                <w:lang/>
              </w:rPr>
              <w:t>Residential mort</w:t>
            </w:r>
            <w:r w:rsidRPr="004611B2">
              <w:rPr>
                <w:color w:val="002060"/>
                <w:lang w:val="fr-FR"/>
              </w:rPr>
              <w:t>g</w:t>
            </w:r>
            <w:r w:rsidRPr="004611B2">
              <w:rPr>
                <w:color w:val="002060"/>
                <w:lang/>
              </w:rPr>
              <w:t>ages low risk</w:t>
            </w:r>
          </w:p>
        </w:tc>
        <w:tc>
          <w:tcPr>
            <w:tcW w:w="1309" w:type="dxa"/>
            <w:tcBorders>
              <w:top w:val="single" w:sz="4" w:space="0" w:color="auto"/>
              <w:left w:val="nil"/>
              <w:bottom w:val="single" w:sz="4" w:space="0" w:color="auto"/>
              <w:right w:val="single" w:sz="4" w:space="0" w:color="auto"/>
            </w:tcBorders>
            <w:vAlign w:val="center"/>
            <w:hideMark/>
          </w:tcPr>
          <w:p w14:paraId="15CA532E" w14:textId="77777777" w:rsidR="00A35D8C" w:rsidRPr="004611B2" w:rsidRDefault="00A35D8C" w:rsidP="00BA1BE7">
            <w:pPr>
              <w:jc w:val="center"/>
              <w:rPr>
                <w:color w:val="002060"/>
                <w:lang/>
              </w:rPr>
            </w:pPr>
            <w:r w:rsidRPr="004611B2">
              <w:rPr>
                <w:color w:val="002060"/>
                <w:lang/>
              </w:rPr>
              <w:t>Residential mort</w:t>
            </w:r>
            <w:r w:rsidRPr="004611B2">
              <w:rPr>
                <w:color w:val="002060"/>
                <w:lang w:val="fr-FR"/>
              </w:rPr>
              <w:t>g</w:t>
            </w:r>
            <w:r w:rsidRPr="004611B2">
              <w:rPr>
                <w:color w:val="002060"/>
                <w:lang/>
              </w:rPr>
              <w:t>ages high risk</w:t>
            </w:r>
          </w:p>
        </w:tc>
        <w:tc>
          <w:tcPr>
            <w:tcW w:w="1203" w:type="dxa"/>
            <w:tcBorders>
              <w:top w:val="single" w:sz="4" w:space="0" w:color="auto"/>
              <w:left w:val="nil"/>
              <w:bottom w:val="single" w:sz="4" w:space="0" w:color="auto"/>
              <w:right w:val="single" w:sz="4" w:space="0" w:color="auto"/>
            </w:tcBorders>
            <w:vAlign w:val="center"/>
            <w:hideMark/>
          </w:tcPr>
          <w:p w14:paraId="0DE5D119" w14:textId="77777777" w:rsidR="00A35D8C" w:rsidRPr="004611B2" w:rsidRDefault="00A35D8C" w:rsidP="00BA1BE7">
            <w:pPr>
              <w:jc w:val="center"/>
              <w:rPr>
                <w:color w:val="002060"/>
                <w:lang/>
              </w:rPr>
            </w:pPr>
            <w:r w:rsidRPr="004611B2">
              <w:rPr>
                <w:color w:val="002060"/>
                <w:lang/>
              </w:rPr>
              <w:t>Consumer loans</w:t>
            </w:r>
          </w:p>
        </w:tc>
      </w:tr>
      <w:tr w:rsidR="00A35D8C" w:rsidRPr="004611B2" w14:paraId="1A9942FD" w14:textId="77777777" w:rsidTr="00BA1BE7">
        <w:trPr>
          <w:trHeight w:val="300"/>
          <w:jc w:val="center"/>
        </w:trPr>
        <w:tc>
          <w:tcPr>
            <w:tcW w:w="1271" w:type="dxa"/>
            <w:tcBorders>
              <w:top w:val="nil"/>
              <w:left w:val="single" w:sz="4" w:space="0" w:color="auto"/>
              <w:bottom w:val="single" w:sz="4" w:space="0" w:color="auto"/>
              <w:right w:val="single" w:sz="4" w:space="0" w:color="auto"/>
            </w:tcBorders>
            <w:shd w:val="clear" w:color="auto" w:fill="FF9900"/>
            <w:noWrap/>
            <w:vAlign w:val="bottom"/>
            <w:hideMark/>
          </w:tcPr>
          <w:p w14:paraId="65EAF56E" w14:textId="77777777" w:rsidR="00A35D8C" w:rsidRPr="004611B2" w:rsidRDefault="00A35D8C" w:rsidP="00BA1BE7">
            <w:pPr>
              <w:rPr>
                <w:color w:val="002060"/>
                <w:lang/>
              </w:rPr>
            </w:pPr>
            <w:r>
              <w:rPr>
                <w:color w:val="002060"/>
                <w:lang/>
              </w:rPr>
              <w:t xml:space="preserve"> </w:t>
            </w:r>
            <w:r w:rsidRPr="004611B2">
              <w:rPr>
                <w:color w:val="002060"/>
                <w:lang/>
              </w:rPr>
              <w:t>STS</w:t>
            </w:r>
          </w:p>
        </w:tc>
        <w:tc>
          <w:tcPr>
            <w:tcW w:w="709" w:type="dxa"/>
            <w:tcBorders>
              <w:top w:val="nil"/>
              <w:left w:val="nil"/>
              <w:bottom w:val="single" w:sz="4" w:space="0" w:color="auto"/>
              <w:right w:val="single" w:sz="4" w:space="0" w:color="auto"/>
            </w:tcBorders>
            <w:shd w:val="clear" w:color="auto" w:fill="FF9900"/>
            <w:noWrap/>
            <w:vAlign w:val="bottom"/>
            <w:hideMark/>
          </w:tcPr>
          <w:p w14:paraId="01D65801" w14:textId="77777777" w:rsidR="00A35D8C" w:rsidRPr="004611B2" w:rsidRDefault="00A35D8C" w:rsidP="00BA1BE7">
            <w:pPr>
              <w:jc w:val="center"/>
              <w:rPr>
                <w:color w:val="002060"/>
                <w:lang/>
              </w:rPr>
            </w:pPr>
            <w:r w:rsidRPr="004611B2">
              <w:rPr>
                <w:color w:val="002060"/>
                <w:lang/>
              </w:rPr>
              <w:t>SA</w:t>
            </w:r>
          </w:p>
        </w:tc>
        <w:tc>
          <w:tcPr>
            <w:tcW w:w="1226" w:type="dxa"/>
            <w:tcBorders>
              <w:top w:val="nil"/>
              <w:left w:val="nil"/>
              <w:bottom w:val="single" w:sz="4" w:space="0" w:color="auto"/>
              <w:right w:val="single" w:sz="4" w:space="0" w:color="auto"/>
            </w:tcBorders>
            <w:shd w:val="clear" w:color="auto" w:fill="FF9900"/>
            <w:noWrap/>
            <w:vAlign w:val="bottom"/>
            <w:hideMark/>
          </w:tcPr>
          <w:p w14:paraId="16FAC614" w14:textId="77777777" w:rsidR="00A35D8C" w:rsidRPr="004611B2" w:rsidRDefault="00A35D8C" w:rsidP="00BA1BE7">
            <w:pPr>
              <w:jc w:val="center"/>
              <w:rPr>
                <w:color w:val="002060"/>
                <w:lang/>
              </w:rPr>
            </w:pPr>
            <w:r w:rsidRPr="004611B2">
              <w:rPr>
                <w:color w:val="002060"/>
                <w:lang/>
              </w:rPr>
              <w:t>1,5</w:t>
            </w:r>
          </w:p>
        </w:tc>
        <w:tc>
          <w:tcPr>
            <w:tcW w:w="1184" w:type="dxa"/>
            <w:tcBorders>
              <w:top w:val="nil"/>
              <w:left w:val="nil"/>
              <w:bottom w:val="single" w:sz="4" w:space="0" w:color="auto"/>
              <w:right w:val="single" w:sz="4" w:space="0" w:color="auto"/>
            </w:tcBorders>
            <w:shd w:val="clear" w:color="auto" w:fill="FF9900"/>
            <w:noWrap/>
            <w:vAlign w:val="bottom"/>
            <w:hideMark/>
          </w:tcPr>
          <w:p w14:paraId="2D8DAB16" w14:textId="77777777" w:rsidR="00A35D8C" w:rsidRPr="004611B2" w:rsidRDefault="00A35D8C" w:rsidP="00BA1BE7">
            <w:pPr>
              <w:jc w:val="center"/>
              <w:rPr>
                <w:color w:val="002060"/>
                <w:lang/>
              </w:rPr>
            </w:pPr>
            <w:r w:rsidRPr="004611B2">
              <w:rPr>
                <w:color w:val="002060"/>
                <w:lang/>
              </w:rPr>
              <w:t>1,88</w:t>
            </w:r>
          </w:p>
        </w:tc>
        <w:tc>
          <w:tcPr>
            <w:tcW w:w="1381" w:type="dxa"/>
            <w:tcBorders>
              <w:top w:val="nil"/>
              <w:left w:val="nil"/>
              <w:bottom w:val="single" w:sz="4" w:space="0" w:color="auto"/>
              <w:right w:val="single" w:sz="4" w:space="0" w:color="auto"/>
            </w:tcBorders>
            <w:shd w:val="clear" w:color="auto" w:fill="FF9900"/>
            <w:noWrap/>
            <w:vAlign w:val="bottom"/>
            <w:hideMark/>
          </w:tcPr>
          <w:p w14:paraId="2EE92FDA" w14:textId="77777777" w:rsidR="00A35D8C" w:rsidRPr="004611B2" w:rsidRDefault="00A35D8C" w:rsidP="00BA1BE7">
            <w:pPr>
              <w:jc w:val="center"/>
              <w:rPr>
                <w:color w:val="002060"/>
                <w:lang/>
              </w:rPr>
            </w:pPr>
            <w:r w:rsidRPr="004611B2">
              <w:rPr>
                <w:color w:val="002060"/>
                <w:lang/>
              </w:rPr>
              <w:t>1,75</w:t>
            </w:r>
          </w:p>
        </w:tc>
        <w:tc>
          <w:tcPr>
            <w:tcW w:w="1309" w:type="dxa"/>
            <w:tcBorders>
              <w:top w:val="nil"/>
              <w:left w:val="nil"/>
              <w:bottom w:val="single" w:sz="4" w:space="0" w:color="auto"/>
              <w:right w:val="single" w:sz="4" w:space="0" w:color="auto"/>
            </w:tcBorders>
            <w:shd w:val="clear" w:color="auto" w:fill="FF9900"/>
            <w:noWrap/>
            <w:vAlign w:val="bottom"/>
            <w:hideMark/>
          </w:tcPr>
          <w:p w14:paraId="42DD9543" w14:textId="77777777" w:rsidR="00A35D8C" w:rsidRPr="004611B2" w:rsidRDefault="00A35D8C" w:rsidP="00BA1BE7">
            <w:pPr>
              <w:jc w:val="center"/>
              <w:rPr>
                <w:color w:val="002060"/>
                <w:lang/>
              </w:rPr>
            </w:pPr>
            <w:r w:rsidRPr="004611B2">
              <w:rPr>
                <w:color w:val="002060"/>
                <w:lang/>
              </w:rPr>
              <w:t>2,39</w:t>
            </w:r>
          </w:p>
        </w:tc>
        <w:tc>
          <w:tcPr>
            <w:tcW w:w="1203" w:type="dxa"/>
            <w:tcBorders>
              <w:top w:val="nil"/>
              <w:left w:val="nil"/>
              <w:bottom w:val="single" w:sz="4" w:space="0" w:color="auto"/>
              <w:right w:val="single" w:sz="4" w:space="0" w:color="auto"/>
            </w:tcBorders>
            <w:shd w:val="clear" w:color="auto" w:fill="FF9900"/>
            <w:noWrap/>
            <w:vAlign w:val="bottom"/>
            <w:hideMark/>
          </w:tcPr>
          <w:p w14:paraId="49B407BA" w14:textId="77777777" w:rsidR="00A35D8C" w:rsidRPr="004611B2" w:rsidRDefault="00A35D8C" w:rsidP="00BA1BE7">
            <w:pPr>
              <w:jc w:val="center"/>
              <w:rPr>
                <w:color w:val="002060"/>
                <w:lang/>
              </w:rPr>
            </w:pPr>
            <w:r w:rsidRPr="004611B2">
              <w:rPr>
                <w:color w:val="002060"/>
                <w:lang/>
              </w:rPr>
              <w:t>1,5</w:t>
            </w:r>
          </w:p>
        </w:tc>
      </w:tr>
      <w:tr w:rsidR="00A35D8C" w:rsidRPr="004611B2" w14:paraId="2AC3544D" w14:textId="77777777" w:rsidTr="00BA1BE7">
        <w:trPr>
          <w:trHeight w:val="300"/>
          <w:jc w:val="center"/>
        </w:trPr>
        <w:tc>
          <w:tcPr>
            <w:tcW w:w="1271" w:type="dxa"/>
            <w:tcBorders>
              <w:top w:val="nil"/>
              <w:left w:val="single" w:sz="4" w:space="0" w:color="auto"/>
              <w:bottom w:val="single" w:sz="4" w:space="0" w:color="auto"/>
              <w:right w:val="single" w:sz="4" w:space="0" w:color="auto"/>
            </w:tcBorders>
            <w:shd w:val="clear" w:color="auto" w:fill="BFBFBF"/>
            <w:noWrap/>
            <w:vAlign w:val="bottom"/>
            <w:hideMark/>
          </w:tcPr>
          <w:p w14:paraId="04ABA447" w14:textId="77777777" w:rsidR="00A35D8C" w:rsidRPr="004611B2" w:rsidRDefault="00A35D8C" w:rsidP="00BA1BE7">
            <w:pPr>
              <w:rPr>
                <w:color w:val="002060"/>
                <w:lang/>
              </w:rPr>
            </w:pPr>
            <w:r w:rsidRPr="004611B2">
              <w:rPr>
                <w:color w:val="002060"/>
                <w:lang/>
              </w:rPr>
              <w:t> </w:t>
            </w:r>
            <w:r>
              <w:rPr>
                <w:color w:val="002060"/>
                <w:lang/>
              </w:rPr>
              <w:t>STS</w:t>
            </w:r>
          </w:p>
        </w:tc>
        <w:tc>
          <w:tcPr>
            <w:tcW w:w="709" w:type="dxa"/>
            <w:tcBorders>
              <w:top w:val="nil"/>
              <w:left w:val="nil"/>
              <w:bottom w:val="single" w:sz="4" w:space="0" w:color="auto"/>
              <w:right w:val="single" w:sz="4" w:space="0" w:color="auto"/>
            </w:tcBorders>
            <w:shd w:val="clear" w:color="auto" w:fill="BFBFBF"/>
            <w:noWrap/>
            <w:vAlign w:val="bottom"/>
            <w:hideMark/>
          </w:tcPr>
          <w:p w14:paraId="47C9EC64" w14:textId="77777777" w:rsidR="00A35D8C" w:rsidRPr="004611B2" w:rsidRDefault="00A35D8C" w:rsidP="00BA1BE7">
            <w:pPr>
              <w:jc w:val="center"/>
              <w:rPr>
                <w:color w:val="002060"/>
                <w:lang/>
              </w:rPr>
            </w:pPr>
            <w:r w:rsidRPr="004611B2">
              <w:rPr>
                <w:color w:val="002060"/>
                <w:lang/>
              </w:rPr>
              <w:t>IRB</w:t>
            </w:r>
          </w:p>
        </w:tc>
        <w:tc>
          <w:tcPr>
            <w:tcW w:w="1226" w:type="dxa"/>
            <w:tcBorders>
              <w:top w:val="nil"/>
              <w:left w:val="nil"/>
              <w:bottom w:val="single" w:sz="4" w:space="0" w:color="auto"/>
              <w:right w:val="single" w:sz="4" w:space="0" w:color="auto"/>
            </w:tcBorders>
            <w:shd w:val="clear" w:color="auto" w:fill="BFBFBF"/>
            <w:noWrap/>
            <w:vAlign w:val="bottom"/>
            <w:hideMark/>
          </w:tcPr>
          <w:p w14:paraId="287EA5CD" w14:textId="77777777" w:rsidR="00A35D8C" w:rsidRPr="004611B2" w:rsidRDefault="00A35D8C" w:rsidP="00BA1BE7">
            <w:pPr>
              <w:jc w:val="center"/>
              <w:rPr>
                <w:color w:val="002060"/>
                <w:lang/>
              </w:rPr>
            </w:pPr>
            <w:r w:rsidRPr="004611B2">
              <w:rPr>
                <w:color w:val="002060"/>
                <w:lang/>
              </w:rPr>
              <w:t>1,6</w:t>
            </w:r>
          </w:p>
        </w:tc>
        <w:tc>
          <w:tcPr>
            <w:tcW w:w="1184" w:type="dxa"/>
            <w:tcBorders>
              <w:top w:val="nil"/>
              <w:left w:val="nil"/>
              <w:bottom w:val="single" w:sz="4" w:space="0" w:color="auto"/>
              <w:right w:val="single" w:sz="4" w:space="0" w:color="auto"/>
            </w:tcBorders>
            <w:shd w:val="clear" w:color="auto" w:fill="BFBFBF"/>
            <w:noWrap/>
            <w:vAlign w:val="bottom"/>
            <w:hideMark/>
          </w:tcPr>
          <w:p w14:paraId="1DAB6B69" w14:textId="77777777" w:rsidR="00A35D8C" w:rsidRPr="004611B2" w:rsidRDefault="00A35D8C" w:rsidP="00BA1BE7">
            <w:pPr>
              <w:jc w:val="center"/>
              <w:rPr>
                <w:color w:val="002060"/>
                <w:lang/>
              </w:rPr>
            </w:pPr>
            <w:r w:rsidRPr="004611B2">
              <w:rPr>
                <w:color w:val="002060"/>
                <w:lang/>
              </w:rPr>
              <w:t>1,3</w:t>
            </w:r>
          </w:p>
        </w:tc>
        <w:tc>
          <w:tcPr>
            <w:tcW w:w="1381" w:type="dxa"/>
            <w:tcBorders>
              <w:top w:val="nil"/>
              <w:left w:val="nil"/>
              <w:bottom w:val="single" w:sz="4" w:space="0" w:color="auto"/>
              <w:right w:val="single" w:sz="4" w:space="0" w:color="auto"/>
            </w:tcBorders>
            <w:shd w:val="clear" w:color="auto" w:fill="BFBFBF"/>
            <w:noWrap/>
            <w:vAlign w:val="bottom"/>
            <w:hideMark/>
          </w:tcPr>
          <w:p w14:paraId="54446EFD" w14:textId="77777777" w:rsidR="00A35D8C" w:rsidRPr="004611B2" w:rsidRDefault="00A35D8C" w:rsidP="00BA1BE7">
            <w:pPr>
              <w:jc w:val="center"/>
              <w:rPr>
                <w:color w:val="002060"/>
                <w:lang/>
              </w:rPr>
            </w:pPr>
            <w:r w:rsidRPr="004611B2">
              <w:rPr>
                <w:color w:val="002060"/>
                <w:lang/>
              </w:rPr>
              <w:t>3,99</w:t>
            </w:r>
          </w:p>
        </w:tc>
        <w:tc>
          <w:tcPr>
            <w:tcW w:w="1309" w:type="dxa"/>
            <w:tcBorders>
              <w:top w:val="nil"/>
              <w:left w:val="nil"/>
              <w:bottom w:val="single" w:sz="4" w:space="0" w:color="auto"/>
              <w:right w:val="single" w:sz="4" w:space="0" w:color="auto"/>
            </w:tcBorders>
            <w:shd w:val="clear" w:color="auto" w:fill="BFBFBF"/>
            <w:noWrap/>
            <w:vAlign w:val="bottom"/>
            <w:hideMark/>
          </w:tcPr>
          <w:p w14:paraId="6062C390" w14:textId="77777777" w:rsidR="00A35D8C" w:rsidRPr="004611B2" w:rsidRDefault="00A35D8C" w:rsidP="00BA1BE7">
            <w:pPr>
              <w:jc w:val="center"/>
              <w:rPr>
                <w:color w:val="002060"/>
                <w:lang/>
              </w:rPr>
            </w:pPr>
            <w:r w:rsidRPr="004611B2">
              <w:rPr>
                <w:color w:val="002060"/>
                <w:lang/>
              </w:rPr>
              <w:t>2,14</w:t>
            </w:r>
          </w:p>
        </w:tc>
        <w:tc>
          <w:tcPr>
            <w:tcW w:w="1203" w:type="dxa"/>
            <w:tcBorders>
              <w:top w:val="nil"/>
              <w:left w:val="nil"/>
              <w:bottom w:val="single" w:sz="4" w:space="0" w:color="auto"/>
              <w:right w:val="single" w:sz="4" w:space="0" w:color="auto"/>
            </w:tcBorders>
            <w:shd w:val="clear" w:color="auto" w:fill="BFBFBF"/>
            <w:noWrap/>
            <w:vAlign w:val="bottom"/>
            <w:hideMark/>
          </w:tcPr>
          <w:p w14:paraId="47F55B7B" w14:textId="77777777" w:rsidR="00A35D8C" w:rsidRPr="004611B2" w:rsidRDefault="00A35D8C" w:rsidP="00BA1BE7">
            <w:pPr>
              <w:jc w:val="center"/>
              <w:rPr>
                <w:color w:val="002060"/>
                <w:lang/>
              </w:rPr>
            </w:pPr>
            <w:r w:rsidRPr="004611B2">
              <w:rPr>
                <w:color w:val="002060"/>
                <w:lang/>
              </w:rPr>
              <w:t>1,8</w:t>
            </w:r>
          </w:p>
        </w:tc>
      </w:tr>
      <w:tr w:rsidR="00A35D8C" w:rsidRPr="004611B2" w14:paraId="34B94664" w14:textId="77777777" w:rsidTr="00BA1BE7">
        <w:trPr>
          <w:trHeight w:val="300"/>
          <w:jc w:val="center"/>
        </w:trPr>
        <w:tc>
          <w:tcPr>
            <w:tcW w:w="1271" w:type="dxa"/>
            <w:tcBorders>
              <w:top w:val="nil"/>
              <w:left w:val="single" w:sz="4" w:space="0" w:color="auto"/>
              <w:bottom w:val="single" w:sz="4" w:space="0" w:color="auto"/>
              <w:right w:val="single" w:sz="4" w:space="0" w:color="auto"/>
            </w:tcBorders>
            <w:shd w:val="clear" w:color="auto" w:fill="FFD966"/>
            <w:noWrap/>
            <w:vAlign w:val="bottom"/>
            <w:hideMark/>
          </w:tcPr>
          <w:p w14:paraId="2285E6EA" w14:textId="77777777" w:rsidR="00A35D8C" w:rsidRPr="004611B2" w:rsidRDefault="00A35D8C" w:rsidP="00BA1BE7">
            <w:pPr>
              <w:rPr>
                <w:color w:val="002060"/>
                <w:lang/>
              </w:rPr>
            </w:pPr>
            <w:r w:rsidRPr="004611B2">
              <w:rPr>
                <w:color w:val="002060"/>
                <w:lang/>
              </w:rPr>
              <w:t>Non-STS</w:t>
            </w:r>
          </w:p>
        </w:tc>
        <w:tc>
          <w:tcPr>
            <w:tcW w:w="709" w:type="dxa"/>
            <w:tcBorders>
              <w:top w:val="nil"/>
              <w:left w:val="nil"/>
              <w:bottom w:val="single" w:sz="4" w:space="0" w:color="auto"/>
              <w:right w:val="single" w:sz="4" w:space="0" w:color="auto"/>
            </w:tcBorders>
            <w:shd w:val="clear" w:color="auto" w:fill="FFD966"/>
            <w:noWrap/>
            <w:vAlign w:val="bottom"/>
            <w:hideMark/>
          </w:tcPr>
          <w:p w14:paraId="05F869CA" w14:textId="77777777" w:rsidR="00A35D8C" w:rsidRPr="004611B2" w:rsidRDefault="00A35D8C" w:rsidP="00BA1BE7">
            <w:pPr>
              <w:jc w:val="center"/>
              <w:rPr>
                <w:color w:val="002060"/>
                <w:lang/>
              </w:rPr>
            </w:pPr>
            <w:r w:rsidRPr="004611B2">
              <w:rPr>
                <w:color w:val="002060"/>
                <w:lang/>
              </w:rPr>
              <w:t>SA</w:t>
            </w:r>
          </w:p>
        </w:tc>
        <w:tc>
          <w:tcPr>
            <w:tcW w:w="1226" w:type="dxa"/>
            <w:tcBorders>
              <w:top w:val="nil"/>
              <w:left w:val="nil"/>
              <w:bottom w:val="single" w:sz="4" w:space="0" w:color="auto"/>
              <w:right w:val="single" w:sz="4" w:space="0" w:color="auto"/>
            </w:tcBorders>
            <w:shd w:val="clear" w:color="auto" w:fill="FFD966"/>
            <w:noWrap/>
            <w:vAlign w:val="bottom"/>
            <w:hideMark/>
          </w:tcPr>
          <w:p w14:paraId="25FF2880" w14:textId="77777777" w:rsidR="00A35D8C" w:rsidRPr="004611B2" w:rsidRDefault="00A35D8C" w:rsidP="00BA1BE7">
            <w:pPr>
              <w:jc w:val="center"/>
              <w:rPr>
                <w:color w:val="002060"/>
                <w:lang/>
              </w:rPr>
            </w:pPr>
            <w:r w:rsidRPr="004611B2">
              <w:rPr>
                <w:color w:val="002060"/>
                <w:lang/>
              </w:rPr>
              <w:t>2</w:t>
            </w:r>
          </w:p>
        </w:tc>
        <w:tc>
          <w:tcPr>
            <w:tcW w:w="1184" w:type="dxa"/>
            <w:tcBorders>
              <w:top w:val="nil"/>
              <w:left w:val="nil"/>
              <w:bottom w:val="single" w:sz="4" w:space="0" w:color="auto"/>
              <w:right w:val="single" w:sz="4" w:space="0" w:color="auto"/>
            </w:tcBorders>
            <w:shd w:val="clear" w:color="auto" w:fill="FFD966"/>
            <w:noWrap/>
            <w:vAlign w:val="bottom"/>
            <w:hideMark/>
          </w:tcPr>
          <w:p w14:paraId="48C1803B" w14:textId="77777777" w:rsidR="00A35D8C" w:rsidRPr="004611B2" w:rsidRDefault="00A35D8C" w:rsidP="00BA1BE7">
            <w:pPr>
              <w:jc w:val="center"/>
              <w:rPr>
                <w:color w:val="002060"/>
                <w:lang/>
              </w:rPr>
            </w:pPr>
            <w:r w:rsidRPr="004611B2">
              <w:rPr>
                <w:color w:val="002060"/>
                <w:lang/>
              </w:rPr>
              <w:t>2,51</w:t>
            </w:r>
          </w:p>
        </w:tc>
        <w:tc>
          <w:tcPr>
            <w:tcW w:w="1381" w:type="dxa"/>
            <w:tcBorders>
              <w:top w:val="nil"/>
              <w:left w:val="nil"/>
              <w:bottom w:val="single" w:sz="4" w:space="0" w:color="auto"/>
              <w:right w:val="single" w:sz="4" w:space="0" w:color="auto"/>
            </w:tcBorders>
            <w:shd w:val="clear" w:color="auto" w:fill="FFD966"/>
            <w:noWrap/>
            <w:vAlign w:val="bottom"/>
            <w:hideMark/>
          </w:tcPr>
          <w:p w14:paraId="42612715" w14:textId="77777777" w:rsidR="00A35D8C" w:rsidRPr="004611B2" w:rsidRDefault="00A35D8C" w:rsidP="00BA1BE7">
            <w:pPr>
              <w:jc w:val="center"/>
              <w:rPr>
                <w:color w:val="002060"/>
                <w:lang/>
              </w:rPr>
            </w:pPr>
            <w:r w:rsidRPr="004611B2">
              <w:rPr>
                <w:color w:val="002060"/>
                <w:lang/>
              </w:rPr>
              <w:t>2,24</w:t>
            </w:r>
          </w:p>
        </w:tc>
        <w:tc>
          <w:tcPr>
            <w:tcW w:w="1309" w:type="dxa"/>
            <w:tcBorders>
              <w:top w:val="nil"/>
              <w:left w:val="nil"/>
              <w:bottom w:val="single" w:sz="4" w:space="0" w:color="auto"/>
              <w:right w:val="single" w:sz="4" w:space="0" w:color="auto"/>
            </w:tcBorders>
            <w:shd w:val="clear" w:color="auto" w:fill="FFD966"/>
            <w:noWrap/>
            <w:vAlign w:val="bottom"/>
            <w:hideMark/>
          </w:tcPr>
          <w:p w14:paraId="24252DB1" w14:textId="77777777" w:rsidR="00A35D8C" w:rsidRPr="004611B2" w:rsidRDefault="00A35D8C" w:rsidP="00BA1BE7">
            <w:pPr>
              <w:jc w:val="center"/>
              <w:rPr>
                <w:color w:val="002060"/>
                <w:lang/>
              </w:rPr>
            </w:pPr>
            <w:r w:rsidRPr="004611B2">
              <w:rPr>
                <w:color w:val="002060"/>
                <w:lang/>
              </w:rPr>
              <w:t>3,19</w:t>
            </w:r>
          </w:p>
        </w:tc>
        <w:tc>
          <w:tcPr>
            <w:tcW w:w="1203" w:type="dxa"/>
            <w:tcBorders>
              <w:top w:val="nil"/>
              <w:left w:val="nil"/>
              <w:bottom w:val="single" w:sz="4" w:space="0" w:color="auto"/>
              <w:right w:val="single" w:sz="4" w:space="0" w:color="auto"/>
            </w:tcBorders>
            <w:shd w:val="clear" w:color="auto" w:fill="FFD966"/>
            <w:noWrap/>
            <w:vAlign w:val="bottom"/>
            <w:hideMark/>
          </w:tcPr>
          <w:p w14:paraId="4156A9B4" w14:textId="77777777" w:rsidR="00A35D8C" w:rsidRPr="004611B2" w:rsidRDefault="00A35D8C" w:rsidP="00BA1BE7">
            <w:pPr>
              <w:jc w:val="center"/>
              <w:rPr>
                <w:color w:val="002060"/>
                <w:lang/>
              </w:rPr>
            </w:pPr>
            <w:r w:rsidRPr="004611B2">
              <w:rPr>
                <w:color w:val="002060"/>
                <w:lang/>
              </w:rPr>
              <w:t>2</w:t>
            </w:r>
          </w:p>
        </w:tc>
      </w:tr>
      <w:tr w:rsidR="00A35D8C" w:rsidRPr="004611B2" w14:paraId="12B268B1" w14:textId="77777777" w:rsidTr="00BA1BE7">
        <w:trPr>
          <w:trHeight w:val="300"/>
          <w:jc w:val="center"/>
        </w:trPr>
        <w:tc>
          <w:tcPr>
            <w:tcW w:w="1271" w:type="dxa"/>
            <w:tcBorders>
              <w:top w:val="nil"/>
              <w:left w:val="single" w:sz="4" w:space="0" w:color="auto"/>
              <w:bottom w:val="single" w:sz="4" w:space="0" w:color="auto"/>
              <w:right w:val="single" w:sz="4" w:space="0" w:color="auto"/>
            </w:tcBorders>
            <w:shd w:val="clear" w:color="auto" w:fill="9BC2E6"/>
            <w:noWrap/>
            <w:vAlign w:val="bottom"/>
            <w:hideMark/>
          </w:tcPr>
          <w:p w14:paraId="42CE48AA" w14:textId="77777777" w:rsidR="00A35D8C" w:rsidRPr="004611B2" w:rsidRDefault="00A35D8C" w:rsidP="00BA1BE7">
            <w:pPr>
              <w:rPr>
                <w:color w:val="002060"/>
                <w:lang/>
              </w:rPr>
            </w:pPr>
            <w:r>
              <w:rPr>
                <w:color w:val="002060"/>
                <w:lang/>
              </w:rPr>
              <w:t>Non-STS</w:t>
            </w:r>
          </w:p>
        </w:tc>
        <w:tc>
          <w:tcPr>
            <w:tcW w:w="709" w:type="dxa"/>
            <w:tcBorders>
              <w:top w:val="nil"/>
              <w:left w:val="nil"/>
              <w:bottom w:val="single" w:sz="4" w:space="0" w:color="auto"/>
              <w:right w:val="single" w:sz="4" w:space="0" w:color="auto"/>
            </w:tcBorders>
            <w:shd w:val="clear" w:color="auto" w:fill="9BC2E6"/>
            <w:noWrap/>
            <w:vAlign w:val="bottom"/>
            <w:hideMark/>
          </w:tcPr>
          <w:p w14:paraId="7EC66F88" w14:textId="77777777" w:rsidR="00A35D8C" w:rsidRPr="004611B2" w:rsidRDefault="00A35D8C" w:rsidP="00BA1BE7">
            <w:pPr>
              <w:jc w:val="center"/>
              <w:rPr>
                <w:color w:val="002060"/>
                <w:lang/>
              </w:rPr>
            </w:pPr>
            <w:r w:rsidRPr="004611B2">
              <w:rPr>
                <w:color w:val="002060"/>
                <w:lang/>
              </w:rPr>
              <w:t>IRB</w:t>
            </w:r>
          </w:p>
        </w:tc>
        <w:tc>
          <w:tcPr>
            <w:tcW w:w="1226" w:type="dxa"/>
            <w:tcBorders>
              <w:top w:val="nil"/>
              <w:left w:val="nil"/>
              <w:bottom w:val="single" w:sz="4" w:space="0" w:color="auto"/>
              <w:right w:val="single" w:sz="4" w:space="0" w:color="auto"/>
            </w:tcBorders>
            <w:shd w:val="clear" w:color="auto" w:fill="9BC2E6"/>
            <w:noWrap/>
            <w:vAlign w:val="bottom"/>
            <w:hideMark/>
          </w:tcPr>
          <w:p w14:paraId="1DB1A314" w14:textId="77777777" w:rsidR="00A35D8C" w:rsidRPr="004611B2" w:rsidRDefault="00A35D8C" w:rsidP="00BA1BE7">
            <w:pPr>
              <w:jc w:val="center"/>
              <w:rPr>
                <w:color w:val="002060"/>
                <w:lang/>
              </w:rPr>
            </w:pPr>
            <w:r w:rsidRPr="004611B2">
              <w:rPr>
                <w:color w:val="002060"/>
                <w:lang/>
              </w:rPr>
              <w:t>1,8</w:t>
            </w:r>
          </w:p>
        </w:tc>
        <w:tc>
          <w:tcPr>
            <w:tcW w:w="1184" w:type="dxa"/>
            <w:tcBorders>
              <w:top w:val="nil"/>
              <w:left w:val="nil"/>
              <w:bottom w:val="single" w:sz="4" w:space="0" w:color="auto"/>
              <w:right w:val="single" w:sz="4" w:space="0" w:color="auto"/>
            </w:tcBorders>
            <w:shd w:val="clear" w:color="auto" w:fill="9BC2E6"/>
            <w:noWrap/>
            <w:vAlign w:val="bottom"/>
            <w:hideMark/>
          </w:tcPr>
          <w:p w14:paraId="42C9F4AE" w14:textId="77777777" w:rsidR="00A35D8C" w:rsidRPr="004611B2" w:rsidRDefault="00A35D8C" w:rsidP="00BA1BE7">
            <w:pPr>
              <w:jc w:val="center"/>
              <w:rPr>
                <w:color w:val="002060"/>
                <w:lang/>
              </w:rPr>
            </w:pPr>
            <w:r w:rsidRPr="004611B2">
              <w:rPr>
                <w:color w:val="002060"/>
                <w:lang/>
              </w:rPr>
              <w:t>1,42</w:t>
            </w:r>
          </w:p>
        </w:tc>
        <w:tc>
          <w:tcPr>
            <w:tcW w:w="1381" w:type="dxa"/>
            <w:tcBorders>
              <w:top w:val="nil"/>
              <w:left w:val="nil"/>
              <w:bottom w:val="single" w:sz="4" w:space="0" w:color="auto"/>
              <w:right w:val="single" w:sz="4" w:space="0" w:color="auto"/>
            </w:tcBorders>
            <w:shd w:val="clear" w:color="auto" w:fill="9BC2E6"/>
            <w:noWrap/>
            <w:vAlign w:val="bottom"/>
            <w:hideMark/>
          </w:tcPr>
          <w:p w14:paraId="58BC9CD0" w14:textId="77777777" w:rsidR="00A35D8C" w:rsidRPr="004611B2" w:rsidRDefault="00A35D8C" w:rsidP="00BA1BE7">
            <w:pPr>
              <w:jc w:val="center"/>
              <w:rPr>
                <w:color w:val="002060"/>
                <w:lang/>
              </w:rPr>
            </w:pPr>
            <w:r w:rsidRPr="004611B2">
              <w:rPr>
                <w:color w:val="002060"/>
                <w:lang/>
              </w:rPr>
              <w:t>6,19</w:t>
            </w:r>
          </w:p>
        </w:tc>
        <w:tc>
          <w:tcPr>
            <w:tcW w:w="1309" w:type="dxa"/>
            <w:tcBorders>
              <w:top w:val="nil"/>
              <w:left w:val="nil"/>
              <w:bottom w:val="single" w:sz="4" w:space="0" w:color="auto"/>
              <w:right w:val="single" w:sz="4" w:space="0" w:color="auto"/>
            </w:tcBorders>
            <w:shd w:val="clear" w:color="auto" w:fill="9BC2E6"/>
            <w:noWrap/>
            <w:vAlign w:val="bottom"/>
            <w:hideMark/>
          </w:tcPr>
          <w:p w14:paraId="56D8BD17" w14:textId="77777777" w:rsidR="00A35D8C" w:rsidRPr="004611B2" w:rsidRDefault="00A35D8C" w:rsidP="00BA1BE7">
            <w:pPr>
              <w:jc w:val="center"/>
              <w:rPr>
                <w:color w:val="002060"/>
                <w:lang/>
              </w:rPr>
            </w:pPr>
            <w:r w:rsidRPr="004611B2">
              <w:rPr>
                <w:color w:val="002060"/>
                <w:lang/>
              </w:rPr>
              <w:t>2,21</w:t>
            </w:r>
          </w:p>
        </w:tc>
        <w:tc>
          <w:tcPr>
            <w:tcW w:w="1203" w:type="dxa"/>
            <w:tcBorders>
              <w:top w:val="nil"/>
              <w:left w:val="nil"/>
              <w:bottom w:val="single" w:sz="4" w:space="0" w:color="auto"/>
              <w:right w:val="single" w:sz="4" w:space="0" w:color="auto"/>
            </w:tcBorders>
            <w:shd w:val="clear" w:color="auto" w:fill="9BC2E6"/>
            <w:noWrap/>
            <w:vAlign w:val="bottom"/>
            <w:hideMark/>
          </w:tcPr>
          <w:p w14:paraId="53DAF9EA" w14:textId="77777777" w:rsidR="00A35D8C" w:rsidRPr="004611B2" w:rsidRDefault="00A35D8C" w:rsidP="00BA1BE7">
            <w:pPr>
              <w:jc w:val="center"/>
              <w:rPr>
                <w:color w:val="002060"/>
                <w:lang/>
              </w:rPr>
            </w:pPr>
            <w:r w:rsidRPr="004611B2">
              <w:rPr>
                <w:color w:val="002060"/>
                <w:lang/>
              </w:rPr>
              <w:t>2,47</w:t>
            </w:r>
          </w:p>
        </w:tc>
      </w:tr>
    </w:tbl>
    <w:p w14:paraId="61670A3E" w14:textId="77777777" w:rsidR="00A35D8C" w:rsidRPr="004611B2" w:rsidRDefault="00A35D8C" w:rsidP="00A35D8C">
      <w:pPr>
        <w:ind w:left="349"/>
        <w:rPr>
          <w:color w:val="0070C0"/>
        </w:rPr>
      </w:pPr>
      <w:r w:rsidRPr="004611B2">
        <w:rPr>
          <w:color w:val="0070C0"/>
        </w:rPr>
        <w:t>In</w:t>
      </w:r>
      <w:r w:rsidRPr="004611B2">
        <w:rPr>
          <w:color w:val="0070C0"/>
          <w:lang w:val="fr-FR"/>
        </w:rPr>
        <w:t xml:space="preserve"> </w:t>
      </w:r>
      <w:r w:rsidRPr="004611B2">
        <w:rPr>
          <w:color w:val="0070C0"/>
        </w:rPr>
        <w:t xml:space="preserve">synthetic on balance-sheet transactions, the multiplication factor between aggregated RW on all the tranches after </w:t>
      </w:r>
      <w:proofErr w:type="spellStart"/>
      <w:r w:rsidRPr="004611B2">
        <w:rPr>
          <w:color w:val="0070C0"/>
        </w:rPr>
        <w:t>securitisation</w:t>
      </w:r>
      <w:proofErr w:type="spellEnd"/>
      <w:r w:rsidRPr="004611B2">
        <w:rPr>
          <w:color w:val="0070C0"/>
        </w:rPr>
        <w:t xml:space="preserve"> and RW on a loan pool is quite substantial, forcing banks to sell thick</w:t>
      </w:r>
      <w:r>
        <w:rPr>
          <w:color w:val="0070C0"/>
        </w:rPr>
        <w:t>er</w:t>
      </w:r>
      <w:r w:rsidRPr="004611B2">
        <w:rPr>
          <w:color w:val="0070C0"/>
        </w:rPr>
        <w:t xml:space="preserve"> junior tranches </w:t>
      </w:r>
      <w:r>
        <w:rPr>
          <w:color w:val="0070C0"/>
        </w:rPr>
        <w:t xml:space="preserve">and increasing the cost of such transactions </w:t>
      </w:r>
      <w:r w:rsidRPr="004611B2">
        <w:rPr>
          <w:color w:val="0070C0"/>
        </w:rPr>
        <w:t xml:space="preserve">before releasing enough capital to re-invest in new loans. </w:t>
      </w:r>
    </w:p>
    <w:p w14:paraId="4900D25A" w14:textId="77777777" w:rsidR="00A35D8C" w:rsidRDefault="00A35D8C" w:rsidP="00A35D8C">
      <w:pPr>
        <w:ind w:left="349"/>
        <w:rPr>
          <w:color w:val="0070C0"/>
        </w:rPr>
      </w:pPr>
    </w:p>
    <w:p w14:paraId="3F929AC4" w14:textId="77777777" w:rsidR="00A35D8C" w:rsidRDefault="00A35D8C" w:rsidP="00A35D8C">
      <w:pPr>
        <w:ind w:left="349"/>
        <w:rPr>
          <w:color w:val="0070C0"/>
          <w:lang w:val="fr-FR"/>
        </w:rPr>
      </w:pPr>
      <w:r w:rsidRPr="004611B2">
        <w:rPr>
          <w:color w:val="0070C0"/>
        </w:rPr>
        <w:t>The multiplication factors are of course higher on non-STS than on STS transactions, as p factors are different</w:t>
      </w:r>
      <w:r w:rsidRPr="004611B2">
        <w:rPr>
          <w:color w:val="0070C0"/>
          <w:lang w:val="fr-FR"/>
        </w:rPr>
        <w:t>:</w:t>
      </w:r>
    </w:p>
    <w:p w14:paraId="76482365" w14:textId="77777777" w:rsidR="00A35D8C" w:rsidRPr="004611B2" w:rsidRDefault="00A35D8C" w:rsidP="00A35D8C">
      <w:pPr>
        <w:ind w:left="349"/>
        <w:rPr>
          <w:color w:val="0070C0"/>
          <w:lang w:val="fr-FR"/>
        </w:rPr>
      </w:pPr>
    </w:p>
    <w:p w14:paraId="4882E3DC" w14:textId="77777777" w:rsidR="00A35D8C" w:rsidRPr="004611B2" w:rsidRDefault="00A35D8C" w:rsidP="00A35D8C">
      <w:pPr>
        <w:ind w:left="349"/>
        <w:jc w:val="center"/>
        <w:rPr>
          <w:color w:val="002060"/>
          <w:lang/>
        </w:rPr>
      </w:pPr>
      <w:r>
        <w:rPr>
          <w:noProof/>
        </w:rPr>
        <w:lastRenderedPageBreak/>
        <mc:AlternateContent>
          <mc:Choice Requires="wps">
            <w:drawing>
              <wp:anchor distT="0" distB="0" distL="114300" distR="114300" simplePos="0" relativeHeight="251660288" behindDoc="0" locked="0" layoutInCell="1" allowOverlap="1" wp14:anchorId="1DD8F851" wp14:editId="27BB04DB">
                <wp:simplePos x="0" y="0"/>
                <wp:positionH relativeFrom="column">
                  <wp:posOffset>5273675</wp:posOffset>
                </wp:positionH>
                <wp:positionV relativeFrom="paragraph">
                  <wp:posOffset>1546860</wp:posOffset>
                </wp:positionV>
                <wp:extent cx="933450" cy="590550"/>
                <wp:effectExtent l="0" t="0" r="0" b="0"/>
                <wp:wrapNone/>
                <wp:docPr id="7" name="Rectangle 7"/>
                <wp:cNvGraphicFramePr/>
                <a:graphic xmlns:a="http://schemas.openxmlformats.org/drawingml/2006/main">
                  <a:graphicData uri="http://schemas.microsoft.com/office/word/2010/wordprocessingShape">
                    <wps:wsp>
                      <wps:cNvSpPr/>
                      <wps:spPr>
                        <a:xfrm>
                          <a:off x="0" y="0"/>
                          <a:ext cx="933450" cy="5905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817B71" w14:textId="77777777" w:rsidR="00A35D8C" w:rsidRPr="0056208C" w:rsidRDefault="00A35D8C" w:rsidP="00A35D8C">
                            <w:pPr>
                              <w:jc w:val="center"/>
                              <w:rPr>
                                <w:color w:val="002060"/>
                              </w:rPr>
                            </w:pPr>
                            <w:r w:rsidRPr="0056208C">
                              <w:rPr>
                                <w:color w:val="002060"/>
                              </w:rPr>
                              <w:t>Neutrality</w:t>
                            </w:r>
                            <w:r w:rsidRPr="0056208C">
                              <w:rPr>
                                <w:color w:val="002060"/>
                              </w:rPr>
                              <w:br/>
                              <w:t>level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D8F851" id="Rectangle 7" o:spid="_x0000_s1026" style="position:absolute;left:0;text-align:left;margin-left:415.25pt;margin-top:121.8pt;width:73.5pt;height:4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" filled="f" stroked="f" strokeweight="1pt">
                <v:textbox>
                  <w:txbxContent>
                    <w:p w14:paraId="4A817B71" w14:textId="77777777" w:rsidR="00A35D8C" w:rsidRPr="0056208C" w:rsidRDefault="00A35D8C" w:rsidP="00A35D8C">
                      <w:pPr>
                        <w:jc w:val="center"/>
                        <w:rPr>
                          <w:color w:val="002060"/>
                        </w:rPr>
                      </w:pPr>
                      <w:r w:rsidRPr="0056208C">
                        <w:rPr>
                          <w:color w:val="002060"/>
                        </w:rPr>
                        <w:t>Neutrality</w:t>
                      </w:r>
                      <w:r w:rsidRPr="0056208C">
                        <w:rPr>
                          <w:color w:val="002060"/>
                        </w:rPr>
                        <w:br/>
                        <w:t>level</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4CB61FB2" wp14:editId="01EADD37">
                <wp:simplePos x="0" y="0"/>
                <wp:positionH relativeFrom="column">
                  <wp:posOffset>587375</wp:posOffset>
                </wp:positionH>
                <wp:positionV relativeFrom="paragraph">
                  <wp:posOffset>1899285</wp:posOffset>
                </wp:positionV>
                <wp:extent cx="4876800" cy="0"/>
                <wp:effectExtent l="0" t="0" r="0" b="0"/>
                <wp:wrapNone/>
                <wp:docPr id="4" name="Connecteur droit 4"/>
                <wp:cNvGraphicFramePr/>
                <a:graphic xmlns:a="http://schemas.openxmlformats.org/drawingml/2006/main">
                  <a:graphicData uri="http://schemas.microsoft.com/office/word/2010/wordprocessingShape">
                    <wps:wsp>
                      <wps:cNvCnPr/>
                      <wps:spPr>
                        <a:xfrm>
                          <a:off x="0" y="0"/>
                          <a:ext cx="4876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6B3A2C" id="Connecteur droit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6.25pt,149.55pt" to="430.25pt,149.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" strokecolor="#4472c4 [3204]" strokeweight=".5pt">
                <v:stroke joinstyle="miter"/>
              </v:line>
            </w:pict>
          </mc:Fallback>
        </mc:AlternateContent>
      </w:r>
      <w:r w:rsidRPr="004611B2">
        <w:rPr>
          <w:noProof/>
        </w:rPr>
        <w:drawing>
          <wp:inline distT="0" distB="0" distL="0" distR="0" wp14:anchorId="2A352986" wp14:editId="5486C968">
            <wp:extent cx="4276725" cy="2752725"/>
            <wp:effectExtent l="0" t="0" r="9525" b="9525"/>
            <wp:docPr id="6" name="Graphique 6">
              <a:extLst xmlns:a="http://schemas.openxmlformats.org/drawingml/2006/main">
                <a:ext uri="{FF2B5EF4-FFF2-40B4-BE49-F238E27FC236}">
                  <a16:creationId xmlns:a16="http://schemas.microsoft.com/office/drawing/2014/main" id="{3EDF2A2F-56A0-4E62-A070-FF0ED1B9D8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06C46A9" w14:textId="77777777" w:rsidR="00A35D8C" w:rsidRPr="004611B2" w:rsidRDefault="00A35D8C" w:rsidP="00A35D8C">
      <w:pPr>
        <w:ind w:left="349"/>
        <w:rPr>
          <w:color w:val="002060"/>
        </w:rPr>
      </w:pPr>
    </w:p>
    <w:p w14:paraId="34DFB622" w14:textId="77777777" w:rsidR="00A35D8C" w:rsidRDefault="00A35D8C" w:rsidP="00A35D8C">
      <w:pPr>
        <w:ind w:left="349"/>
        <w:rPr>
          <w:color w:val="0070C0"/>
        </w:rPr>
      </w:pPr>
      <w:r w:rsidRPr="004611B2">
        <w:rPr>
          <w:color w:val="0070C0"/>
        </w:rPr>
        <w:t xml:space="preserve">Although theoretical, the examples in attachment 1 illustrate the </w:t>
      </w:r>
      <w:r w:rsidRPr="004611B2">
        <w:rPr>
          <w:b/>
          <w:bCs/>
          <w:color w:val="0070C0"/>
        </w:rPr>
        <w:t>RWA inflation</w:t>
      </w:r>
      <w:r w:rsidRPr="004611B2">
        <w:rPr>
          <w:color w:val="0070C0"/>
        </w:rPr>
        <w:t xml:space="preserve"> induced by the calibration of the SEC-IRBA and the SEC-</w:t>
      </w:r>
      <w:proofErr w:type="gramStart"/>
      <w:r w:rsidRPr="004611B2">
        <w:rPr>
          <w:color w:val="0070C0"/>
        </w:rPr>
        <w:t>SA :</w:t>
      </w:r>
      <w:proofErr w:type="gramEnd"/>
      <w:r w:rsidRPr="004611B2">
        <w:rPr>
          <w:color w:val="0070C0"/>
        </w:rPr>
        <w:t xml:space="preserve"> if a bank was to sell 80% of all the tranches, the RWA reduction would range between 48% and 73% under SEC-IRBA and between 36% and 60% under SEC-SA.</w:t>
      </w:r>
    </w:p>
    <w:p w14:paraId="055B100B" w14:textId="77777777" w:rsidR="00A35D8C" w:rsidRPr="004611B2" w:rsidRDefault="00A35D8C" w:rsidP="00A35D8C">
      <w:pPr>
        <w:ind w:left="349"/>
        <w:rPr>
          <w:color w:val="0070C0"/>
        </w:rPr>
      </w:pPr>
    </w:p>
    <w:p w14:paraId="118339BC" w14:textId="77777777" w:rsidR="00A35D8C" w:rsidRPr="004611B2" w:rsidRDefault="00A35D8C" w:rsidP="00A35D8C">
      <w:pPr>
        <w:ind w:left="349"/>
        <w:rPr>
          <w:color w:val="0070C0"/>
        </w:rPr>
      </w:pPr>
      <w:r w:rsidRPr="004611B2">
        <w:rPr>
          <w:color w:val="0070C0"/>
        </w:rPr>
        <w:t xml:space="preserve">Based on these examples, we estimated that </w:t>
      </w:r>
      <w:r w:rsidRPr="004611B2">
        <w:rPr>
          <w:b/>
          <w:bCs/>
          <w:color w:val="0070C0"/>
        </w:rPr>
        <w:t xml:space="preserve">a fair target of non-neutrality effect could be estimated at maximum </w:t>
      </w:r>
      <w:proofErr w:type="gramStart"/>
      <w:r w:rsidRPr="004611B2">
        <w:rPr>
          <w:b/>
          <w:bCs/>
          <w:color w:val="0070C0"/>
        </w:rPr>
        <w:t>1.5</w:t>
      </w:r>
      <w:r w:rsidRPr="004611B2">
        <w:rPr>
          <w:color w:val="0070C0"/>
        </w:rPr>
        <w:t>, and</w:t>
      </w:r>
      <w:proofErr w:type="gramEnd"/>
      <w:r w:rsidRPr="004611B2">
        <w:rPr>
          <w:color w:val="0070C0"/>
        </w:rPr>
        <w:t xml:space="preserve"> simulated the level of p factor reduction which would allow to achieve this objective.</w:t>
      </w:r>
    </w:p>
    <w:p w14:paraId="724A9C90" w14:textId="77777777" w:rsidR="00A35D8C" w:rsidRDefault="00A35D8C" w:rsidP="00A35D8C">
      <w:pPr>
        <w:ind w:left="349"/>
        <w:rPr>
          <w:color w:val="0070C0"/>
        </w:rPr>
      </w:pPr>
    </w:p>
    <w:p w14:paraId="33653427" w14:textId="77777777" w:rsidR="00A35D8C" w:rsidRPr="00191208" w:rsidRDefault="00A35D8C" w:rsidP="00A35D8C">
      <w:pPr>
        <w:pStyle w:val="ListParagraph"/>
        <w:numPr>
          <w:ilvl w:val="0"/>
          <w:numId w:val="12"/>
        </w:numPr>
        <w:rPr>
          <w:color w:val="0070C0"/>
          <w:sz w:val="24"/>
          <w:szCs w:val="24"/>
          <w:lang/>
        </w:rPr>
      </w:pPr>
      <w:r w:rsidRPr="00191208">
        <w:rPr>
          <w:color w:val="0070C0"/>
          <w:sz w:val="24"/>
          <w:szCs w:val="24"/>
          <w:lang/>
        </w:rPr>
        <w:t xml:space="preserve">We provide you in </w:t>
      </w:r>
      <w:proofErr w:type="spellStart"/>
      <w:r w:rsidRPr="00191208">
        <w:rPr>
          <w:i/>
          <w:iCs/>
          <w:color w:val="0070C0"/>
          <w:sz w:val="24"/>
          <w:szCs w:val="24"/>
          <w:u w:val="single"/>
          <w:lang w:val="fr-FR"/>
        </w:rPr>
        <w:t>Appendix</w:t>
      </w:r>
      <w:proofErr w:type="spellEnd"/>
      <w:r w:rsidRPr="00191208">
        <w:rPr>
          <w:i/>
          <w:iCs/>
          <w:color w:val="0070C0"/>
          <w:sz w:val="24"/>
          <w:szCs w:val="24"/>
          <w:u w:val="single"/>
          <w:lang w:val="fr-FR"/>
        </w:rPr>
        <w:t xml:space="preserve"> 3</w:t>
      </w:r>
      <w:r w:rsidRPr="00191208">
        <w:rPr>
          <w:color w:val="0070C0"/>
          <w:sz w:val="24"/>
          <w:szCs w:val="24"/>
          <w:lang w:val="fr-FR"/>
        </w:rPr>
        <w:t xml:space="preserve"> </w:t>
      </w:r>
      <w:proofErr w:type="spellStart"/>
      <w:r w:rsidRPr="00191208">
        <w:rPr>
          <w:color w:val="0070C0"/>
          <w:sz w:val="24"/>
          <w:szCs w:val="24"/>
          <w:lang w:val="fr-FR"/>
        </w:rPr>
        <w:t>with</w:t>
      </w:r>
      <w:proofErr w:type="spellEnd"/>
      <w:r w:rsidRPr="00191208">
        <w:rPr>
          <w:color w:val="0070C0"/>
          <w:sz w:val="24"/>
          <w:szCs w:val="24"/>
          <w:lang w:val="fr-FR"/>
        </w:rPr>
        <w:t xml:space="preserve"> an </w:t>
      </w:r>
      <w:r w:rsidRPr="00191208">
        <w:rPr>
          <w:color w:val="0070C0"/>
          <w:sz w:val="24"/>
          <w:szCs w:val="24"/>
          <w:lang/>
        </w:rPr>
        <w:t xml:space="preserve">analysis </w:t>
      </w:r>
      <w:proofErr w:type="spellStart"/>
      <w:r w:rsidRPr="00191208">
        <w:rPr>
          <w:color w:val="0070C0"/>
          <w:sz w:val="24"/>
          <w:szCs w:val="24"/>
          <w:lang w:val="fr-FR"/>
        </w:rPr>
        <w:t>performed</w:t>
      </w:r>
      <w:proofErr w:type="spellEnd"/>
      <w:r w:rsidRPr="00191208">
        <w:rPr>
          <w:color w:val="0070C0"/>
          <w:sz w:val="24"/>
          <w:szCs w:val="24"/>
          <w:lang w:val="fr-FR"/>
        </w:rPr>
        <w:t xml:space="preserve"> on four real life transactions </w:t>
      </w:r>
      <w:r w:rsidRPr="00191208">
        <w:rPr>
          <w:color w:val="0070C0"/>
          <w:sz w:val="24"/>
          <w:szCs w:val="24"/>
          <w:lang/>
        </w:rPr>
        <w:t xml:space="preserve">to </w:t>
      </w:r>
      <w:proofErr w:type="spellStart"/>
      <w:r w:rsidRPr="00191208">
        <w:rPr>
          <w:color w:val="0070C0"/>
          <w:sz w:val="24"/>
          <w:szCs w:val="24"/>
          <w:lang w:val="fr-FR"/>
        </w:rPr>
        <w:t>estimate</w:t>
      </w:r>
      <w:proofErr w:type="spellEnd"/>
      <w:r w:rsidRPr="00191208">
        <w:rPr>
          <w:color w:val="0070C0"/>
          <w:sz w:val="24"/>
          <w:szCs w:val="24"/>
          <w:lang w:val="fr-FR"/>
        </w:rPr>
        <w:t xml:space="preserve"> the </w:t>
      </w:r>
      <w:proofErr w:type="spellStart"/>
      <w:r w:rsidRPr="00191208">
        <w:rPr>
          <w:color w:val="0070C0"/>
          <w:sz w:val="24"/>
          <w:szCs w:val="24"/>
          <w:lang w:val="fr-FR"/>
        </w:rPr>
        <w:t>level</w:t>
      </w:r>
      <w:proofErr w:type="spellEnd"/>
      <w:r w:rsidRPr="00191208">
        <w:rPr>
          <w:color w:val="0070C0"/>
          <w:sz w:val="24"/>
          <w:szCs w:val="24"/>
          <w:lang w:val="fr-FR"/>
        </w:rPr>
        <w:t xml:space="preserve"> of p factor </w:t>
      </w:r>
      <w:proofErr w:type="spellStart"/>
      <w:r w:rsidRPr="00191208">
        <w:rPr>
          <w:color w:val="0070C0"/>
          <w:sz w:val="24"/>
          <w:szCs w:val="24"/>
          <w:lang w:val="fr-FR"/>
        </w:rPr>
        <w:t>reduction</w:t>
      </w:r>
      <w:proofErr w:type="spellEnd"/>
      <w:r w:rsidRPr="00191208">
        <w:rPr>
          <w:color w:val="0070C0"/>
          <w:sz w:val="24"/>
          <w:szCs w:val="24"/>
          <w:lang w:val="fr-FR"/>
        </w:rPr>
        <w:t xml:space="preserve"> in SEC-SA </w:t>
      </w:r>
      <w:proofErr w:type="spellStart"/>
      <w:r w:rsidRPr="00191208">
        <w:rPr>
          <w:color w:val="0070C0"/>
          <w:sz w:val="24"/>
          <w:szCs w:val="24"/>
          <w:lang w:val="fr-FR"/>
        </w:rPr>
        <w:t>which</w:t>
      </w:r>
      <w:proofErr w:type="spellEnd"/>
      <w:r w:rsidRPr="00191208">
        <w:rPr>
          <w:color w:val="0070C0"/>
          <w:sz w:val="24"/>
          <w:szCs w:val="24"/>
          <w:lang w:val="fr-FR"/>
        </w:rPr>
        <w:t xml:space="preserve"> </w:t>
      </w:r>
      <w:proofErr w:type="spellStart"/>
      <w:r w:rsidRPr="00191208">
        <w:rPr>
          <w:color w:val="0070C0"/>
          <w:sz w:val="24"/>
          <w:szCs w:val="24"/>
          <w:lang w:val="fr-FR"/>
        </w:rPr>
        <w:t>could</w:t>
      </w:r>
      <w:proofErr w:type="spellEnd"/>
      <w:r w:rsidRPr="00191208">
        <w:rPr>
          <w:color w:val="0070C0"/>
          <w:sz w:val="24"/>
          <w:szCs w:val="24"/>
          <w:lang w:val="fr-FR"/>
        </w:rPr>
        <w:t xml:space="preserve"> </w:t>
      </w:r>
      <w:proofErr w:type="spellStart"/>
      <w:r w:rsidRPr="00191208">
        <w:rPr>
          <w:color w:val="0070C0"/>
          <w:sz w:val="24"/>
          <w:szCs w:val="24"/>
          <w:lang w:val="fr-FR"/>
        </w:rPr>
        <w:t>compensate</w:t>
      </w:r>
      <w:proofErr w:type="spellEnd"/>
      <w:r w:rsidRPr="00191208">
        <w:rPr>
          <w:color w:val="0070C0"/>
          <w:sz w:val="24"/>
          <w:szCs w:val="24"/>
          <w:lang w:val="fr-FR"/>
        </w:rPr>
        <w:t xml:space="preserve"> for </w:t>
      </w:r>
      <w:r w:rsidRPr="00191208">
        <w:rPr>
          <w:color w:val="0070C0"/>
          <w:sz w:val="24"/>
          <w:szCs w:val="24"/>
          <w:lang/>
        </w:rPr>
        <w:t xml:space="preserve">the RW difference resulting from the </w:t>
      </w:r>
      <w:r w:rsidRPr="00191208">
        <w:rPr>
          <w:color w:val="0070C0"/>
          <w:sz w:val="24"/>
          <w:szCs w:val="24"/>
          <w:lang w:val="fr-FR"/>
        </w:rPr>
        <w:t xml:space="preserve">(final) </w:t>
      </w:r>
      <w:r w:rsidRPr="00191208">
        <w:rPr>
          <w:color w:val="0070C0"/>
          <w:sz w:val="24"/>
          <w:szCs w:val="24"/>
          <w:lang/>
        </w:rPr>
        <w:t xml:space="preserve">Basel </w:t>
      </w:r>
      <w:r w:rsidRPr="00191208">
        <w:rPr>
          <w:color w:val="0070C0"/>
          <w:sz w:val="24"/>
          <w:szCs w:val="24"/>
          <w:lang w:val="fr-FR"/>
        </w:rPr>
        <w:t xml:space="preserve">III </w:t>
      </w:r>
      <w:r w:rsidRPr="00191208">
        <w:rPr>
          <w:color w:val="0070C0"/>
          <w:sz w:val="24"/>
          <w:szCs w:val="24"/>
          <w:lang/>
        </w:rPr>
        <w:t xml:space="preserve">‘Output Floor’ pre-securitisation (IRB to SA) </w:t>
      </w:r>
      <w:r w:rsidRPr="00191208">
        <w:rPr>
          <w:color w:val="0070C0"/>
          <w:sz w:val="24"/>
          <w:szCs w:val="24"/>
          <w:lang w:val="fr-FR"/>
        </w:rPr>
        <w:t>and</w:t>
      </w:r>
      <w:r w:rsidRPr="00191208">
        <w:rPr>
          <w:color w:val="0070C0"/>
          <w:sz w:val="24"/>
          <w:szCs w:val="24"/>
          <w:lang/>
        </w:rPr>
        <w:t xml:space="preserve"> post-securitisation (SEC-IRBA to SEC-SA)</w:t>
      </w:r>
      <w:r w:rsidRPr="00191208">
        <w:rPr>
          <w:color w:val="0070C0"/>
          <w:sz w:val="24"/>
          <w:szCs w:val="24"/>
          <w:lang w:val="fr-FR"/>
        </w:rPr>
        <w:t xml:space="preserve">. </w:t>
      </w:r>
      <w:r w:rsidRPr="00191208">
        <w:rPr>
          <w:color w:val="0070C0"/>
          <w:sz w:val="24"/>
          <w:szCs w:val="24"/>
          <w:lang w:val="fr-FR"/>
        </w:rPr>
        <w:br/>
      </w:r>
      <w:r w:rsidRPr="00191208">
        <w:rPr>
          <w:color w:val="0070C0"/>
          <w:sz w:val="24"/>
          <w:szCs w:val="24"/>
          <w:lang w:val="fr-FR"/>
        </w:rPr>
        <w:br/>
        <w:t xml:space="preserve">For </w:t>
      </w:r>
      <w:proofErr w:type="spellStart"/>
      <w:r w:rsidRPr="00191208">
        <w:rPr>
          <w:color w:val="0070C0"/>
          <w:sz w:val="24"/>
          <w:szCs w:val="24"/>
          <w:lang w:val="fr-FR"/>
        </w:rPr>
        <w:t>these</w:t>
      </w:r>
      <w:proofErr w:type="spellEnd"/>
      <w:r w:rsidRPr="00191208">
        <w:rPr>
          <w:color w:val="0070C0"/>
          <w:sz w:val="24"/>
          <w:szCs w:val="24"/>
          <w:lang w:val="fr-FR"/>
        </w:rPr>
        <w:t xml:space="preserve"> transactions </w:t>
      </w:r>
      <w:proofErr w:type="spellStart"/>
      <w:r w:rsidRPr="00191208">
        <w:rPr>
          <w:color w:val="0070C0"/>
          <w:sz w:val="24"/>
          <w:szCs w:val="24"/>
          <w:lang w:val="fr-FR"/>
        </w:rPr>
        <w:t>specifically</w:t>
      </w:r>
      <w:proofErr w:type="spellEnd"/>
      <w:r w:rsidRPr="00191208">
        <w:rPr>
          <w:color w:val="0070C0"/>
          <w:sz w:val="24"/>
          <w:szCs w:val="24"/>
          <w:lang w:val="fr-FR"/>
        </w:rPr>
        <w:t>, t</w:t>
      </w:r>
      <w:r w:rsidRPr="00191208">
        <w:rPr>
          <w:color w:val="0070C0"/>
          <w:sz w:val="24"/>
          <w:szCs w:val="24"/>
        </w:rPr>
        <w:t xml:space="preserve">he attached simulations come out at a </w:t>
      </w:r>
      <w:r w:rsidRPr="00191208">
        <w:rPr>
          <w:b/>
          <w:bCs/>
          <w:color w:val="0070C0"/>
          <w:sz w:val="24"/>
          <w:szCs w:val="24"/>
        </w:rPr>
        <w:t>reduction of the p factor by circa 50%</w:t>
      </w:r>
      <w:r w:rsidRPr="00191208">
        <w:rPr>
          <w:b/>
          <w:bCs/>
          <w:color w:val="0070C0"/>
          <w:sz w:val="24"/>
          <w:szCs w:val="24"/>
          <w:lang w:val="fr-FR"/>
        </w:rPr>
        <w:t xml:space="preserve"> : </w:t>
      </w:r>
      <w:r w:rsidRPr="00191208">
        <w:rPr>
          <w:b/>
          <w:bCs/>
          <w:color w:val="0070C0"/>
          <w:sz w:val="24"/>
          <w:szCs w:val="24"/>
          <w:lang w:val="fr-FR"/>
        </w:rPr>
        <w:br/>
      </w:r>
    </w:p>
    <w:p w14:paraId="4C8E8F1D" w14:textId="77777777" w:rsidR="00A35D8C" w:rsidRPr="00191208" w:rsidRDefault="00A35D8C" w:rsidP="00A35D8C">
      <w:pPr>
        <w:pStyle w:val="ListParagraph"/>
        <w:numPr>
          <w:ilvl w:val="0"/>
          <w:numId w:val="11"/>
        </w:numPr>
        <w:ind w:left="1080"/>
        <w:rPr>
          <w:rFonts w:eastAsiaTheme="minorHAnsi"/>
          <w:color w:val="0070C0"/>
          <w:sz w:val="24"/>
          <w:szCs w:val="24"/>
          <w:lang/>
        </w:rPr>
      </w:pPr>
      <w:r w:rsidRPr="00191208">
        <w:rPr>
          <w:rFonts w:eastAsiaTheme="minorHAnsi"/>
          <w:color w:val="0070C0"/>
          <w:sz w:val="24"/>
          <w:szCs w:val="24"/>
          <w:lang/>
        </w:rPr>
        <w:t>In the ‘SEC-SA’, halving the p-factor can bring down the credit enhancement required to reach RW floor to a more reasonable level (still with 1.5 x UL coverage), which should also support smaller SA banks issuance</w:t>
      </w:r>
      <w:r w:rsidRPr="00191208">
        <w:rPr>
          <w:rFonts w:eastAsiaTheme="minorHAnsi"/>
          <w:color w:val="0070C0"/>
          <w:sz w:val="24"/>
          <w:szCs w:val="24"/>
          <w:lang/>
        </w:rPr>
        <w:br/>
      </w:r>
    </w:p>
    <w:p w14:paraId="1415284D" w14:textId="77777777" w:rsidR="00A35D8C" w:rsidRPr="00191208" w:rsidRDefault="00A35D8C" w:rsidP="00A35D8C">
      <w:pPr>
        <w:pStyle w:val="ListParagraph"/>
        <w:numPr>
          <w:ilvl w:val="0"/>
          <w:numId w:val="11"/>
        </w:numPr>
        <w:ind w:left="1080"/>
        <w:rPr>
          <w:rFonts w:eastAsiaTheme="minorHAnsi"/>
          <w:color w:val="0070C0"/>
          <w:sz w:val="24"/>
          <w:szCs w:val="24"/>
          <w:lang/>
        </w:rPr>
      </w:pPr>
      <w:r w:rsidRPr="00191208">
        <w:rPr>
          <w:rFonts w:eastAsiaTheme="minorHAnsi"/>
          <w:color w:val="0070C0"/>
          <w:sz w:val="24"/>
          <w:szCs w:val="24"/>
          <w:lang/>
        </w:rPr>
        <w:t>Non-Neutrality of c.150% and c.125% of pre-securitisation capital are achieved for Non-STS and STS examples respectively</w:t>
      </w:r>
      <w:r w:rsidRPr="00191208">
        <w:rPr>
          <w:rFonts w:eastAsiaTheme="minorHAnsi"/>
          <w:color w:val="0070C0"/>
          <w:sz w:val="24"/>
          <w:szCs w:val="24"/>
          <w:lang/>
        </w:rPr>
        <w:br/>
      </w:r>
    </w:p>
    <w:p w14:paraId="0AB7C082" w14:textId="77777777" w:rsidR="00A35D8C" w:rsidRPr="00191208" w:rsidRDefault="00A35D8C" w:rsidP="00A35D8C">
      <w:pPr>
        <w:pStyle w:val="ListParagraph"/>
        <w:numPr>
          <w:ilvl w:val="0"/>
          <w:numId w:val="11"/>
        </w:numPr>
        <w:ind w:left="1080"/>
        <w:rPr>
          <w:rFonts w:eastAsiaTheme="minorHAnsi"/>
          <w:color w:val="0070C0"/>
          <w:sz w:val="24"/>
          <w:szCs w:val="24"/>
          <w:lang/>
        </w:rPr>
      </w:pPr>
      <w:r w:rsidRPr="00191208">
        <w:rPr>
          <w:rFonts w:eastAsiaTheme="minorHAnsi"/>
          <w:color w:val="0070C0"/>
          <w:sz w:val="24"/>
          <w:szCs w:val="24"/>
          <w:lang/>
        </w:rPr>
        <w:t>The approach to calibration is conservative as normalising the (final) Basel III Output Floor impact does not give recognition to the senior credit risk retained vs pre-securitisation credit risk.</w:t>
      </w:r>
      <w:r w:rsidRPr="00191208">
        <w:rPr>
          <w:rFonts w:eastAsiaTheme="minorHAnsi"/>
          <w:color w:val="0070C0"/>
          <w:sz w:val="24"/>
          <w:szCs w:val="24"/>
          <w:lang/>
        </w:rPr>
        <w:br/>
      </w:r>
    </w:p>
    <w:p w14:paraId="4660E6FC" w14:textId="77777777" w:rsidR="00A35D8C" w:rsidRPr="00191208" w:rsidRDefault="00A35D8C" w:rsidP="00A35D8C">
      <w:pPr>
        <w:spacing w:line="259" w:lineRule="auto"/>
        <w:ind w:left="720"/>
        <w:rPr>
          <w:color w:val="0070C0"/>
          <w:lang/>
        </w:rPr>
      </w:pPr>
      <w:r w:rsidRPr="00191208">
        <w:rPr>
          <w:color w:val="0070C0"/>
          <w:lang/>
        </w:rPr>
        <w:lastRenderedPageBreak/>
        <w:t xml:space="preserve">For memory, adjusting the p-factor in SEC-SA to 0.5 for non-STS and to 0.25 for STS transactions, is aligned with the proposals made in the final report of </w:t>
      </w:r>
      <w:r w:rsidRPr="00191208">
        <w:rPr>
          <w:b/>
          <w:bCs/>
          <w:color w:val="0070C0"/>
          <w:lang/>
        </w:rPr>
        <w:t>CMU High Level Forum</w:t>
      </w:r>
      <w:r w:rsidRPr="00191208">
        <w:rPr>
          <w:color w:val="0070C0"/>
          <w:lang/>
        </w:rPr>
        <w:t xml:space="preserve"> (Annex pages 61-62), and to the proposed amendments to Articles 261, 262, 263 and 264. </w:t>
      </w:r>
    </w:p>
    <w:p w14:paraId="0E8A2E63" w14:textId="77777777" w:rsidR="00A35D8C" w:rsidRPr="00191208" w:rsidRDefault="00A35D8C" w:rsidP="00A35D8C">
      <w:pPr>
        <w:spacing w:line="259" w:lineRule="auto"/>
        <w:ind w:left="720"/>
        <w:rPr>
          <w:color w:val="0070C0"/>
          <w:lang/>
        </w:rPr>
      </w:pPr>
    </w:p>
    <w:p w14:paraId="66224176" w14:textId="77777777" w:rsidR="00A35D8C" w:rsidRPr="00191208" w:rsidRDefault="00A35D8C" w:rsidP="00A35D8C">
      <w:pPr>
        <w:pStyle w:val="ListParagraph"/>
        <w:numPr>
          <w:ilvl w:val="0"/>
          <w:numId w:val="12"/>
        </w:numPr>
        <w:rPr>
          <w:color w:val="0070C0"/>
          <w:sz w:val="24"/>
          <w:szCs w:val="24"/>
        </w:rPr>
      </w:pPr>
      <w:r w:rsidRPr="00191208">
        <w:rPr>
          <w:color w:val="0070C0"/>
          <w:sz w:val="24"/>
          <w:szCs w:val="24"/>
        </w:rPr>
        <w:t xml:space="preserve">However, </w:t>
      </w:r>
      <w:r w:rsidRPr="00191208">
        <w:rPr>
          <w:b/>
          <w:bCs/>
          <w:color w:val="0070C0"/>
          <w:sz w:val="24"/>
          <w:szCs w:val="24"/>
        </w:rPr>
        <w:t xml:space="preserve">the necessary level of p factor reduction is </w:t>
      </w:r>
      <w:r w:rsidRPr="00191208">
        <w:rPr>
          <w:b/>
          <w:bCs/>
          <w:color w:val="0070C0"/>
          <w:sz w:val="24"/>
          <w:szCs w:val="24"/>
          <w:lang w:val="nl-BE"/>
        </w:rPr>
        <w:t>ver</w:t>
      </w:r>
      <w:r w:rsidRPr="00191208">
        <w:rPr>
          <w:b/>
          <w:bCs/>
          <w:color w:val="0070C0"/>
          <w:sz w:val="24"/>
          <w:szCs w:val="24"/>
        </w:rPr>
        <w:t xml:space="preserve">y dependent of the output floor impact on the retained </w:t>
      </w:r>
      <w:proofErr w:type="gramStart"/>
      <w:r w:rsidRPr="00191208">
        <w:rPr>
          <w:b/>
          <w:bCs/>
          <w:color w:val="0070C0"/>
          <w:sz w:val="24"/>
          <w:szCs w:val="24"/>
        </w:rPr>
        <w:t>tranche</w:t>
      </w:r>
      <w:r w:rsidRPr="00191208">
        <w:rPr>
          <w:b/>
          <w:bCs/>
          <w:color w:val="0070C0"/>
          <w:sz w:val="24"/>
          <w:szCs w:val="24"/>
          <w:lang w:val="nl-BE"/>
        </w:rPr>
        <w:t>,</w:t>
      </w:r>
      <w:r w:rsidRPr="00191208">
        <w:rPr>
          <w:b/>
          <w:bCs/>
          <w:color w:val="0070C0"/>
          <w:sz w:val="24"/>
          <w:szCs w:val="24"/>
        </w:rPr>
        <w:t xml:space="preserve"> and</w:t>
      </w:r>
      <w:proofErr w:type="gramEnd"/>
      <w:r w:rsidRPr="00191208">
        <w:rPr>
          <w:b/>
          <w:bCs/>
          <w:color w:val="0070C0"/>
          <w:sz w:val="24"/>
          <w:szCs w:val="24"/>
        </w:rPr>
        <w:t xml:space="preserve"> varies according to the specificities of the </w:t>
      </w:r>
      <w:r w:rsidRPr="00191208">
        <w:rPr>
          <w:b/>
          <w:bCs/>
          <w:color w:val="0070C0"/>
          <w:sz w:val="24"/>
          <w:szCs w:val="24"/>
          <w:lang w:val="nl-BE"/>
        </w:rPr>
        <w:t xml:space="preserve">underlying </w:t>
      </w:r>
      <w:r w:rsidRPr="00191208">
        <w:rPr>
          <w:b/>
          <w:bCs/>
          <w:color w:val="0070C0"/>
          <w:sz w:val="24"/>
          <w:szCs w:val="24"/>
        </w:rPr>
        <w:t>portfolios</w:t>
      </w:r>
      <w:r w:rsidRPr="00191208">
        <w:rPr>
          <w:color w:val="0070C0"/>
          <w:sz w:val="24"/>
          <w:szCs w:val="24"/>
        </w:rPr>
        <w:t xml:space="preserve">: it is typically less important if the RW under SA is low and much more penalizing otherwise. </w:t>
      </w:r>
      <w:r w:rsidRPr="00191208">
        <w:rPr>
          <w:color w:val="0070C0"/>
          <w:sz w:val="24"/>
          <w:szCs w:val="24"/>
        </w:rPr>
        <w:br/>
      </w:r>
    </w:p>
    <w:p w14:paraId="4B36403B" w14:textId="77777777" w:rsidR="00A35D8C" w:rsidRPr="00191208" w:rsidRDefault="00A35D8C" w:rsidP="00A35D8C">
      <w:pPr>
        <w:ind w:left="644"/>
        <w:rPr>
          <w:color w:val="0070C0"/>
          <w:lang/>
        </w:rPr>
      </w:pPr>
      <w:r w:rsidRPr="00191208">
        <w:rPr>
          <w:color w:val="0070C0"/>
          <w:lang/>
        </w:rPr>
        <w:t>As you can see in the example below, calculated for a STS transaction on a corporate pool eligible to the SME supporting factor (*), dividing the p factor by two only halves the output floor effect on the senior tranche (from +36 to +18); in other words, the transaction would still release much less capital (28 RWA vs 57 RWA under current framework).</w:t>
      </w:r>
    </w:p>
    <w:p w14:paraId="7B4AF4A4" w14:textId="77777777" w:rsidR="00A35D8C" w:rsidRDefault="00A35D8C" w:rsidP="00A35D8C">
      <w:pPr>
        <w:rPr>
          <w:color w:val="0070C0"/>
          <w:highlight w:val="yellow"/>
        </w:rPr>
      </w:pPr>
    </w:p>
    <w:p w14:paraId="05983649" w14:textId="77777777" w:rsidR="00A35D8C" w:rsidRDefault="00A35D8C" w:rsidP="00A35D8C">
      <w:pPr>
        <w:ind w:left="284"/>
        <w:rPr>
          <w:color w:val="0070C0"/>
          <w:highlight w:val="yellow"/>
          <w:lang/>
        </w:rPr>
      </w:pPr>
    </w:p>
    <w:p w14:paraId="3B6747FD" w14:textId="77777777" w:rsidR="00A35D8C" w:rsidRDefault="00A35D8C" w:rsidP="00A35D8C">
      <w:pPr>
        <w:ind w:left="284"/>
        <w:rPr>
          <w:color w:val="0070C0"/>
          <w:highlight w:val="yellow"/>
          <w:lang/>
        </w:rPr>
      </w:pPr>
    </w:p>
    <w:p w14:paraId="04419AF7" w14:textId="77777777" w:rsidR="00A35D8C" w:rsidRDefault="00A35D8C" w:rsidP="00A35D8C">
      <w:pPr>
        <w:ind w:left="284"/>
        <w:rPr>
          <w:color w:val="0070C0"/>
          <w:highlight w:val="yellow"/>
          <w:lang/>
        </w:rPr>
      </w:pPr>
    </w:p>
    <w:p w14:paraId="63E2B857" w14:textId="77777777" w:rsidR="00A35D8C" w:rsidRDefault="00A35D8C" w:rsidP="00A35D8C">
      <w:pPr>
        <w:ind w:left="284"/>
        <w:rPr>
          <w:color w:val="0070C0"/>
          <w:highlight w:val="yellow"/>
          <w:lang/>
        </w:rPr>
      </w:pPr>
    </w:p>
    <w:p w14:paraId="0BC6CDCE" w14:textId="77777777" w:rsidR="00A35D8C" w:rsidRDefault="00A35D8C" w:rsidP="00A35D8C">
      <w:pPr>
        <w:ind w:left="284"/>
        <w:rPr>
          <w:color w:val="0070C0"/>
          <w:highlight w:val="yellow"/>
          <w:lang/>
        </w:rPr>
      </w:pPr>
    </w:p>
    <w:p w14:paraId="64D21666" w14:textId="77777777" w:rsidR="00A35D8C" w:rsidRDefault="00A35D8C" w:rsidP="00A35D8C">
      <w:pPr>
        <w:ind w:left="284"/>
        <w:rPr>
          <w:color w:val="0070C0"/>
          <w:highlight w:val="yellow"/>
          <w:lang/>
        </w:rPr>
      </w:pPr>
    </w:p>
    <w:p w14:paraId="6AB23A98" w14:textId="77777777" w:rsidR="00A35D8C" w:rsidRDefault="00A35D8C" w:rsidP="00A35D8C">
      <w:pPr>
        <w:ind w:left="284"/>
        <w:rPr>
          <w:color w:val="0070C0"/>
          <w:highlight w:val="yellow"/>
          <w:lang/>
        </w:rPr>
      </w:pPr>
    </w:p>
    <w:p w14:paraId="527EB681" w14:textId="77777777" w:rsidR="00A35D8C" w:rsidRPr="00191208" w:rsidRDefault="00A35D8C" w:rsidP="00A35D8C">
      <w:pPr>
        <w:ind w:left="284"/>
        <w:rPr>
          <w:color w:val="0070C0"/>
          <w:lang/>
        </w:rPr>
      </w:pPr>
      <w:r w:rsidRPr="00191208">
        <w:rPr>
          <w:color w:val="0070C0"/>
          <w:lang/>
        </w:rPr>
        <w:t>With p factor = 0</w:t>
      </w:r>
      <w:r w:rsidRPr="00191208">
        <w:rPr>
          <w:color w:val="0070C0"/>
          <w:lang w:val="nl-BE"/>
        </w:rPr>
        <w:t>,</w:t>
      </w:r>
      <w:r w:rsidRPr="00191208">
        <w:rPr>
          <w:color w:val="0070C0"/>
          <w:lang/>
        </w:rPr>
        <w:t>5 :                                                                                          </w:t>
      </w:r>
    </w:p>
    <w:p w14:paraId="622C522C" w14:textId="77777777" w:rsidR="00A35D8C" w:rsidRPr="00191208" w:rsidRDefault="00A35D8C" w:rsidP="00A35D8C">
      <w:pPr>
        <w:ind w:left="720"/>
        <w:jc w:val="right"/>
        <w:rPr>
          <w:color w:val="0070C0"/>
        </w:rPr>
      </w:pPr>
      <w:r w:rsidRPr="00191208">
        <w:rPr>
          <w:color w:val="0070C0"/>
          <w:lang/>
        </w:rPr>
        <w:t xml:space="preserve">  </w:t>
      </w:r>
      <w:r w:rsidRPr="00191208">
        <w:rPr>
          <w:noProof/>
          <w:color w:val="0070C0"/>
        </w:rPr>
        <w:drawing>
          <wp:inline distT="0" distB="0" distL="0" distR="0" wp14:anchorId="51E96F73" wp14:editId="0365725C">
            <wp:extent cx="4993081" cy="2552700"/>
            <wp:effectExtent l="0" t="0" r="0" b="0"/>
            <wp:docPr id="8" name="Image 8" descr="Chart, bar 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Chart, bar chart, waterfall chart&#10;&#10;Description automatically generate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025994" cy="2569526"/>
                    </a:xfrm>
                    <a:prstGeom prst="rect">
                      <a:avLst/>
                    </a:prstGeom>
                    <a:noFill/>
                    <a:ln>
                      <a:noFill/>
                    </a:ln>
                  </pic:spPr>
                </pic:pic>
              </a:graphicData>
            </a:graphic>
          </wp:inline>
        </w:drawing>
      </w:r>
      <w:r w:rsidRPr="00191208">
        <w:rPr>
          <w:color w:val="0070C0"/>
          <w:lang/>
        </w:rPr>
        <w:t> </w:t>
      </w:r>
    </w:p>
    <w:p w14:paraId="59593D9F" w14:textId="77777777" w:rsidR="00A35D8C" w:rsidRPr="00191208" w:rsidRDefault="00A35D8C" w:rsidP="00A35D8C">
      <w:pPr>
        <w:ind w:left="284"/>
        <w:rPr>
          <w:color w:val="0070C0"/>
          <w:lang w:val="nl-BE"/>
        </w:rPr>
      </w:pPr>
    </w:p>
    <w:p w14:paraId="4F9DDC38" w14:textId="77777777" w:rsidR="00A35D8C" w:rsidRPr="00191208" w:rsidRDefault="00A35D8C" w:rsidP="00A35D8C">
      <w:pPr>
        <w:ind w:left="284"/>
        <w:rPr>
          <w:color w:val="0070C0"/>
          <w:lang w:val="nl-BE"/>
        </w:rPr>
      </w:pPr>
      <w:r w:rsidRPr="00191208">
        <w:rPr>
          <w:color w:val="0070C0"/>
          <w:lang w:val="nl-BE"/>
        </w:rPr>
        <w:t>With p factor = 0,25 :</w:t>
      </w:r>
    </w:p>
    <w:p w14:paraId="761639EA" w14:textId="77777777" w:rsidR="00A35D8C" w:rsidRPr="00870791" w:rsidRDefault="00A35D8C" w:rsidP="00A35D8C">
      <w:pPr>
        <w:ind w:left="720"/>
        <w:jc w:val="right"/>
        <w:rPr>
          <w:color w:val="0070C0"/>
          <w:highlight w:val="yellow"/>
          <w:lang/>
        </w:rPr>
      </w:pPr>
      <w:r w:rsidRPr="00870791">
        <w:rPr>
          <w:noProof/>
          <w:color w:val="0070C0"/>
          <w:highlight w:val="yellow"/>
        </w:rPr>
        <w:lastRenderedPageBreak/>
        <w:drawing>
          <wp:inline distT="0" distB="0" distL="0" distR="0" wp14:anchorId="65E0F642" wp14:editId="02541CB8">
            <wp:extent cx="5019675" cy="2576835"/>
            <wp:effectExtent l="0" t="0" r="0" b="0"/>
            <wp:docPr id="9" name="Image 9" descr="Chart, bar 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Chart, bar chart, waterfall chart&#10;&#10;Description automatically generated"/>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029094" cy="2581670"/>
                    </a:xfrm>
                    <a:prstGeom prst="rect">
                      <a:avLst/>
                    </a:prstGeom>
                    <a:noFill/>
                    <a:ln>
                      <a:noFill/>
                    </a:ln>
                  </pic:spPr>
                </pic:pic>
              </a:graphicData>
            </a:graphic>
          </wp:inline>
        </w:drawing>
      </w:r>
    </w:p>
    <w:p w14:paraId="4DB8C396" w14:textId="77777777" w:rsidR="00A35D8C" w:rsidRPr="00191208" w:rsidRDefault="00A35D8C" w:rsidP="00A35D8C">
      <w:pPr>
        <w:ind w:left="284"/>
        <w:rPr>
          <w:color w:val="0070C0"/>
          <w:lang/>
        </w:rPr>
      </w:pPr>
      <w:r w:rsidRPr="00191208">
        <w:rPr>
          <w:color w:val="0070C0"/>
          <w:lang/>
        </w:rPr>
        <w:t xml:space="preserve">Based on the evidences above, we recommend that </w:t>
      </w:r>
      <w:r w:rsidRPr="00191208">
        <w:rPr>
          <w:b/>
          <w:bCs/>
          <w:color w:val="0070C0"/>
          <w:lang/>
        </w:rPr>
        <w:t>p factors are reduced by at least 50% in SEC-SA for both STS and non-STS transactions</w:t>
      </w:r>
      <w:r w:rsidRPr="00191208">
        <w:rPr>
          <w:color w:val="0070C0"/>
          <w:lang/>
        </w:rPr>
        <w:t>, and offer to participate in further discussions on this subject with the regulatory community, so that the final proposal is most efficient to compensate for the impact of the output floor.</w:t>
      </w:r>
    </w:p>
    <w:p w14:paraId="44343BD1" w14:textId="77777777" w:rsidR="00A35D8C" w:rsidRPr="00191208" w:rsidRDefault="00A35D8C" w:rsidP="00A35D8C">
      <w:pPr>
        <w:ind w:left="284"/>
        <w:rPr>
          <w:color w:val="0070C0"/>
          <w:lang/>
        </w:rPr>
      </w:pPr>
    </w:p>
    <w:p w14:paraId="22E7911A" w14:textId="77777777" w:rsidR="00A35D8C" w:rsidRPr="00191208" w:rsidRDefault="00A35D8C" w:rsidP="00A35D8C">
      <w:pPr>
        <w:ind w:left="284"/>
        <w:rPr>
          <w:color w:val="0070C0"/>
          <w:lang/>
        </w:rPr>
      </w:pPr>
      <w:r w:rsidRPr="00191208">
        <w:rPr>
          <w:color w:val="0070C0"/>
          <w:lang/>
        </w:rPr>
        <w:t>----------------------------------------------------------------------------------------------------------------</w:t>
      </w:r>
    </w:p>
    <w:p w14:paraId="28B6538F" w14:textId="77777777" w:rsidR="00A35D8C" w:rsidRPr="00870791" w:rsidRDefault="00A35D8C" w:rsidP="00A35D8C">
      <w:pPr>
        <w:ind w:left="284"/>
        <w:rPr>
          <w:i/>
          <w:iCs/>
          <w:strike/>
          <w:color w:val="0070C0"/>
          <w:lang/>
        </w:rPr>
      </w:pPr>
      <w:r w:rsidRPr="00191208">
        <w:rPr>
          <w:i/>
          <w:iCs/>
          <w:color w:val="0070C0"/>
          <w:lang/>
        </w:rPr>
        <w:t xml:space="preserve">(*)Example of a corporate pool eligible to the SME supporting factor, attracting 66 RWA under IRBA and 100 RWA under SA (2.5y-maturity, 0.5% PD, 40% LGD) : the output floor impact </w:t>
      </w:r>
      <w:r w:rsidRPr="00191208">
        <w:rPr>
          <w:i/>
          <w:iCs/>
          <w:color w:val="0070C0"/>
          <w:u w:val="single"/>
          <w:lang/>
        </w:rPr>
        <w:t>before</w:t>
      </w:r>
      <w:r w:rsidRPr="00191208">
        <w:rPr>
          <w:i/>
          <w:iCs/>
          <w:color w:val="0070C0"/>
          <w:lang/>
        </w:rPr>
        <w:t xml:space="preserve"> securitisation is +7 on the pool (</w:t>
      </w:r>
      <w:r w:rsidRPr="00191208">
        <w:rPr>
          <w:i/>
          <w:iCs/>
          <w:color w:val="0070C0"/>
        </w:rPr>
        <w:t>i.e.,</w:t>
      </w:r>
      <w:r w:rsidRPr="00191208">
        <w:rPr>
          <w:i/>
          <w:iCs/>
          <w:color w:val="0070C0"/>
          <w:lang/>
        </w:rPr>
        <w:t xml:space="preserve"> the difference between the 73 RWA post SME supporting factor and 66 RWA under IRBA), but the impact on the retained senior tranche </w:t>
      </w:r>
      <w:r w:rsidRPr="00191208">
        <w:rPr>
          <w:i/>
          <w:iCs/>
          <w:color w:val="0070C0"/>
          <w:u w:val="single"/>
          <w:lang/>
        </w:rPr>
        <w:t>after</w:t>
      </w:r>
      <w:r w:rsidRPr="00191208">
        <w:rPr>
          <w:i/>
          <w:iCs/>
          <w:color w:val="0070C0"/>
          <w:lang/>
        </w:rPr>
        <w:t xml:space="preserve"> securitisation is +36 (</w:t>
      </w:r>
      <w:r w:rsidRPr="00191208">
        <w:rPr>
          <w:i/>
          <w:iCs/>
          <w:color w:val="0070C0"/>
        </w:rPr>
        <w:t>i.e.,</w:t>
      </w:r>
      <w:r w:rsidRPr="00191208">
        <w:rPr>
          <w:i/>
          <w:iCs/>
          <w:color w:val="0070C0"/>
          <w:lang/>
        </w:rPr>
        <w:t xml:space="preserve"> 45 under SEC-SA minus 9 under SEC-IRBA) in the case of an STS transaction. The STS transaction would have released </w:t>
      </w:r>
      <w:r w:rsidRPr="00191208">
        <w:rPr>
          <w:b/>
          <w:bCs/>
          <w:i/>
          <w:iCs/>
          <w:color w:val="0070C0"/>
          <w:lang/>
        </w:rPr>
        <w:t xml:space="preserve">57 RWA </w:t>
      </w:r>
      <w:r w:rsidRPr="00191208">
        <w:rPr>
          <w:i/>
          <w:iCs/>
          <w:color w:val="0070C0"/>
          <w:lang/>
        </w:rPr>
        <w:t xml:space="preserve">(66 RWA on the underlying portfolio under IRBA minus 9 RWA on the retained senior tranche risk-weighted under SEC-IRBA), but will only release </w:t>
      </w:r>
      <w:r w:rsidRPr="00191208">
        <w:rPr>
          <w:b/>
          <w:bCs/>
          <w:i/>
          <w:iCs/>
          <w:color w:val="0070C0"/>
          <w:lang/>
        </w:rPr>
        <w:t>28 RWA</w:t>
      </w:r>
      <w:r w:rsidRPr="00191208">
        <w:rPr>
          <w:i/>
          <w:iCs/>
          <w:color w:val="0070C0"/>
          <w:lang/>
        </w:rPr>
        <w:t xml:space="preserve"> with the output floor (73 RWA on the underlying portfolio under SA minus 45 RWA on the retained senior tranche under SEC-SA).</w:t>
      </w:r>
      <w:r w:rsidRPr="00870791">
        <w:rPr>
          <w:i/>
          <w:iCs/>
          <w:color w:val="0070C0"/>
          <w:lang/>
        </w:rPr>
        <w:t xml:space="preserve"> </w:t>
      </w:r>
    </w:p>
    <w:p w14:paraId="75B068DE" w14:textId="77777777" w:rsidR="00A35D8C" w:rsidRPr="00870791" w:rsidRDefault="00A35D8C" w:rsidP="00A35D8C">
      <w:pPr>
        <w:ind w:left="349"/>
        <w:rPr>
          <w:color w:val="0070C0"/>
          <w:lang/>
        </w:rPr>
      </w:pPr>
    </w:p>
    <w:p w14:paraId="0BB3F746" w14:textId="77777777" w:rsidR="00A35D8C" w:rsidRPr="004611B2" w:rsidRDefault="00A35D8C" w:rsidP="00A35D8C">
      <w:pPr>
        <w:ind w:left="284" w:right="319"/>
        <w:jc w:val="both"/>
        <w:rPr>
          <w:b/>
          <w:bCs/>
          <w:color w:val="0070C0"/>
        </w:rPr>
      </w:pPr>
    </w:p>
    <w:p w14:paraId="1221FE31" w14:textId="77777777" w:rsidR="00A35D8C" w:rsidRDefault="00A35D8C" w:rsidP="00A35D8C">
      <w:pPr>
        <w:ind w:left="309" w:right="316"/>
        <w:jc w:val="both"/>
        <w:rPr>
          <w:b/>
          <w:bCs/>
          <w:u w:val="single"/>
        </w:rPr>
      </w:pPr>
    </w:p>
    <w:p w14:paraId="3D215566" w14:textId="77777777" w:rsidR="00A35D8C" w:rsidRDefault="00A35D8C" w:rsidP="00A35D8C">
      <w:pPr>
        <w:ind w:left="309" w:right="316"/>
        <w:jc w:val="both"/>
        <w:rPr>
          <w:b/>
          <w:bCs/>
          <w:u w:val="single"/>
        </w:rPr>
      </w:pPr>
    </w:p>
    <w:p w14:paraId="42D5FB5A" w14:textId="77777777" w:rsidR="00A35D8C" w:rsidRPr="004611B2" w:rsidRDefault="00A35D8C" w:rsidP="00A35D8C">
      <w:pPr>
        <w:ind w:left="309" w:right="316"/>
        <w:jc w:val="both"/>
      </w:pPr>
      <w:r w:rsidRPr="004611B2">
        <w:rPr>
          <w:b/>
          <w:bCs/>
          <w:u w:val="single"/>
        </w:rPr>
        <w:t>Question 9.2</w:t>
      </w:r>
      <w:r w:rsidRPr="004611B2">
        <w:rPr>
          <w:spacing w:val="1"/>
        </w:rPr>
        <w:t xml:space="preserve"> </w:t>
      </w:r>
      <w:r w:rsidRPr="004611B2">
        <w:t>Are current capital floor levels for the most senior tranches of STS and</w:t>
      </w:r>
      <w:r w:rsidRPr="004611B2">
        <w:rPr>
          <w:spacing w:val="1"/>
        </w:rPr>
        <w:t xml:space="preserve"> </w:t>
      </w:r>
      <w:r w:rsidRPr="004611B2">
        <w:t>non-STS</w:t>
      </w:r>
      <w:r w:rsidRPr="004611B2">
        <w:rPr>
          <w:spacing w:val="1"/>
        </w:rPr>
        <w:t xml:space="preserve"> </w:t>
      </w:r>
      <w:proofErr w:type="spellStart"/>
      <w:r w:rsidRPr="004611B2">
        <w:t>securitisations</w:t>
      </w:r>
      <w:proofErr w:type="spellEnd"/>
      <w:r w:rsidRPr="004611B2">
        <w:rPr>
          <w:spacing w:val="1"/>
        </w:rPr>
        <w:t xml:space="preserve"> </w:t>
      </w:r>
      <w:r w:rsidRPr="004611B2">
        <w:t>proportionate</w:t>
      </w:r>
      <w:r w:rsidRPr="004611B2">
        <w:rPr>
          <w:spacing w:val="1"/>
        </w:rPr>
        <w:t xml:space="preserve"> </w:t>
      </w:r>
      <w:r w:rsidRPr="004611B2">
        <w:t>and</w:t>
      </w:r>
      <w:r w:rsidRPr="004611B2">
        <w:rPr>
          <w:spacing w:val="1"/>
        </w:rPr>
        <w:t xml:space="preserve"> </w:t>
      </w:r>
      <w:r w:rsidRPr="004611B2">
        <w:t>adequate,</w:t>
      </w:r>
      <w:r w:rsidRPr="004611B2">
        <w:rPr>
          <w:spacing w:val="1"/>
        </w:rPr>
        <w:t xml:space="preserve"> </w:t>
      </w:r>
      <w:proofErr w:type="gramStart"/>
      <w:r w:rsidRPr="004611B2">
        <w:t>taking</w:t>
      </w:r>
      <w:r w:rsidRPr="004611B2">
        <w:rPr>
          <w:spacing w:val="1"/>
        </w:rPr>
        <w:t xml:space="preserve"> </w:t>
      </w:r>
      <w:r w:rsidRPr="004611B2">
        <w:t>into</w:t>
      </w:r>
      <w:r w:rsidRPr="004611B2">
        <w:rPr>
          <w:spacing w:val="1"/>
        </w:rPr>
        <w:t xml:space="preserve"> </w:t>
      </w:r>
      <w:r w:rsidRPr="004611B2">
        <w:t>account</w:t>
      </w:r>
      <w:proofErr w:type="gramEnd"/>
      <w:r w:rsidRPr="004611B2">
        <w:rPr>
          <w:spacing w:val="1"/>
        </w:rPr>
        <w:t xml:space="preserve"> </w:t>
      </w:r>
      <w:r w:rsidRPr="004611B2">
        <w:t>the</w:t>
      </w:r>
      <w:r w:rsidRPr="004611B2">
        <w:rPr>
          <w:spacing w:val="1"/>
        </w:rPr>
        <w:t xml:space="preserve"> </w:t>
      </w:r>
      <w:r w:rsidRPr="004611B2">
        <w:t>capital</w:t>
      </w:r>
      <w:r w:rsidRPr="004611B2">
        <w:rPr>
          <w:spacing w:val="1"/>
        </w:rPr>
        <w:t xml:space="preserve"> </w:t>
      </w:r>
      <w:r w:rsidRPr="004611B2">
        <w:t>requirements</w:t>
      </w:r>
      <w:r w:rsidRPr="004611B2">
        <w:rPr>
          <w:spacing w:val="-1"/>
        </w:rPr>
        <w:t xml:space="preserve"> </w:t>
      </w:r>
      <w:r w:rsidRPr="004611B2">
        <w:t>of</w:t>
      </w:r>
      <w:r w:rsidRPr="004611B2">
        <w:rPr>
          <w:spacing w:val="1"/>
        </w:rPr>
        <w:t xml:space="preserve"> </w:t>
      </w:r>
      <w:r w:rsidRPr="004611B2">
        <w:t>comparable capital instruments?</w:t>
      </w:r>
    </w:p>
    <w:p w14:paraId="2618889C" w14:textId="77777777" w:rsidR="00A35D8C" w:rsidRPr="004611B2" w:rsidRDefault="00A35D8C" w:rsidP="00A35D8C">
      <w:pPr>
        <w:spacing w:before="10"/>
      </w:pPr>
    </w:p>
    <w:p w14:paraId="163D8524" w14:textId="77777777" w:rsidR="00A35D8C" w:rsidRPr="004611B2" w:rsidRDefault="00A35D8C" w:rsidP="00A35D8C">
      <w:pPr>
        <w:ind w:left="592" w:right="8264"/>
        <w:rPr>
          <w:b/>
          <w:bCs/>
          <w:color w:val="0070C0"/>
        </w:rPr>
      </w:pPr>
      <w:r w:rsidRPr="004611B2">
        <w:t>Yes</w:t>
      </w:r>
      <w:r w:rsidRPr="004611B2">
        <w:rPr>
          <w:spacing w:val="-57"/>
        </w:rPr>
        <w:t xml:space="preserve"> </w:t>
      </w:r>
      <w:r w:rsidRPr="004611B2">
        <w:rPr>
          <w:b/>
          <w:bCs/>
          <w:color w:val="0070C0"/>
        </w:rPr>
        <w:t>No</w:t>
      </w:r>
    </w:p>
    <w:p w14:paraId="51297FF5" w14:textId="77777777" w:rsidR="00A35D8C" w:rsidRPr="004611B2" w:rsidRDefault="00A35D8C" w:rsidP="00A35D8C">
      <w:pPr>
        <w:ind w:left="592"/>
      </w:pPr>
      <w:r w:rsidRPr="004611B2">
        <w:t>No</w:t>
      </w:r>
      <w:r w:rsidRPr="004611B2">
        <w:rPr>
          <w:spacing w:val="-2"/>
        </w:rPr>
        <w:t xml:space="preserve"> </w:t>
      </w:r>
      <w:r w:rsidRPr="004611B2">
        <w:t>opinion</w:t>
      </w:r>
    </w:p>
    <w:p w14:paraId="401EB797" w14:textId="77777777" w:rsidR="00A35D8C" w:rsidRPr="004611B2" w:rsidRDefault="00A35D8C" w:rsidP="00A35D8C"/>
    <w:p w14:paraId="7575F0AC" w14:textId="77777777" w:rsidR="00A35D8C" w:rsidRPr="004611B2" w:rsidRDefault="00A35D8C" w:rsidP="00A35D8C">
      <w:pPr>
        <w:ind w:left="309"/>
        <w:jc w:val="both"/>
      </w:pPr>
      <w:r w:rsidRPr="004611B2">
        <w:t>Please</w:t>
      </w:r>
      <w:r w:rsidRPr="004611B2">
        <w:rPr>
          <w:spacing w:val="-3"/>
        </w:rPr>
        <w:t xml:space="preserve"> </w:t>
      </w:r>
      <w:r w:rsidRPr="004611B2">
        <w:t>explain your</w:t>
      </w:r>
      <w:r w:rsidRPr="004611B2">
        <w:rPr>
          <w:spacing w:val="-1"/>
        </w:rPr>
        <w:t xml:space="preserve"> </w:t>
      </w:r>
      <w:r w:rsidRPr="004611B2">
        <w:t>answer.</w:t>
      </w:r>
    </w:p>
    <w:p w14:paraId="489EE800" w14:textId="77777777" w:rsidR="00A35D8C" w:rsidRPr="004611B2" w:rsidRDefault="00A35D8C" w:rsidP="00A35D8C">
      <w:pPr>
        <w:jc w:val="both"/>
      </w:pPr>
    </w:p>
    <w:p w14:paraId="13372909" w14:textId="77777777" w:rsidR="00A35D8C" w:rsidRPr="00462076" w:rsidRDefault="00A35D8C" w:rsidP="00A35D8C">
      <w:pPr>
        <w:ind w:left="309"/>
        <w:rPr>
          <w:color w:val="0070C0"/>
        </w:rPr>
      </w:pPr>
      <w:r w:rsidRPr="006F4D54">
        <w:rPr>
          <w:i/>
          <w:iCs/>
          <w:color w:val="0070C0"/>
          <w:u w:val="single"/>
        </w:rPr>
        <w:lastRenderedPageBreak/>
        <w:t xml:space="preserve">For synthetic on balance-sheet </w:t>
      </w:r>
      <w:proofErr w:type="spellStart"/>
      <w:r w:rsidRPr="006F4D54">
        <w:rPr>
          <w:i/>
          <w:iCs/>
          <w:color w:val="0070C0"/>
          <w:u w:val="single"/>
        </w:rPr>
        <w:t>securitisations</w:t>
      </w:r>
      <w:proofErr w:type="spellEnd"/>
      <w:r w:rsidRPr="006F4D54">
        <w:rPr>
          <w:i/>
          <w:iCs/>
          <w:color w:val="0070C0"/>
          <w:u w:val="single"/>
        </w:rPr>
        <w:t>:</w:t>
      </w:r>
      <w:r w:rsidRPr="006F4D54">
        <w:rPr>
          <w:i/>
          <w:iCs/>
          <w:color w:val="0070C0"/>
          <w:u w:val="single"/>
        </w:rPr>
        <w:br/>
      </w:r>
      <w:r w:rsidRPr="00462076">
        <w:rPr>
          <w:color w:val="0070C0"/>
        </w:rPr>
        <w:t xml:space="preserve">RW floors are now significantly higher than under the previous </w:t>
      </w:r>
      <w:proofErr w:type="spellStart"/>
      <w:r w:rsidRPr="00462076">
        <w:rPr>
          <w:color w:val="0070C0"/>
        </w:rPr>
        <w:t>securitisation</w:t>
      </w:r>
      <w:proofErr w:type="spellEnd"/>
      <w:r w:rsidRPr="00462076">
        <w:rPr>
          <w:color w:val="0070C0"/>
        </w:rPr>
        <w:t xml:space="preserve"> regulatory regime (</w:t>
      </w:r>
      <w:proofErr w:type="gramStart"/>
      <w:r w:rsidRPr="00462076">
        <w:rPr>
          <w:color w:val="0070C0"/>
        </w:rPr>
        <w:t>e.g.</w:t>
      </w:r>
      <w:proofErr w:type="gramEnd"/>
      <w:r w:rsidRPr="00462076">
        <w:rPr>
          <w:color w:val="0070C0"/>
        </w:rPr>
        <w:t xml:space="preserve"> RW of senior non-STS tranche increased from 7% to 15%). </w:t>
      </w:r>
    </w:p>
    <w:p w14:paraId="462DFA5D" w14:textId="77777777" w:rsidR="00A35D8C" w:rsidRPr="00462076" w:rsidRDefault="00A35D8C" w:rsidP="00A35D8C">
      <w:pPr>
        <w:pStyle w:val="ListParagraph"/>
        <w:numPr>
          <w:ilvl w:val="1"/>
          <w:numId w:val="10"/>
        </w:numPr>
        <w:rPr>
          <w:color w:val="0070C0"/>
          <w:sz w:val="24"/>
          <w:szCs w:val="24"/>
          <w:lang w:val="en-US"/>
        </w:rPr>
      </w:pPr>
      <w:r w:rsidRPr="00462076">
        <w:rPr>
          <w:color w:val="0070C0"/>
          <w:sz w:val="24"/>
          <w:szCs w:val="24"/>
          <w:lang w:val="en-US"/>
        </w:rPr>
        <w:t xml:space="preserve">For the reasons explained in point 1 hereabove, we challenge the regulatory position that retaining a senior position on own originated portfolios requires the same capital than acquiring a senior position in a </w:t>
      </w:r>
      <w:proofErr w:type="spellStart"/>
      <w:r w:rsidRPr="00462076">
        <w:rPr>
          <w:color w:val="0070C0"/>
          <w:sz w:val="24"/>
          <w:szCs w:val="24"/>
          <w:lang w:val="en-US"/>
        </w:rPr>
        <w:t>securitisation</w:t>
      </w:r>
      <w:proofErr w:type="spellEnd"/>
      <w:r w:rsidRPr="00462076">
        <w:rPr>
          <w:color w:val="0070C0"/>
          <w:sz w:val="24"/>
          <w:szCs w:val="24"/>
          <w:lang w:val="en-US"/>
        </w:rPr>
        <w:t xml:space="preserve"> issued by a third party. We believe that retained senior tranches should benefit from further changes to the preferential STS risk weighted formula.</w:t>
      </w:r>
    </w:p>
    <w:p w14:paraId="6CEA8F2F" w14:textId="77777777" w:rsidR="00A35D8C" w:rsidRPr="00462076" w:rsidRDefault="00A35D8C" w:rsidP="00A35D8C">
      <w:pPr>
        <w:pStyle w:val="ListParagraph"/>
        <w:numPr>
          <w:ilvl w:val="1"/>
          <w:numId w:val="10"/>
        </w:numPr>
        <w:rPr>
          <w:color w:val="0070C0"/>
          <w:sz w:val="24"/>
          <w:szCs w:val="24"/>
          <w:lang w:val="en-US"/>
        </w:rPr>
      </w:pPr>
      <w:r w:rsidRPr="00462076">
        <w:rPr>
          <w:color w:val="0070C0"/>
          <w:sz w:val="24"/>
          <w:szCs w:val="24"/>
          <w:lang w:val="en-US"/>
        </w:rPr>
        <w:t xml:space="preserve">Also, given the excellent performance of EU ABS during and after the GFC </w:t>
      </w:r>
      <w:proofErr w:type="gramStart"/>
      <w:r w:rsidRPr="00462076">
        <w:rPr>
          <w:color w:val="0070C0"/>
          <w:sz w:val="24"/>
          <w:szCs w:val="24"/>
          <w:lang w:val="en-US"/>
        </w:rPr>
        <w:t>and also</w:t>
      </w:r>
      <w:proofErr w:type="gramEnd"/>
      <w:r w:rsidRPr="00462076">
        <w:rPr>
          <w:color w:val="0070C0"/>
          <w:sz w:val="24"/>
          <w:szCs w:val="24"/>
          <w:lang w:val="en-US"/>
        </w:rPr>
        <w:t xml:space="preserve"> during the Covid-19 pandemic, it is unclear what evidence there is for these higher RW floors.</w:t>
      </w:r>
    </w:p>
    <w:p w14:paraId="7D83F043" w14:textId="77777777" w:rsidR="00A35D8C" w:rsidRPr="00462076" w:rsidRDefault="00A35D8C" w:rsidP="00A35D8C">
      <w:pPr>
        <w:ind w:left="349"/>
        <w:contextualSpacing/>
        <w:rPr>
          <w:color w:val="0070C0"/>
        </w:rPr>
      </w:pPr>
    </w:p>
    <w:p w14:paraId="49A533A6" w14:textId="77777777" w:rsidR="00A35D8C" w:rsidRPr="00462076" w:rsidRDefault="00A35D8C" w:rsidP="00A35D8C">
      <w:pPr>
        <w:ind w:left="349"/>
        <w:contextualSpacing/>
        <w:rPr>
          <w:color w:val="0070C0"/>
        </w:rPr>
      </w:pPr>
      <w:r w:rsidRPr="00462076">
        <w:rPr>
          <w:color w:val="0070C0"/>
        </w:rPr>
        <w:t xml:space="preserve">To address this issue, we recommend introducing, for originating banks, a </w:t>
      </w:r>
      <w:r w:rsidRPr="00462076">
        <w:rPr>
          <w:b/>
          <w:bCs/>
          <w:color w:val="0070C0"/>
        </w:rPr>
        <w:t>7% RW floor for non-STS senior tranches</w:t>
      </w:r>
      <w:r w:rsidRPr="00462076">
        <w:rPr>
          <w:color w:val="0070C0"/>
        </w:rPr>
        <w:t xml:space="preserve"> treated with SEC-IRBA/SEC-SA/SEC-ERBA and (IAA) as it was in the previous framework (so called SFA formula). </w:t>
      </w:r>
    </w:p>
    <w:p w14:paraId="61BB4424" w14:textId="77777777" w:rsidR="00A35D8C" w:rsidRPr="00462076" w:rsidRDefault="00A35D8C" w:rsidP="00A35D8C">
      <w:pPr>
        <w:ind w:left="349"/>
        <w:rPr>
          <w:color w:val="0070C0"/>
        </w:rPr>
      </w:pPr>
      <w:r w:rsidRPr="00462076">
        <w:rPr>
          <w:color w:val="0070C0"/>
        </w:rPr>
        <w:t xml:space="preserve">This proposal is also aligned with CMU HLF </w:t>
      </w:r>
      <w:proofErr w:type="gramStart"/>
      <w:r w:rsidRPr="00462076">
        <w:rPr>
          <w:color w:val="0070C0"/>
        </w:rPr>
        <w:t>recommendations, and</w:t>
      </w:r>
      <w:proofErr w:type="gramEnd"/>
      <w:r w:rsidRPr="00462076">
        <w:rPr>
          <w:color w:val="0070C0"/>
        </w:rPr>
        <w:t xml:space="preserve"> would ensure a </w:t>
      </w:r>
      <w:r w:rsidRPr="00462076">
        <w:rPr>
          <w:b/>
          <w:bCs/>
          <w:color w:val="0070C0"/>
        </w:rPr>
        <w:t>level playing field between EU and US banks</w:t>
      </w:r>
      <w:r w:rsidRPr="00462076">
        <w:rPr>
          <w:color w:val="0070C0"/>
        </w:rPr>
        <w:t>, whereby the latter still benefit from the Supervisory Formula Approach (SFA) under the IRB approach, which was present in the previous version of the framework in the EU, under the IRBA approach compared to the more conservative SEC-IRBA methodology now being used in the EU.</w:t>
      </w:r>
    </w:p>
    <w:p w14:paraId="6831F4F0" w14:textId="77777777" w:rsidR="00A35D8C" w:rsidRPr="004611B2" w:rsidRDefault="00A35D8C" w:rsidP="00A35D8C">
      <w:pPr>
        <w:ind w:left="309"/>
        <w:rPr>
          <w:i/>
          <w:iCs/>
          <w:color w:val="0070C0"/>
        </w:rPr>
      </w:pPr>
    </w:p>
    <w:p w14:paraId="5F8E8F8D" w14:textId="77777777" w:rsidR="00A35D8C" w:rsidRPr="004611B2" w:rsidRDefault="00A35D8C" w:rsidP="00A35D8C">
      <w:pPr>
        <w:spacing w:before="72"/>
        <w:ind w:left="309" w:right="318"/>
        <w:jc w:val="both"/>
      </w:pPr>
      <w:r w:rsidRPr="004611B2">
        <w:rPr>
          <w:b/>
          <w:bCs/>
          <w:u w:val="single"/>
        </w:rPr>
        <w:t>Question 9.3</w:t>
      </w:r>
      <w:r w:rsidRPr="004611B2">
        <w:t xml:space="preserve">    Are there any alternative methods to the (p) factors and the capital floors</w:t>
      </w:r>
      <w:r w:rsidRPr="004611B2">
        <w:rPr>
          <w:spacing w:val="1"/>
        </w:rPr>
        <w:t xml:space="preserve"> </w:t>
      </w:r>
      <w:r w:rsidRPr="004611B2">
        <w:t xml:space="preserve">to capture agency and modelling risk of </w:t>
      </w:r>
      <w:proofErr w:type="spellStart"/>
      <w:r w:rsidRPr="004611B2">
        <w:t>securitisations</w:t>
      </w:r>
      <w:proofErr w:type="spellEnd"/>
      <w:r w:rsidRPr="004611B2">
        <w:t xml:space="preserve"> that could be regarded as more</w:t>
      </w:r>
      <w:r w:rsidRPr="004611B2">
        <w:rPr>
          <w:spacing w:val="1"/>
        </w:rPr>
        <w:t xml:space="preserve"> </w:t>
      </w:r>
      <w:r w:rsidRPr="004611B2">
        <w:t>proportionate?</w:t>
      </w:r>
    </w:p>
    <w:p w14:paraId="7B25F16E" w14:textId="77777777" w:rsidR="00A35D8C" w:rsidRPr="004611B2" w:rsidRDefault="00A35D8C" w:rsidP="00A35D8C">
      <w:pPr>
        <w:spacing w:before="10"/>
      </w:pPr>
    </w:p>
    <w:p w14:paraId="79AC07A9" w14:textId="77777777" w:rsidR="00A35D8C" w:rsidRPr="004611B2" w:rsidRDefault="00A35D8C" w:rsidP="00A35D8C">
      <w:pPr>
        <w:ind w:left="309"/>
        <w:jc w:val="both"/>
      </w:pPr>
      <w:r w:rsidRPr="004611B2">
        <w:t>Please</w:t>
      </w:r>
      <w:r w:rsidRPr="004611B2">
        <w:rPr>
          <w:spacing w:val="-4"/>
        </w:rPr>
        <w:t xml:space="preserve"> </w:t>
      </w:r>
      <w:r w:rsidRPr="004611B2">
        <w:t>provide</w:t>
      </w:r>
      <w:r w:rsidRPr="004611B2">
        <w:rPr>
          <w:spacing w:val="-2"/>
        </w:rPr>
        <w:t xml:space="preserve"> </w:t>
      </w:r>
      <w:r w:rsidRPr="004611B2">
        <w:t>evidence</w:t>
      </w:r>
      <w:r w:rsidRPr="004611B2">
        <w:rPr>
          <w:spacing w:val="-4"/>
        </w:rPr>
        <w:t xml:space="preserve"> </w:t>
      </w:r>
      <w:r w:rsidRPr="004611B2">
        <w:t>to</w:t>
      </w:r>
      <w:r w:rsidRPr="004611B2">
        <w:rPr>
          <w:spacing w:val="-2"/>
        </w:rPr>
        <w:t xml:space="preserve"> </w:t>
      </w:r>
      <w:r w:rsidRPr="004611B2">
        <w:t>support your</w:t>
      </w:r>
      <w:r w:rsidRPr="004611B2">
        <w:rPr>
          <w:spacing w:val="-2"/>
        </w:rPr>
        <w:t xml:space="preserve"> </w:t>
      </w:r>
      <w:r w:rsidRPr="004611B2">
        <w:t>responses</w:t>
      </w:r>
      <w:r w:rsidRPr="004611B2">
        <w:rPr>
          <w:spacing w:val="-1"/>
        </w:rPr>
        <w:t xml:space="preserve"> </w:t>
      </w:r>
      <w:r w:rsidRPr="004611B2">
        <w:t>to</w:t>
      </w:r>
      <w:r w:rsidRPr="004611B2">
        <w:rPr>
          <w:spacing w:val="-3"/>
        </w:rPr>
        <w:t xml:space="preserve"> </w:t>
      </w:r>
      <w:r w:rsidRPr="004611B2">
        <w:t>the</w:t>
      </w:r>
      <w:r w:rsidRPr="004611B2">
        <w:rPr>
          <w:spacing w:val="-3"/>
        </w:rPr>
        <w:t xml:space="preserve"> </w:t>
      </w:r>
      <w:r w:rsidRPr="004611B2">
        <w:t>above</w:t>
      </w:r>
      <w:r w:rsidRPr="004611B2">
        <w:rPr>
          <w:spacing w:val="-3"/>
        </w:rPr>
        <w:t xml:space="preserve"> </w:t>
      </w:r>
      <w:r w:rsidRPr="004611B2">
        <w:t>questions.</w:t>
      </w:r>
    </w:p>
    <w:p w14:paraId="57AEE497" w14:textId="77777777" w:rsidR="00A35D8C" w:rsidRPr="004611B2" w:rsidRDefault="00A35D8C" w:rsidP="00A35D8C">
      <w:pPr>
        <w:ind w:left="309"/>
        <w:jc w:val="both"/>
      </w:pPr>
    </w:p>
    <w:p w14:paraId="6B845AFB" w14:textId="77777777" w:rsidR="00A35D8C" w:rsidRPr="004611B2" w:rsidRDefault="00A35D8C" w:rsidP="00A35D8C">
      <w:pPr>
        <w:pStyle w:val="BodyText"/>
        <w:ind w:left="284" w:right="317"/>
        <w:rPr>
          <w:color w:val="0070C0"/>
        </w:rPr>
      </w:pPr>
      <w:r w:rsidRPr="006F4D54">
        <w:rPr>
          <w:i/>
          <w:iCs/>
          <w:color w:val="0070C0"/>
          <w:u w:val="single"/>
        </w:rPr>
        <w:t>For synthetic on balance-sheet securitisations:</w:t>
      </w:r>
      <w:r w:rsidRPr="006F4D54">
        <w:rPr>
          <w:i/>
          <w:iCs/>
          <w:color w:val="0070C0"/>
          <w:u w:val="single"/>
        </w:rPr>
        <w:br/>
      </w:r>
      <w:r w:rsidRPr="004611B2">
        <w:rPr>
          <w:color w:val="0070C0"/>
        </w:rPr>
        <w:t xml:space="preserve">Different alternatives have already been discussed with regulators in the past. </w:t>
      </w:r>
    </w:p>
    <w:p w14:paraId="4FA33F20" w14:textId="77777777" w:rsidR="00A35D8C" w:rsidRPr="0007783A" w:rsidRDefault="00A35D8C" w:rsidP="00A35D8C">
      <w:pPr>
        <w:pStyle w:val="BodyText"/>
        <w:ind w:left="284" w:right="317"/>
        <w:jc w:val="both"/>
        <w:rPr>
          <w:color w:val="0070C0"/>
        </w:rPr>
      </w:pPr>
      <w:r w:rsidRPr="004611B2">
        <w:rPr>
          <w:color w:val="0070C0"/>
        </w:rPr>
        <w:t>In the interest of time, we recommend using the current framework while reducing the p factors and RW floors as proposed hereabove.</w:t>
      </w:r>
    </w:p>
    <w:p w14:paraId="44B996DA" w14:textId="77777777" w:rsidR="00A35D8C" w:rsidRDefault="00A35D8C" w:rsidP="00A35D8C">
      <w:pPr>
        <w:spacing w:before="3"/>
        <w:ind w:left="141"/>
      </w:pPr>
    </w:p>
    <w:p w14:paraId="1EDCF613" w14:textId="77777777" w:rsidR="00A35D8C" w:rsidRPr="004611B2" w:rsidRDefault="00A35D8C" w:rsidP="00A35D8C">
      <w:pPr>
        <w:spacing w:before="3"/>
        <w:ind w:left="141"/>
      </w:pPr>
    </w:p>
    <w:p w14:paraId="2181034A" w14:textId="43A3A7A9" w:rsidR="00A35D8C" w:rsidRDefault="00A35D8C" w:rsidP="00A35D8C">
      <w:pPr>
        <w:rPr>
          <w:rFonts w:ascii="Times New Roman" w:hAnsi="Times New Roman" w:cs="Times New Roman"/>
          <w:b/>
          <w:bCs/>
          <w:sz w:val="28"/>
          <w:szCs w:val="28"/>
        </w:rPr>
      </w:pPr>
    </w:p>
    <w:p w14:paraId="7863E81D" w14:textId="2BCCAC0E" w:rsidR="00A35D8C" w:rsidRDefault="00A35D8C" w:rsidP="00A35D8C">
      <w:pPr>
        <w:rPr>
          <w:rFonts w:ascii="Times New Roman" w:hAnsi="Times New Roman" w:cs="Times New Roman"/>
          <w:b/>
          <w:bCs/>
          <w:sz w:val="28"/>
          <w:szCs w:val="28"/>
        </w:rPr>
      </w:pPr>
    </w:p>
    <w:p w14:paraId="65F150F4" w14:textId="75BB7F7F" w:rsidR="00A35D8C" w:rsidRDefault="00A35D8C" w:rsidP="00A35D8C">
      <w:pPr>
        <w:rPr>
          <w:rFonts w:ascii="Times New Roman" w:hAnsi="Times New Roman" w:cs="Times New Roman"/>
          <w:b/>
          <w:bCs/>
          <w:sz w:val="28"/>
          <w:szCs w:val="28"/>
        </w:rPr>
      </w:pPr>
    </w:p>
    <w:p w14:paraId="351729B1" w14:textId="54A73D32" w:rsidR="00A35D8C" w:rsidRDefault="00A35D8C" w:rsidP="00A35D8C">
      <w:pPr>
        <w:rPr>
          <w:rFonts w:ascii="Times New Roman" w:hAnsi="Times New Roman" w:cs="Times New Roman"/>
          <w:b/>
          <w:bCs/>
          <w:sz w:val="28"/>
          <w:szCs w:val="28"/>
        </w:rPr>
      </w:pPr>
    </w:p>
    <w:p w14:paraId="2EE39576" w14:textId="6BE991BA" w:rsidR="00A35D8C" w:rsidRDefault="00A35D8C" w:rsidP="00A35D8C">
      <w:pPr>
        <w:rPr>
          <w:rFonts w:ascii="Times New Roman" w:hAnsi="Times New Roman" w:cs="Times New Roman"/>
          <w:b/>
          <w:bCs/>
          <w:sz w:val="28"/>
          <w:szCs w:val="28"/>
        </w:rPr>
      </w:pPr>
    </w:p>
    <w:p w14:paraId="7A887FCF" w14:textId="619C101F" w:rsidR="00A35D8C" w:rsidRDefault="00A35D8C" w:rsidP="00A35D8C">
      <w:pPr>
        <w:rPr>
          <w:rFonts w:ascii="Times New Roman" w:hAnsi="Times New Roman" w:cs="Times New Roman"/>
          <w:b/>
          <w:bCs/>
          <w:sz w:val="28"/>
          <w:szCs w:val="28"/>
        </w:rPr>
      </w:pPr>
    </w:p>
    <w:p w14:paraId="3B237311" w14:textId="5A022C0A" w:rsidR="00A35D8C" w:rsidRDefault="00A35D8C" w:rsidP="00A35D8C">
      <w:pPr>
        <w:rPr>
          <w:rFonts w:ascii="Times New Roman" w:hAnsi="Times New Roman" w:cs="Times New Roman"/>
          <w:b/>
          <w:bCs/>
          <w:sz w:val="28"/>
          <w:szCs w:val="28"/>
        </w:rPr>
      </w:pPr>
    </w:p>
    <w:p w14:paraId="206065CF" w14:textId="2D2E7870" w:rsidR="00A35D8C" w:rsidRDefault="00A35D8C" w:rsidP="00A35D8C">
      <w:pPr>
        <w:rPr>
          <w:rFonts w:ascii="Times New Roman" w:hAnsi="Times New Roman" w:cs="Times New Roman"/>
          <w:b/>
          <w:bCs/>
          <w:sz w:val="28"/>
          <w:szCs w:val="28"/>
        </w:rPr>
      </w:pPr>
    </w:p>
    <w:p w14:paraId="6ACF2A0A" w14:textId="288CBB2B" w:rsidR="00A35D8C" w:rsidRDefault="00A35D8C" w:rsidP="00A35D8C">
      <w:pPr>
        <w:rPr>
          <w:rFonts w:ascii="Times New Roman" w:hAnsi="Times New Roman" w:cs="Times New Roman"/>
          <w:b/>
          <w:bCs/>
          <w:sz w:val="28"/>
          <w:szCs w:val="28"/>
        </w:rPr>
      </w:pPr>
    </w:p>
    <w:p w14:paraId="39F52C13" w14:textId="0DA8AB5F" w:rsidR="00A35D8C" w:rsidRDefault="00A35D8C" w:rsidP="00A35D8C">
      <w:pPr>
        <w:rPr>
          <w:rFonts w:ascii="Times New Roman" w:hAnsi="Times New Roman" w:cs="Times New Roman"/>
          <w:b/>
          <w:bCs/>
          <w:sz w:val="28"/>
          <w:szCs w:val="28"/>
        </w:rPr>
      </w:pPr>
    </w:p>
    <w:p w14:paraId="1AC32684" w14:textId="7A05AB29" w:rsidR="00A35D8C" w:rsidRDefault="00A35D8C" w:rsidP="00A35D8C">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Question 12</w:t>
      </w:r>
    </w:p>
    <w:p w14:paraId="22234EEE" w14:textId="77777777" w:rsidR="00A35D8C" w:rsidRDefault="00A35D8C" w:rsidP="00A35D8C">
      <w:pPr>
        <w:rPr>
          <w:b/>
          <w:bCs/>
        </w:rPr>
      </w:pPr>
    </w:p>
    <w:p w14:paraId="3F97D175" w14:textId="5DBA201D" w:rsidR="00A35D8C" w:rsidRPr="00A35D8C" w:rsidRDefault="00A35D8C" w:rsidP="00A35D8C">
      <w:pPr>
        <w:pStyle w:val="ListParagraph"/>
        <w:numPr>
          <w:ilvl w:val="0"/>
          <w:numId w:val="14"/>
        </w:numPr>
        <w:tabs>
          <w:tab w:val="left" w:pos="790"/>
        </w:tabs>
        <w:outlineLvl w:val="0"/>
        <w:rPr>
          <w:b/>
          <w:bCs/>
        </w:rPr>
      </w:pPr>
      <w:r w:rsidRPr="00A35D8C">
        <w:rPr>
          <w:b/>
          <w:bCs/>
        </w:rPr>
        <w:t>SRT</w:t>
      </w:r>
      <w:r w:rsidRPr="00A35D8C">
        <w:rPr>
          <w:b/>
          <w:bCs/>
          <w:spacing w:val="-3"/>
        </w:rPr>
        <w:t xml:space="preserve"> </w:t>
      </w:r>
      <w:r w:rsidRPr="00A35D8C">
        <w:rPr>
          <w:b/>
          <w:bCs/>
        </w:rPr>
        <w:t>tests</w:t>
      </w:r>
    </w:p>
    <w:p w14:paraId="3E4B5CE8" w14:textId="77777777" w:rsidR="00A35D8C" w:rsidRPr="004611B2" w:rsidRDefault="00A35D8C" w:rsidP="00A35D8C">
      <w:pPr>
        <w:spacing w:before="5"/>
        <w:rPr>
          <w:b/>
        </w:rPr>
      </w:pPr>
    </w:p>
    <w:p w14:paraId="6C37FD3B" w14:textId="77777777" w:rsidR="00A35D8C" w:rsidRPr="004611B2" w:rsidRDefault="00A35D8C" w:rsidP="00A35D8C">
      <w:pPr>
        <w:ind w:left="309" w:right="323"/>
        <w:jc w:val="both"/>
      </w:pPr>
      <w:r w:rsidRPr="004611B2">
        <w:rPr>
          <w:b/>
          <w:bCs/>
          <w:spacing w:val="-1"/>
          <w:u w:val="single"/>
        </w:rPr>
        <w:t>Question 12.1</w:t>
      </w:r>
      <w:r w:rsidRPr="004611B2">
        <w:t>. Do you agree with the allocation of the LTEL and UL to the tranches for</w:t>
      </w:r>
      <w:r w:rsidRPr="004611B2">
        <w:rPr>
          <w:spacing w:val="1"/>
        </w:rPr>
        <w:t xml:space="preserve"> </w:t>
      </w:r>
      <w:r w:rsidRPr="004611B2">
        <w:t>the</w:t>
      </w:r>
      <w:r w:rsidRPr="004611B2">
        <w:rPr>
          <w:spacing w:val="-1"/>
        </w:rPr>
        <w:t xml:space="preserve"> </w:t>
      </w:r>
      <w:r w:rsidRPr="004611B2">
        <w:t>purposes</w:t>
      </w:r>
      <w:r w:rsidRPr="004611B2">
        <w:rPr>
          <w:spacing w:val="-1"/>
        </w:rPr>
        <w:t xml:space="preserve"> </w:t>
      </w:r>
      <w:r w:rsidRPr="004611B2">
        <w:t>of</w:t>
      </w:r>
      <w:r w:rsidRPr="004611B2">
        <w:rPr>
          <w:spacing w:val="-2"/>
        </w:rPr>
        <w:t xml:space="preserve"> </w:t>
      </w:r>
      <w:r w:rsidRPr="004611B2">
        <w:t>the</w:t>
      </w:r>
      <w:r w:rsidRPr="004611B2">
        <w:rPr>
          <w:spacing w:val="-1"/>
        </w:rPr>
        <w:t xml:space="preserve"> </w:t>
      </w:r>
      <w:r w:rsidRPr="004611B2">
        <w:t>SRT,</w:t>
      </w:r>
      <w:r w:rsidRPr="004611B2">
        <w:rPr>
          <w:spacing w:val="1"/>
        </w:rPr>
        <w:t xml:space="preserve"> </w:t>
      </w:r>
      <w:r w:rsidRPr="004611B2">
        <w:t>CRT and</w:t>
      </w:r>
      <w:r w:rsidRPr="004611B2">
        <w:rPr>
          <w:spacing w:val="-1"/>
        </w:rPr>
        <w:t xml:space="preserve"> </w:t>
      </w:r>
      <w:r w:rsidRPr="004611B2">
        <w:t>PBA</w:t>
      </w:r>
      <w:r w:rsidRPr="004611B2">
        <w:rPr>
          <w:spacing w:val="-2"/>
        </w:rPr>
        <w:t xml:space="preserve"> </w:t>
      </w:r>
      <w:r w:rsidRPr="004611B2">
        <w:t>tests, as</w:t>
      </w:r>
      <w:r w:rsidRPr="004611B2">
        <w:rPr>
          <w:spacing w:val="-2"/>
        </w:rPr>
        <w:t xml:space="preserve"> </w:t>
      </w:r>
      <w:r w:rsidRPr="004611B2">
        <w:t>recommended in</w:t>
      </w:r>
      <w:r w:rsidRPr="004611B2">
        <w:rPr>
          <w:spacing w:val="-1"/>
        </w:rPr>
        <w:t xml:space="preserve"> </w:t>
      </w:r>
      <w:r w:rsidRPr="004611B2">
        <w:t>the</w:t>
      </w:r>
      <w:r w:rsidRPr="004611B2">
        <w:rPr>
          <w:spacing w:val="-2"/>
        </w:rPr>
        <w:t xml:space="preserve"> </w:t>
      </w:r>
      <w:r w:rsidRPr="004611B2">
        <w:t>EBA</w:t>
      </w:r>
      <w:r w:rsidRPr="004611B2">
        <w:rPr>
          <w:spacing w:val="3"/>
        </w:rPr>
        <w:t xml:space="preserve"> </w:t>
      </w:r>
      <w:r w:rsidRPr="004611B2">
        <w:t>report?</w:t>
      </w:r>
    </w:p>
    <w:p w14:paraId="3AFAAF2E" w14:textId="77777777" w:rsidR="00A35D8C" w:rsidRPr="004611B2" w:rsidRDefault="00A35D8C" w:rsidP="00A35D8C">
      <w:pPr>
        <w:spacing w:before="10"/>
      </w:pPr>
    </w:p>
    <w:p w14:paraId="3E1F3D2B" w14:textId="77777777" w:rsidR="00A35D8C" w:rsidRPr="004611B2" w:rsidRDefault="00A35D8C" w:rsidP="00A35D8C">
      <w:pPr>
        <w:ind w:left="592" w:right="8264"/>
      </w:pPr>
      <w:r w:rsidRPr="004611B2">
        <w:t>Yes</w:t>
      </w:r>
      <w:r w:rsidRPr="004611B2">
        <w:rPr>
          <w:spacing w:val="-57"/>
        </w:rPr>
        <w:t xml:space="preserve"> </w:t>
      </w:r>
      <w:r w:rsidRPr="004611B2">
        <w:rPr>
          <w:b/>
          <w:bCs/>
          <w:color w:val="0070C0"/>
        </w:rPr>
        <w:t>No</w:t>
      </w:r>
    </w:p>
    <w:p w14:paraId="4F7A8312" w14:textId="77777777" w:rsidR="00A35D8C" w:rsidRPr="004611B2" w:rsidRDefault="00A35D8C" w:rsidP="00A35D8C">
      <w:pPr>
        <w:ind w:left="592"/>
      </w:pPr>
      <w:r w:rsidRPr="004611B2">
        <w:t>No</w:t>
      </w:r>
      <w:r w:rsidRPr="004611B2">
        <w:rPr>
          <w:spacing w:val="-2"/>
        </w:rPr>
        <w:t xml:space="preserve"> </w:t>
      </w:r>
      <w:r w:rsidRPr="004611B2">
        <w:t>opinion</w:t>
      </w:r>
    </w:p>
    <w:p w14:paraId="2A032B52" w14:textId="77777777" w:rsidR="00A35D8C" w:rsidRPr="004611B2" w:rsidRDefault="00A35D8C" w:rsidP="00A35D8C">
      <w:pPr>
        <w:spacing w:before="9"/>
      </w:pPr>
    </w:p>
    <w:p w14:paraId="56A1C433" w14:textId="77777777" w:rsidR="00A35D8C" w:rsidRPr="004611B2" w:rsidRDefault="00A35D8C" w:rsidP="00A35D8C">
      <w:pPr>
        <w:ind w:left="309"/>
        <w:jc w:val="both"/>
      </w:pPr>
      <w:r w:rsidRPr="004611B2">
        <w:t>Please</w:t>
      </w:r>
      <w:r w:rsidRPr="004611B2">
        <w:rPr>
          <w:spacing w:val="-4"/>
        </w:rPr>
        <w:t xml:space="preserve"> </w:t>
      </w:r>
      <w:r w:rsidRPr="004611B2">
        <w:t>explain your</w:t>
      </w:r>
      <w:r w:rsidRPr="004611B2">
        <w:rPr>
          <w:spacing w:val="-1"/>
        </w:rPr>
        <w:t xml:space="preserve"> </w:t>
      </w:r>
      <w:r w:rsidRPr="004611B2">
        <w:t>answer.</w:t>
      </w:r>
    </w:p>
    <w:p w14:paraId="16F0C972" w14:textId="77777777" w:rsidR="00A35D8C" w:rsidRPr="004611B2" w:rsidRDefault="00A35D8C" w:rsidP="00A35D8C">
      <w:pPr>
        <w:ind w:left="309"/>
        <w:jc w:val="both"/>
      </w:pPr>
    </w:p>
    <w:p w14:paraId="2E6CE9FD" w14:textId="77777777" w:rsidR="00A35D8C" w:rsidRPr="004611B2" w:rsidRDefault="00A35D8C" w:rsidP="00A35D8C">
      <w:pPr>
        <w:ind w:left="284"/>
        <w:rPr>
          <w:color w:val="0070C0"/>
          <w:lang/>
        </w:rPr>
      </w:pPr>
      <w:r w:rsidRPr="006F4D54">
        <w:rPr>
          <w:i/>
          <w:iCs/>
          <w:color w:val="0070C0"/>
          <w:u w:val="single"/>
        </w:rPr>
        <w:t xml:space="preserve">For synthetic on balance-sheet </w:t>
      </w:r>
      <w:proofErr w:type="spellStart"/>
      <w:r w:rsidRPr="006F4D54">
        <w:rPr>
          <w:i/>
          <w:iCs/>
          <w:color w:val="0070C0"/>
          <w:u w:val="single"/>
        </w:rPr>
        <w:t>securitisations</w:t>
      </w:r>
      <w:proofErr w:type="spellEnd"/>
      <w:r w:rsidRPr="006F4D54">
        <w:rPr>
          <w:i/>
          <w:iCs/>
          <w:color w:val="0070C0"/>
          <w:u w:val="single"/>
        </w:rPr>
        <w:t>:</w:t>
      </w:r>
      <w:r w:rsidRPr="006F4D54">
        <w:rPr>
          <w:i/>
          <w:iCs/>
          <w:color w:val="0070C0"/>
          <w:u w:val="single"/>
        </w:rPr>
        <w:br/>
      </w:r>
      <w:r w:rsidRPr="001D681C">
        <w:rPr>
          <w:b/>
          <w:bCs/>
          <w:color w:val="0070C0"/>
          <w:lang/>
        </w:rPr>
        <w:t>The proposed SRT tests don’t work as expected when applied to real life transactions</w:t>
      </w:r>
      <w:r w:rsidRPr="004611B2">
        <w:rPr>
          <w:color w:val="0070C0"/>
          <w:lang/>
        </w:rPr>
        <w:t xml:space="preserve"> that are transferring a significant amount of economic risk. We refer to the examples in </w:t>
      </w:r>
      <w:r w:rsidRPr="004611B2">
        <w:rPr>
          <w:i/>
          <w:iCs/>
          <w:color w:val="0070C0"/>
          <w:u w:val="single"/>
          <w:lang/>
        </w:rPr>
        <w:t xml:space="preserve">Appendixes </w:t>
      </w:r>
      <w:r>
        <w:rPr>
          <w:i/>
          <w:iCs/>
          <w:color w:val="0070C0"/>
          <w:u w:val="single"/>
          <w:lang w:val="fr-FR"/>
        </w:rPr>
        <w:t>4</w:t>
      </w:r>
      <w:r w:rsidRPr="004611B2">
        <w:rPr>
          <w:i/>
          <w:iCs/>
          <w:color w:val="0070C0"/>
          <w:u w:val="single"/>
          <w:lang/>
        </w:rPr>
        <w:t xml:space="preserve"> and </w:t>
      </w:r>
      <w:r>
        <w:rPr>
          <w:i/>
          <w:iCs/>
          <w:color w:val="0070C0"/>
          <w:u w:val="single"/>
          <w:lang w:val="fr-FR"/>
        </w:rPr>
        <w:t>5</w:t>
      </w:r>
      <w:r w:rsidRPr="004611B2">
        <w:rPr>
          <w:color w:val="0070C0"/>
          <w:lang/>
        </w:rPr>
        <w:t xml:space="preserve"> simulated on real life transactions</w:t>
      </w:r>
      <w:r w:rsidRPr="004611B2">
        <w:rPr>
          <w:color w:val="0070C0"/>
          <w:lang w:val="fr-FR"/>
        </w:rPr>
        <w:t>, and</w:t>
      </w:r>
      <w:r w:rsidRPr="004611B2">
        <w:rPr>
          <w:color w:val="0070C0"/>
          <w:lang/>
        </w:rPr>
        <w:t xml:space="preserve"> approved for significant risk transfer.</w:t>
      </w:r>
    </w:p>
    <w:p w14:paraId="23596501" w14:textId="77777777" w:rsidR="00A35D8C" w:rsidRPr="004611B2" w:rsidRDefault="00A35D8C" w:rsidP="00A35D8C">
      <w:pPr>
        <w:ind w:left="284"/>
        <w:jc w:val="both"/>
        <w:rPr>
          <w:color w:val="0070C0"/>
          <w:lang/>
        </w:rPr>
      </w:pPr>
    </w:p>
    <w:p w14:paraId="3784A5E4" w14:textId="77777777" w:rsidR="00A35D8C" w:rsidRPr="004611B2" w:rsidRDefault="00A35D8C" w:rsidP="00A35D8C">
      <w:pPr>
        <w:ind w:left="284"/>
        <w:rPr>
          <w:color w:val="0070C0"/>
          <w:lang w:val="fr-FR"/>
        </w:rPr>
      </w:pPr>
      <w:r w:rsidRPr="004611B2">
        <w:rPr>
          <w:b/>
          <w:bCs/>
          <w:color w:val="0070C0"/>
          <w:lang/>
        </w:rPr>
        <w:t xml:space="preserve">The proposal </w:t>
      </w:r>
      <w:r w:rsidRPr="004611B2">
        <w:rPr>
          <w:b/>
          <w:bCs/>
          <w:color w:val="0070C0"/>
          <w:lang w:val="nl-BE"/>
        </w:rPr>
        <w:t>b</w:t>
      </w:r>
      <w:r w:rsidRPr="004611B2">
        <w:rPr>
          <w:b/>
          <w:bCs/>
          <w:color w:val="0070C0"/>
          <w:lang/>
        </w:rPr>
        <w:t>elow assumes that p factor and RW floor will be fundamentally downsized.</w:t>
      </w:r>
      <w:r w:rsidRPr="004611B2">
        <w:rPr>
          <w:color w:val="0070C0"/>
          <w:lang/>
        </w:rPr>
        <w:t xml:space="preserve"> Otherwise, we would challenge the appropriateness of introducing complex SRT tests to assess risk transfer significance, when the level of conservatism in the calculation of the RW release – just by itself – can demonstrate that commensurate risk transfer is achieved just because capital can be released despite the multiple layers of conservatism. </w:t>
      </w:r>
      <w:proofErr w:type="spellStart"/>
      <w:r w:rsidRPr="004611B2">
        <w:rPr>
          <w:color w:val="0070C0"/>
          <w:lang w:val="fr-FR"/>
        </w:rPr>
        <w:t>We</w:t>
      </w:r>
      <w:proofErr w:type="spellEnd"/>
      <w:r w:rsidRPr="004611B2">
        <w:rPr>
          <w:color w:val="0070C0"/>
          <w:lang w:val="fr-FR"/>
        </w:rPr>
        <w:t xml:space="preserve"> </w:t>
      </w:r>
      <w:proofErr w:type="spellStart"/>
      <w:r w:rsidRPr="004611B2">
        <w:rPr>
          <w:color w:val="0070C0"/>
          <w:lang w:val="fr-FR"/>
        </w:rPr>
        <w:t>refer</w:t>
      </w:r>
      <w:proofErr w:type="spellEnd"/>
      <w:r w:rsidRPr="004611B2">
        <w:rPr>
          <w:color w:val="0070C0"/>
          <w:lang w:val="fr-FR"/>
        </w:rPr>
        <w:t xml:space="preserve"> to </w:t>
      </w:r>
      <w:proofErr w:type="spellStart"/>
      <w:r w:rsidRPr="004611B2">
        <w:rPr>
          <w:color w:val="0070C0"/>
          <w:lang w:val="fr-FR"/>
        </w:rPr>
        <w:t>our</w:t>
      </w:r>
      <w:proofErr w:type="spellEnd"/>
      <w:r w:rsidRPr="004611B2">
        <w:rPr>
          <w:color w:val="0070C0"/>
          <w:lang w:val="fr-FR"/>
        </w:rPr>
        <w:t xml:space="preserve"> </w:t>
      </w:r>
      <w:proofErr w:type="spellStart"/>
      <w:r w:rsidRPr="004611B2">
        <w:rPr>
          <w:color w:val="0070C0"/>
          <w:lang w:val="fr-FR"/>
        </w:rPr>
        <w:t>response</w:t>
      </w:r>
      <w:proofErr w:type="spellEnd"/>
      <w:r w:rsidRPr="004611B2">
        <w:rPr>
          <w:color w:val="0070C0"/>
          <w:lang w:val="fr-FR"/>
        </w:rPr>
        <w:t xml:space="preserve"> to question 9 on non-</w:t>
      </w:r>
      <w:proofErr w:type="spellStart"/>
      <w:r w:rsidRPr="004611B2">
        <w:rPr>
          <w:color w:val="0070C0"/>
          <w:lang w:val="fr-FR"/>
        </w:rPr>
        <w:t>neutrality</w:t>
      </w:r>
      <w:proofErr w:type="spellEnd"/>
      <w:r w:rsidRPr="004611B2">
        <w:rPr>
          <w:color w:val="0070C0"/>
          <w:lang w:val="fr-FR"/>
        </w:rPr>
        <w:t xml:space="preserve"> </w:t>
      </w:r>
      <w:proofErr w:type="spellStart"/>
      <w:r w:rsidRPr="004611B2">
        <w:rPr>
          <w:color w:val="0070C0"/>
          <w:lang w:val="fr-FR"/>
        </w:rPr>
        <w:t>effect</w:t>
      </w:r>
      <w:proofErr w:type="spellEnd"/>
      <w:r w:rsidRPr="004611B2">
        <w:rPr>
          <w:color w:val="0070C0"/>
          <w:lang w:val="fr-FR"/>
        </w:rPr>
        <w:t>.</w:t>
      </w:r>
    </w:p>
    <w:p w14:paraId="76DCDD16" w14:textId="77777777" w:rsidR="00A35D8C" w:rsidRPr="004611B2" w:rsidRDefault="00A35D8C" w:rsidP="00A35D8C">
      <w:pPr>
        <w:ind w:left="284"/>
        <w:jc w:val="both"/>
        <w:rPr>
          <w:color w:val="0070C0"/>
          <w:lang/>
        </w:rPr>
      </w:pPr>
    </w:p>
    <w:p w14:paraId="121A9D37" w14:textId="77777777" w:rsidR="00A35D8C" w:rsidRPr="00191208" w:rsidRDefault="00A35D8C" w:rsidP="00A35D8C">
      <w:pPr>
        <w:ind w:left="284"/>
        <w:jc w:val="both"/>
        <w:rPr>
          <w:color w:val="0070C0"/>
          <w:lang/>
        </w:rPr>
      </w:pPr>
      <w:r w:rsidRPr="00191208">
        <w:rPr>
          <w:color w:val="0070C0"/>
          <w:lang/>
        </w:rPr>
        <w:t xml:space="preserve">Based on this assumption, and would proposed SRT tests anyhow be maintained, </w:t>
      </w:r>
      <w:r w:rsidRPr="00191208">
        <w:rPr>
          <w:b/>
          <w:bCs/>
          <w:color w:val="0070C0"/>
          <w:lang/>
        </w:rPr>
        <w:t>the tests have to be amended</w:t>
      </w:r>
      <w:r w:rsidRPr="00191208">
        <w:rPr>
          <w:color w:val="0070C0"/>
          <w:lang/>
        </w:rPr>
        <w:t xml:space="preserve">, and we investigated solutions to make these tests work. </w:t>
      </w:r>
    </w:p>
    <w:p w14:paraId="220E0326" w14:textId="77777777" w:rsidR="00A35D8C" w:rsidRPr="001D681C" w:rsidRDefault="00A35D8C" w:rsidP="00A35D8C">
      <w:pPr>
        <w:ind w:left="284"/>
        <w:jc w:val="both"/>
        <w:rPr>
          <w:b/>
          <w:bCs/>
          <w:color w:val="0070C0"/>
          <w:lang/>
        </w:rPr>
      </w:pPr>
      <w:r w:rsidRPr="00191208">
        <w:rPr>
          <w:b/>
          <w:bCs/>
          <w:color w:val="0070C0"/>
          <w:lang w:val="fr-FR"/>
        </w:rPr>
        <w:t xml:space="preserve">It </w:t>
      </w:r>
      <w:proofErr w:type="spellStart"/>
      <w:r w:rsidRPr="00191208">
        <w:rPr>
          <w:b/>
          <w:bCs/>
          <w:color w:val="0070C0"/>
          <w:lang w:val="fr-FR"/>
        </w:rPr>
        <w:t>is</w:t>
      </w:r>
      <w:proofErr w:type="spellEnd"/>
      <w:r w:rsidRPr="00191208">
        <w:rPr>
          <w:b/>
          <w:bCs/>
          <w:color w:val="0070C0"/>
          <w:lang w:val="fr-FR"/>
        </w:rPr>
        <w:t xml:space="preserve"> </w:t>
      </w:r>
      <w:proofErr w:type="spellStart"/>
      <w:r w:rsidRPr="00191208">
        <w:rPr>
          <w:b/>
          <w:bCs/>
          <w:color w:val="0070C0"/>
          <w:lang w:val="fr-FR"/>
        </w:rPr>
        <w:t>also</w:t>
      </w:r>
      <w:proofErr w:type="spellEnd"/>
      <w:r w:rsidRPr="00191208">
        <w:rPr>
          <w:b/>
          <w:bCs/>
          <w:color w:val="0070C0"/>
          <w:lang w:val="fr-FR"/>
        </w:rPr>
        <w:t xml:space="preserve"> </w:t>
      </w:r>
      <w:proofErr w:type="spellStart"/>
      <w:r w:rsidRPr="00191208">
        <w:rPr>
          <w:b/>
          <w:bCs/>
          <w:color w:val="0070C0"/>
          <w:lang w:val="fr-FR"/>
        </w:rPr>
        <w:t>very</w:t>
      </w:r>
      <w:proofErr w:type="spellEnd"/>
      <w:r w:rsidRPr="00191208">
        <w:rPr>
          <w:b/>
          <w:bCs/>
          <w:color w:val="0070C0"/>
          <w:lang w:val="fr-FR"/>
        </w:rPr>
        <w:t xml:space="preserve"> important </w:t>
      </w:r>
      <w:proofErr w:type="spellStart"/>
      <w:r w:rsidRPr="00191208">
        <w:rPr>
          <w:b/>
          <w:bCs/>
          <w:color w:val="0070C0"/>
          <w:lang w:val="fr-FR"/>
        </w:rPr>
        <w:t>that</w:t>
      </w:r>
      <w:proofErr w:type="spellEnd"/>
      <w:r w:rsidRPr="00191208">
        <w:rPr>
          <w:b/>
          <w:bCs/>
          <w:color w:val="0070C0"/>
          <w:lang w:val="fr-FR"/>
        </w:rPr>
        <w:t xml:space="preserve"> t</w:t>
      </w:r>
      <w:r w:rsidRPr="00191208">
        <w:rPr>
          <w:b/>
          <w:bCs/>
          <w:color w:val="0070C0"/>
          <w:lang/>
        </w:rPr>
        <w:t xml:space="preserve">hese tests </w:t>
      </w:r>
      <w:r w:rsidRPr="00191208">
        <w:rPr>
          <w:b/>
          <w:bCs/>
          <w:color w:val="0070C0"/>
          <w:lang w:val="fr-FR"/>
        </w:rPr>
        <w:t xml:space="preserve">serve </w:t>
      </w:r>
      <w:proofErr w:type="spellStart"/>
      <w:r w:rsidRPr="00191208">
        <w:rPr>
          <w:b/>
          <w:bCs/>
          <w:color w:val="0070C0"/>
          <w:lang w:val="fr-FR"/>
        </w:rPr>
        <w:t>only</w:t>
      </w:r>
      <w:proofErr w:type="spellEnd"/>
      <w:r w:rsidRPr="00191208">
        <w:rPr>
          <w:b/>
          <w:bCs/>
          <w:color w:val="0070C0"/>
          <w:lang w:val="fr-FR"/>
        </w:rPr>
        <w:t xml:space="preserve"> as </w:t>
      </w:r>
      <w:r w:rsidRPr="00191208">
        <w:rPr>
          <w:b/>
          <w:bCs/>
          <w:color w:val="0070C0"/>
          <w:lang/>
        </w:rPr>
        <w:t xml:space="preserve">guidance for supervisors, who should retain the ultimate responsibility of the final </w:t>
      </w:r>
      <w:r w:rsidRPr="00191208">
        <w:rPr>
          <w:b/>
          <w:bCs/>
          <w:color w:val="0070C0"/>
          <w:lang w:val="fr-FR"/>
        </w:rPr>
        <w:t xml:space="preserve">SRT </w:t>
      </w:r>
      <w:r w:rsidRPr="00191208">
        <w:rPr>
          <w:b/>
          <w:bCs/>
          <w:color w:val="0070C0"/>
          <w:lang/>
        </w:rPr>
        <w:t>decision.</w:t>
      </w:r>
      <w:r w:rsidRPr="001D681C">
        <w:rPr>
          <w:b/>
          <w:bCs/>
          <w:color w:val="0070C0"/>
          <w:lang/>
        </w:rPr>
        <w:t xml:space="preserve"> </w:t>
      </w:r>
    </w:p>
    <w:p w14:paraId="0E9B9D2D" w14:textId="77777777" w:rsidR="00A35D8C" w:rsidRPr="004611B2" w:rsidRDefault="00A35D8C" w:rsidP="00A35D8C">
      <w:pPr>
        <w:ind w:left="567" w:hanging="283"/>
        <w:jc w:val="both"/>
        <w:rPr>
          <w:color w:val="0070C0"/>
          <w:lang/>
        </w:rPr>
      </w:pPr>
    </w:p>
    <w:p w14:paraId="02E98F0F" w14:textId="77777777" w:rsidR="00A35D8C" w:rsidRPr="004611B2" w:rsidRDefault="00A35D8C" w:rsidP="00A35D8C">
      <w:pPr>
        <w:ind w:left="567" w:hanging="283"/>
        <w:jc w:val="both"/>
        <w:rPr>
          <w:color w:val="0070C0"/>
          <w:lang/>
        </w:rPr>
      </w:pPr>
      <w:r w:rsidRPr="004611B2">
        <w:rPr>
          <w:color w:val="0070C0"/>
          <w:lang/>
        </w:rPr>
        <w:t xml:space="preserve">The new tests as designed seem to be based on the two following key assumptions: </w:t>
      </w:r>
    </w:p>
    <w:p w14:paraId="5521DF68" w14:textId="77777777" w:rsidR="00A35D8C" w:rsidRPr="004611B2" w:rsidRDefault="00A35D8C" w:rsidP="00A35D8C">
      <w:pPr>
        <w:ind w:left="567" w:hanging="283"/>
        <w:jc w:val="both"/>
        <w:rPr>
          <w:color w:val="0070C0"/>
          <w:lang/>
        </w:rPr>
      </w:pPr>
      <w:r w:rsidRPr="004611B2">
        <w:rPr>
          <w:color w:val="0070C0"/>
          <w:lang/>
        </w:rPr>
        <w:t xml:space="preserve">a) issuers will run them to the time call, not the clean-up call and </w:t>
      </w:r>
    </w:p>
    <w:p w14:paraId="0F847207" w14:textId="77777777" w:rsidR="00A35D8C" w:rsidRPr="004611B2" w:rsidRDefault="00A35D8C" w:rsidP="00A35D8C">
      <w:pPr>
        <w:ind w:left="567" w:hanging="283"/>
        <w:jc w:val="both"/>
        <w:rPr>
          <w:color w:val="0070C0"/>
          <w:lang/>
        </w:rPr>
      </w:pPr>
      <w:r w:rsidRPr="004611B2">
        <w:rPr>
          <w:color w:val="0070C0"/>
          <w:lang/>
        </w:rPr>
        <w:t xml:space="preserve">b) transactions pools are largely composed of bullet amortizing loans with similar maturities, </w:t>
      </w:r>
    </w:p>
    <w:p w14:paraId="67172778" w14:textId="77777777" w:rsidR="00A35D8C" w:rsidRPr="004611B2" w:rsidRDefault="00A35D8C" w:rsidP="00A35D8C">
      <w:pPr>
        <w:ind w:left="284"/>
        <w:jc w:val="both"/>
        <w:rPr>
          <w:color w:val="0070C0"/>
          <w:lang/>
        </w:rPr>
      </w:pPr>
      <w:r w:rsidRPr="004611B2">
        <w:rPr>
          <w:color w:val="0070C0"/>
          <w:lang/>
        </w:rPr>
        <w:t xml:space="preserve">and hence – in combination - assuming a significant outstanding balance at the time of the UL event. Since the vast majority of SRT transactions do not feature any “positive incentive” for issuers to exercise the time call, the current implication is that issuers must instead run tests to the clean-up call date, resulting in a much more extreme test than intended. </w:t>
      </w:r>
    </w:p>
    <w:p w14:paraId="7E5217E2" w14:textId="77777777" w:rsidR="00A35D8C" w:rsidRPr="004611B2" w:rsidRDefault="00A35D8C" w:rsidP="00A35D8C">
      <w:pPr>
        <w:ind w:left="567" w:hanging="283"/>
        <w:jc w:val="both"/>
        <w:rPr>
          <w:color w:val="0070C0"/>
          <w:lang/>
        </w:rPr>
      </w:pPr>
    </w:p>
    <w:p w14:paraId="2E6B2B85" w14:textId="77777777" w:rsidR="00A35D8C" w:rsidRPr="004611B2" w:rsidRDefault="00A35D8C" w:rsidP="00A35D8C">
      <w:pPr>
        <w:ind w:left="567" w:hanging="283"/>
        <w:jc w:val="both"/>
        <w:rPr>
          <w:color w:val="0070C0"/>
          <w:lang/>
        </w:rPr>
      </w:pPr>
      <w:r w:rsidRPr="004611B2">
        <w:rPr>
          <w:color w:val="0070C0"/>
          <w:lang/>
        </w:rPr>
        <w:t>These two assumptions are simply not accurate:</w:t>
      </w:r>
    </w:p>
    <w:p w14:paraId="60714EE1" w14:textId="77777777" w:rsidR="00A35D8C" w:rsidRPr="004611B2" w:rsidRDefault="00A35D8C" w:rsidP="00A35D8C">
      <w:pPr>
        <w:widowControl w:val="0"/>
        <w:numPr>
          <w:ilvl w:val="0"/>
          <w:numId w:val="13"/>
        </w:numPr>
        <w:autoSpaceDE w:val="0"/>
        <w:autoSpaceDN w:val="0"/>
        <w:jc w:val="both"/>
        <w:rPr>
          <w:color w:val="0070C0"/>
          <w:lang/>
        </w:rPr>
      </w:pPr>
      <w:r w:rsidRPr="004611B2">
        <w:rPr>
          <w:i/>
          <w:iCs/>
          <w:color w:val="0070C0"/>
          <w:lang/>
        </w:rPr>
        <w:t>Time call</w:t>
      </w:r>
      <w:r w:rsidRPr="004611B2">
        <w:rPr>
          <w:color w:val="0070C0"/>
          <w:lang/>
        </w:rPr>
        <w:t>: Running the tests up to the time calls should not have a consequence that an unintended “positive incentive” requires a capital surcharge due to maturity mismatch (cf our response to Q12.2 below)</w:t>
      </w:r>
    </w:p>
    <w:p w14:paraId="75EBE51A" w14:textId="77777777" w:rsidR="00A35D8C" w:rsidRPr="004611B2" w:rsidRDefault="00A35D8C" w:rsidP="00A35D8C">
      <w:pPr>
        <w:widowControl w:val="0"/>
        <w:numPr>
          <w:ilvl w:val="0"/>
          <w:numId w:val="13"/>
        </w:numPr>
        <w:autoSpaceDE w:val="0"/>
        <w:autoSpaceDN w:val="0"/>
        <w:jc w:val="both"/>
        <w:rPr>
          <w:color w:val="0070C0"/>
          <w:lang/>
        </w:rPr>
      </w:pPr>
      <w:r w:rsidRPr="004611B2">
        <w:rPr>
          <w:i/>
          <w:iCs/>
          <w:color w:val="0070C0"/>
          <w:lang/>
        </w:rPr>
        <w:t>Bullet loans</w:t>
      </w:r>
      <w:r w:rsidRPr="004611B2">
        <w:rPr>
          <w:color w:val="0070C0"/>
          <w:lang/>
        </w:rPr>
        <w:t xml:space="preserve">: SRT structures are used across a variety of asset classes with significantly </w:t>
      </w:r>
      <w:r w:rsidRPr="004611B2">
        <w:rPr>
          <w:color w:val="0070C0"/>
          <w:lang/>
        </w:rPr>
        <w:lastRenderedPageBreak/>
        <w:t>different maturities and amortization dynamics over time (e.g. corporates, SMEs, autos, consumer, leases, trade finance, residential and commercial mortgages, etc).</w:t>
      </w:r>
    </w:p>
    <w:p w14:paraId="75C10EB4" w14:textId="77777777" w:rsidR="00A35D8C" w:rsidRPr="004611B2" w:rsidRDefault="00A35D8C" w:rsidP="00A35D8C">
      <w:pPr>
        <w:ind w:left="567" w:hanging="283"/>
        <w:jc w:val="both"/>
        <w:rPr>
          <w:color w:val="0070C0"/>
          <w:lang/>
        </w:rPr>
      </w:pPr>
    </w:p>
    <w:p w14:paraId="0A5DFDC3" w14:textId="77777777" w:rsidR="00A35D8C" w:rsidRPr="004611B2" w:rsidRDefault="00A35D8C" w:rsidP="00A35D8C">
      <w:pPr>
        <w:ind w:left="284"/>
        <w:jc w:val="both"/>
        <w:rPr>
          <w:color w:val="0070C0"/>
          <w:lang/>
        </w:rPr>
      </w:pPr>
      <w:r w:rsidRPr="004611B2">
        <w:rPr>
          <w:color w:val="0070C0"/>
          <w:lang/>
        </w:rPr>
        <w:t>The new tests are simply impossible to pass for many real-life deals whilst remaining economically viable. The key issue is the highly conservative application of the UL event in the final year of the transaction: a UL event based on the initial size of the portfolio occurring at the end of the transaction is significantly more adverse than any realistic stress scenario based on observed historical data, making it virtually impossible to structure transactions that pass the tests. By construction, no transaction would – in such scenario – benefit its structural protections such as pro-rata to sequential triggers, as they are usually set levels above the EL.</w:t>
      </w:r>
    </w:p>
    <w:p w14:paraId="52DCEABF" w14:textId="77777777" w:rsidR="00A35D8C" w:rsidRPr="004611B2" w:rsidRDefault="00A35D8C" w:rsidP="00A35D8C">
      <w:pPr>
        <w:ind w:left="284"/>
        <w:jc w:val="both"/>
        <w:rPr>
          <w:color w:val="0070C0"/>
          <w:lang/>
        </w:rPr>
      </w:pPr>
    </w:p>
    <w:p w14:paraId="0026711D" w14:textId="77777777" w:rsidR="00A35D8C" w:rsidRPr="004611B2" w:rsidRDefault="00A35D8C" w:rsidP="00A35D8C">
      <w:pPr>
        <w:ind w:left="284"/>
        <w:jc w:val="both"/>
        <w:rPr>
          <w:color w:val="0070C0"/>
          <w:lang/>
        </w:rPr>
      </w:pPr>
      <w:r w:rsidRPr="004611B2">
        <w:rPr>
          <w:color w:val="0070C0"/>
          <w:lang/>
        </w:rPr>
        <w:t>To make the tests work, various amendments have been considered, focusing on the allocation technique of the UL event, while maintaining EBA’s proposed treatment for expected loss (EL). We excluded some options, like modelling UL on a loan-by-loan basis at the maturity of every securitized exposure, as this may be overly complex for large consumer portfolios with a limited value added.</w:t>
      </w:r>
    </w:p>
    <w:p w14:paraId="5DCE2333" w14:textId="77777777" w:rsidR="00A35D8C" w:rsidRPr="004611B2" w:rsidRDefault="00A35D8C" w:rsidP="00A35D8C">
      <w:pPr>
        <w:ind w:left="284"/>
        <w:jc w:val="both"/>
        <w:rPr>
          <w:color w:val="0070C0"/>
          <w:lang/>
        </w:rPr>
      </w:pPr>
    </w:p>
    <w:p w14:paraId="4829482D" w14:textId="77777777" w:rsidR="00A35D8C" w:rsidRPr="004611B2" w:rsidRDefault="00A35D8C" w:rsidP="00A35D8C">
      <w:pPr>
        <w:ind w:left="284"/>
        <w:jc w:val="both"/>
        <w:rPr>
          <w:color w:val="0070C0"/>
          <w:lang/>
        </w:rPr>
      </w:pPr>
      <w:r w:rsidRPr="004611B2">
        <w:rPr>
          <w:color w:val="0070C0"/>
          <w:lang/>
        </w:rPr>
        <w:t xml:space="preserve">We simulated the three retained options of UL allocation (see </w:t>
      </w:r>
      <w:r w:rsidRPr="004B57DD">
        <w:rPr>
          <w:i/>
          <w:iCs/>
          <w:color w:val="0070C0"/>
          <w:u w:val="single"/>
          <w:lang/>
        </w:rPr>
        <w:t>Appendix 6</w:t>
      </w:r>
      <w:r w:rsidRPr="004611B2">
        <w:rPr>
          <w:color w:val="0070C0"/>
          <w:lang/>
        </w:rPr>
        <w:t xml:space="preserve">) and believe that the option 2 is the most appropriate, i.e. amend UL event loss distribution as per EBA’s proposed ‘back-loaded’ EL vector. Allocating 33.3% of the UL to the first 2/3 and 66.6% to the final 1/3 of transaction life, as determined by clean-up call, meets the EBA’s objective in providing a significant stressed loss scenario to SRT structures (total size unchanged from original proposal) on a consistent basis across banks, which is also relatively simple to model and monitor across banks. </w:t>
      </w:r>
    </w:p>
    <w:p w14:paraId="72C2B6BE" w14:textId="77777777" w:rsidR="00A35D8C" w:rsidRPr="004611B2" w:rsidRDefault="00A35D8C" w:rsidP="00A35D8C">
      <w:pPr>
        <w:ind w:left="284"/>
        <w:jc w:val="both"/>
        <w:rPr>
          <w:color w:val="0070C0"/>
          <w:lang/>
        </w:rPr>
      </w:pPr>
    </w:p>
    <w:p w14:paraId="32E99368" w14:textId="77777777" w:rsidR="00A35D8C" w:rsidRPr="004611B2" w:rsidRDefault="00A35D8C" w:rsidP="00A35D8C">
      <w:pPr>
        <w:ind w:left="284"/>
        <w:rPr>
          <w:color w:val="0070C0"/>
          <w:lang/>
        </w:rPr>
      </w:pPr>
      <w:r w:rsidRPr="004611B2">
        <w:rPr>
          <w:color w:val="0070C0"/>
          <w:lang/>
        </w:rPr>
        <w:t>This amendment would make that the tested real life transactions (formerly approved by regulators for Significant Risk Transfer), would pass the tests, while ensuring that</w:t>
      </w:r>
      <w:r w:rsidRPr="004611B2">
        <w:rPr>
          <w:color w:val="0070C0"/>
          <w:lang/>
        </w:rPr>
        <w:br/>
        <w:t>- Significant stress is applied to test efficacy of structures</w:t>
      </w:r>
      <w:r w:rsidRPr="004611B2">
        <w:rPr>
          <w:color w:val="0070C0"/>
          <w:lang/>
        </w:rPr>
        <w:br/>
        <w:t>- Implementation and monitoring are simple across banks</w:t>
      </w:r>
      <w:r w:rsidRPr="004611B2">
        <w:rPr>
          <w:color w:val="0070C0"/>
          <w:lang/>
        </w:rPr>
        <w:br/>
        <w:t>- Structural protections for pro-rata amortization (e.g. triggers to sequential) more likely behave as intended.</w:t>
      </w:r>
      <w:r w:rsidRPr="004611B2">
        <w:rPr>
          <w:color w:val="0070C0"/>
          <w:lang/>
        </w:rPr>
        <w:br/>
        <w:t>- the approach is more aligned to bank economic modelling of a back-loaded stress.</w:t>
      </w:r>
    </w:p>
    <w:p w14:paraId="45C8C456" w14:textId="77777777" w:rsidR="00A35D8C" w:rsidRPr="004611B2" w:rsidRDefault="00A35D8C" w:rsidP="00A35D8C">
      <w:pPr>
        <w:ind w:left="284"/>
        <w:jc w:val="both"/>
        <w:rPr>
          <w:color w:val="0070C0"/>
          <w:lang/>
        </w:rPr>
      </w:pPr>
      <w:r w:rsidRPr="004611B2">
        <w:rPr>
          <w:color w:val="0070C0"/>
          <w:lang/>
        </w:rPr>
        <w:t>We also agree with the EBA SRT Report that the proposal to model the lifetime behavior of transactions under stress, at inception, can provide a more dynamic test which better reflects the economics.</w:t>
      </w:r>
    </w:p>
    <w:p w14:paraId="422102FD" w14:textId="77777777" w:rsidR="00A35D8C" w:rsidRPr="004611B2" w:rsidRDefault="00A35D8C" w:rsidP="00A35D8C">
      <w:pPr>
        <w:ind w:left="567" w:hanging="283"/>
        <w:jc w:val="both"/>
        <w:rPr>
          <w:color w:val="0070C0"/>
          <w:lang/>
        </w:rPr>
      </w:pPr>
    </w:p>
    <w:p w14:paraId="077C8565" w14:textId="77777777" w:rsidR="00A35D8C" w:rsidRPr="004611B2" w:rsidRDefault="00A35D8C" w:rsidP="00A35D8C">
      <w:pPr>
        <w:ind w:left="284"/>
        <w:jc w:val="both"/>
        <w:rPr>
          <w:color w:val="0070C0"/>
          <w:lang/>
        </w:rPr>
      </w:pPr>
      <w:r w:rsidRPr="004611B2">
        <w:rPr>
          <w:color w:val="0070C0"/>
          <w:lang/>
        </w:rPr>
        <w:t>We therefore strongly recommend that the current testing methodology proposed in EBA report is reviewed so that the UL event loss distribution is amended as per EBA’s proposed ‘back-loaded’ EL vector.</w:t>
      </w:r>
      <w:bookmarkStart w:id="1" w:name="_Hlk80258000"/>
      <w:r w:rsidRPr="004611B2">
        <w:rPr>
          <w:color w:val="0070C0"/>
          <w:lang/>
        </w:rPr>
        <w:t xml:space="preserve"> </w:t>
      </w:r>
    </w:p>
    <w:p w14:paraId="4F16333B" w14:textId="77777777" w:rsidR="00A35D8C" w:rsidRPr="004611B2" w:rsidRDefault="00A35D8C" w:rsidP="00A35D8C">
      <w:pPr>
        <w:ind w:left="284"/>
        <w:jc w:val="both"/>
        <w:rPr>
          <w:color w:val="0070C0"/>
          <w:lang/>
        </w:rPr>
      </w:pPr>
    </w:p>
    <w:p w14:paraId="21B83979" w14:textId="77777777" w:rsidR="00A35D8C" w:rsidRPr="004611B2" w:rsidRDefault="00A35D8C" w:rsidP="00A35D8C">
      <w:pPr>
        <w:ind w:left="284"/>
        <w:jc w:val="both"/>
        <w:rPr>
          <w:color w:val="0070C0"/>
          <w:lang/>
        </w:rPr>
      </w:pPr>
      <w:r w:rsidRPr="004611B2">
        <w:rPr>
          <w:color w:val="0070C0"/>
          <w:lang/>
        </w:rPr>
        <w:t xml:space="preserve">We also want to warn regulators about the </w:t>
      </w:r>
      <w:r w:rsidRPr="004611B2">
        <w:rPr>
          <w:b/>
          <w:bCs/>
          <w:color w:val="0070C0"/>
          <w:lang/>
        </w:rPr>
        <w:t xml:space="preserve">complexity </w:t>
      </w:r>
      <w:r w:rsidRPr="004611B2">
        <w:rPr>
          <w:color w:val="0070C0"/>
          <w:lang/>
        </w:rPr>
        <w:t xml:space="preserve">of these tests and the underlying modelling techniques, which might not necessarily fit-for-purpose whatever the profile of the underlying portfolio or the structure of the risk sharing transaction, hence the importance to </w:t>
      </w:r>
      <w:r w:rsidRPr="004611B2">
        <w:rPr>
          <w:color w:val="0070C0"/>
          <w:lang/>
        </w:rPr>
        <w:lastRenderedPageBreak/>
        <w:t xml:space="preserve">grant </w:t>
      </w:r>
      <w:r w:rsidRPr="004611B2">
        <w:rPr>
          <w:b/>
          <w:bCs/>
          <w:color w:val="0070C0"/>
          <w:lang/>
        </w:rPr>
        <w:t>flexibility</w:t>
      </w:r>
      <w:r w:rsidRPr="004611B2">
        <w:rPr>
          <w:color w:val="0070C0"/>
          <w:lang/>
        </w:rPr>
        <w:t xml:space="preserve"> to supervisors when they analyse tests outcome to assess significance of risk transfer.</w:t>
      </w:r>
    </w:p>
    <w:bookmarkEnd w:id="1"/>
    <w:p w14:paraId="3381A509" w14:textId="77777777" w:rsidR="00A35D8C" w:rsidRPr="004611B2" w:rsidRDefault="00A35D8C" w:rsidP="00A35D8C">
      <w:pPr>
        <w:ind w:left="284"/>
        <w:rPr>
          <w:color w:val="0070C0"/>
        </w:rPr>
      </w:pPr>
    </w:p>
    <w:p w14:paraId="0FA50817" w14:textId="77777777" w:rsidR="00A35D8C" w:rsidRPr="004611B2" w:rsidRDefault="00A35D8C" w:rsidP="00A35D8C">
      <w:pPr>
        <w:spacing w:before="72"/>
        <w:ind w:left="309" w:right="325"/>
        <w:jc w:val="both"/>
      </w:pPr>
      <w:r w:rsidRPr="004611B2">
        <w:rPr>
          <w:b/>
          <w:bCs/>
          <w:spacing w:val="-1"/>
          <w:u w:val="single"/>
        </w:rPr>
        <w:t>Question 12.2</w:t>
      </w:r>
      <w:r w:rsidRPr="004611B2">
        <w:t>. What are your views on the application of Art. 252 of the CRR on</w:t>
      </w:r>
      <w:r w:rsidRPr="004611B2">
        <w:rPr>
          <w:spacing w:val="1"/>
        </w:rPr>
        <w:t xml:space="preserve"> </w:t>
      </w:r>
      <w:r w:rsidRPr="004611B2">
        <w:t>maturity mismatches when a time call, or similar optional feature, is expected to happen</w:t>
      </w:r>
      <w:r w:rsidRPr="004611B2">
        <w:rPr>
          <w:spacing w:val="1"/>
        </w:rPr>
        <w:t xml:space="preserve"> </w:t>
      </w:r>
      <w:r w:rsidRPr="004611B2">
        <w:t>during</w:t>
      </w:r>
      <w:r w:rsidRPr="004611B2">
        <w:rPr>
          <w:spacing w:val="-3"/>
        </w:rPr>
        <w:t xml:space="preserve"> </w:t>
      </w:r>
      <w:r w:rsidRPr="004611B2">
        <w:t>the life</w:t>
      </w:r>
      <w:r w:rsidRPr="004611B2">
        <w:rPr>
          <w:spacing w:val="-1"/>
        </w:rPr>
        <w:t xml:space="preserve"> </w:t>
      </w:r>
      <w:r w:rsidRPr="004611B2">
        <w:t>of the</w:t>
      </w:r>
      <w:r w:rsidRPr="004611B2">
        <w:rPr>
          <w:spacing w:val="-2"/>
        </w:rPr>
        <w:t xml:space="preserve"> </w:t>
      </w:r>
      <w:r w:rsidRPr="004611B2">
        <w:t>transaction?</w:t>
      </w:r>
    </w:p>
    <w:p w14:paraId="49340836" w14:textId="77777777" w:rsidR="00A35D8C" w:rsidRPr="004611B2" w:rsidRDefault="00A35D8C" w:rsidP="00A35D8C">
      <w:pPr>
        <w:spacing w:before="72"/>
        <w:ind w:left="309" w:right="325"/>
        <w:jc w:val="both"/>
      </w:pPr>
    </w:p>
    <w:p w14:paraId="6C2BDFBF" w14:textId="77777777" w:rsidR="00A35D8C" w:rsidRPr="004611B2" w:rsidRDefault="00A35D8C" w:rsidP="00A35D8C">
      <w:pPr>
        <w:ind w:left="284"/>
        <w:rPr>
          <w:color w:val="0070C0"/>
        </w:rPr>
      </w:pPr>
      <w:r w:rsidRPr="006F4D54">
        <w:rPr>
          <w:i/>
          <w:iCs/>
          <w:color w:val="0070C0"/>
          <w:u w:val="single"/>
        </w:rPr>
        <w:t xml:space="preserve">For synthetic on balance-sheet </w:t>
      </w:r>
      <w:proofErr w:type="spellStart"/>
      <w:r w:rsidRPr="006F4D54">
        <w:rPr>
          <w:i/>
          <w:iCs/>
          <w:color w:val="0070C0"/>
          <w:u w:val="single"/>
        </w:rPr>
        <w:t>securitisations</w:t>
      </w:r>
      <w:proofErr w:type="spellEnd"/>
      <w:r w:rsidRPr="006F4D54">
        <w:rPr>
          <w:i/>
          <w:iCs/>
          <w:color w:val="0070C0"/>
          <w:u w:val="single"/>
        </w:rPr>
        <w:t>:</w:t>
      </w:r>
      <w:r w:rsidRPr="006F4D54">
        <w:rPr>
          <w:i/>
          <w:iCs/>
          <w:color w:val="0070C0"/>
          <w:u w:val="single"/>
        </w:rPr>
        <w:br/>
      </w:r>
      <w:r w:rsidRPr="004611B2">
        <w:rPr>
          <w:color w:val="0070C0"/>
        </w:rPr>
        <w:t xml:space="preserve">We believe that the EBA is misinterpreting the notion of </w:t>
      </w:r>
      <w:r w:rsidRPr="004611B2">
        <w:rPr>
          <w:b/>
          <w:bCs/>
          <w:color w:val="0070C0"/>
        </w:rPr>
        <w:t>positive incentive</w:t>
      </w:r>
      <w:r w:rsidRPr="004611B2">
        <w:rPr>
          <w:color w:val="0070C0"/>
        </w:rPr>
        <w:t xml:space="preserve"> provided for in </w:t>
      </w:r>
      <w:r w:rsidRPr="004611B2">
        <w:rPr>
          <w:b/>
          <w:bCs/>
          <w:color w:val="0070C0"/>
          <w:lang/>
        </w:rPr>
        <w:t>A</w:t>
      </w:r>
      <w:proofErr w:type="spellStart"/>
      <w:r w:rsidRPr="004611B2">
        <w:rPr>
          <w:b/>
          <w:bCs/>
          <w:color w:val="0070C0"/>
        </w:rPr>
        <w:t>rticle</w:t>
      </w:r>
      <w:proofErr w:type="spellEnd"/>
      <w:r w:rsidRPr="004611B2">
        <w:rPr>
          <w:b/>
          <w:bCs/>
          <w:color w:val="0070C0"/>
        </w:rPr>
        <w:t xml:space="preserve"> 238</w:t>
      </w:r>
      <w:r w:rsidRPr="004611B2">
        <w:rPr>
          <w:color w:val="0070C0"/>
        </w:rPr>
        <w:t xml:space="preserve"> to which </w:t>
      </w:r>
      <w:r w:rsidRPr="004611B2">
        <w:rPr>
          <w:color w:val="0070C0"/>
          <w:lang/>
        </w:rPr>
        <w:t>A</w:t>
      </w:r>
      <w:proofErr w:type="spellStart"/>
      <w:r w:rsidRPr="004611B2">
        <w:rPr>
          <w:color w:val="0070C0"/>
        </w:rPr>
        <w:t>rticle</w:t>
      </w:r>
      <w:proofErr w:type="spellEnd"/>
      <w:r w:rsidRPr="004611B2">
        <w:rPr>
          <w:color w:val="0070C0"/>
        </w:rPr>
        <w:t xml:space="preserve"> 252 refers and would be created by the time call.</w:t>
      </w:r>
    </w:p>
    <w:p w14:paraId="6A33A44F" w14:textId="77777777" w:rsidR="00A35D8C" w:rsidRPr="004611B2" w:rsidRDefault="00A35D8C" w:rsidP="00A35D8C">
      <w:pPr>
        <w:ind w:left="284"/>
        <w:jc w:val="both"/>
        <w:rPr>
          <w:color w:val="0070C0"/>
        </w:rPr>
      </w:pPr>
      <w:r w:rsidRPr="004611B2">
        <w:rPr>
          <w:color w:val="0070C0"/>
          <w:lang w:val="fr-FR"/>
        </w:rPr>
        <w:t xml:space="preserve">As </w:t>
      </w:r>
      <w:proofErr w:type="spellStart"/>
      <w:r w:rsidRPr="004611B2">
        <w:rPr>
          <w:color w:val="0070C0"/>
          <w:lang w:val="fr-FR"/>
        </w:rPr>
        <w:t>clearly</w:t>
      </w:r>
      <w:proofErr w:type="spellEnd"/>
      <w:r w:rsidRPr="004611B2">
        <w:rPr>
          <w:color w:val="0070C0"/>
          <w:lang w:val="fr-FR"/>
        </w:rPr>
        <w:t xml:space="preserve"> </w:t>
      </w:r>
      <w:proofErr w:type="spellStart"/>
      <w:r w:rsidRPr="004611B2">
        <w:rPr>
          <w:color w:val="0070C0"/>
          <w:lang w:val="fr-FR"/>
        </w:rPr>
        <w:t>stated</w:t>
      </w:r>
      <w:proofErr w:type="spellEnd"/>
      <w:r w:rsidRPr="004611B2">
        <w:rPr>
          <w:color w:val="0070C0"/>
          <w:lang w:val="fr-FR"/>
        </w:rPr>
        <w:t xml:space="preserve"> in </w:t>
      </w:r>
      <w:r w:rsidRPr="004611B2">
        <w:rPr>
          <w:color w:val="0070C0"/>
          <w:lang/>
        </w:rPr>
        <w:t>A</w:t>
      </w:r>
      <w:proofErr w:type="spellStart"/>
      <w:r w:rsidRPr="004611B2">
        <w:rPr>
          <w:color w:val="0070C0"/>
          <w:lang w:val="fr-FR"/>
        </w:rPr>
        <w:t>rticle</w:t>
      </w:r>
      <w:proofErr w:type="spellEnd"/>
      <w:r w:rsidRPr="004611B2">
        <w:rPr>
          <w:color w:val="0070C0"/>
          <w:lang w:val="fr-FR"/>
        </w:rPr>
        <w:t xml:space="preserve"> 238, </w:t>
      </w:r>
      <w:r w:rsidRPr="004611B2">
        <w:rPr>
          <w:color w:val="0070C0"/>
        </w:rPr>
        <w:t xml:space="preserve">the notion of “positive incentive” exists when the credit protection </w:t>
      </w:r>
      <w:r w:rsidRPr="004611B2">
        <w:rPr>
          <w:color w:val="0070C0"/>
          <w:lang w:val="fr-FR"/>
        </w:rPr>
        <w:t>arrangement</w:t>
      </w:r>
      <w:r w:rsidRPr="004611B2">
        <w:rPr>
          <w:color w:val="0070C0"/>
        </w:rPr>
        <w:t xml:space="preserve"> provides for </w:t>
      </w:r>
      <w:r w:rsidRPr="004611B2">
        <w:rPr>
          <w:color w:val="0070C0"/>
          <w:lang w:val="fr-FR"/>
        </w:rPr>
        <w:t xml:space="preserve">an </w:t>
      </w:r>
      <w:proofErr w:type="spellStart"/>
      <w:r w:rsidRPr="004611B2">
        <w:rPr>
          <w:color w:val="0070C0"/>
          <w:lang w:val="fr-FR"/>
        </w:rPr>
        <w:t>incentive</w:t>
      </w:r>
      <w:proofErr w:type="spellEnd"/>
      <w:r w:rsidRPr="004611B2">
        <w:rPr>
          <w:color w:val="0070C0"/>
          <w:lang w:val="fr-FR"/>
        </w:rPr>
        <w:t xml:space="preserve"> – </w:t>
      </w:r>
      <w:proofErr w:type="spellStart"/>
      <w:r w:rsidRPr="004611B2">
        <w:rPr>
          <w:color w:val="0070C0"/>
          <w:lang w:val="fr-FR"/>
        </w:rPr>
        <w:t>like</w:t>
      </w:r>
      <w:proofErr w:type="spellEnd"/>
      <w:r w:rsidRPr="004611B2">
        <w:rPr>
          <w:color w:val="0070C0"/>
          <w:lang w:val="fr-FR"/>
        </w:rPr>
        <w:t xml:space="preserve"> </w:t>
      </w:r>
      <w:r w:rsidRPr="004611B2">
        <w:rPr>
          <w:color w:val="0070C0"/>
        </w:rPr>
        <w:t xml:space="preserve">an increase in the premium </w:t>
      </w:r>
      <w:r w:rsidRPr="004611B2">
        <w:rPr>
          <w:color w:val="0070C0"/>
          <w:lang w:val="fr-FR"/>
        </w:rPr>
        <w:t xml:space="preserve">- </w:t>
      </w:r>
      <w:r w:rsidRPr="004611B2">
        <w:rPr>
          <w:color w:val="0070C0"/>
        </w:rPr>
        <w:t xml:space="preserve">at a certain time. On the contrary, the fact that the economics of the transaction deteriorate because of the amortization of the </w:t>
      </w:r>
      <w:proofErr w:type="gramStart"/>
      <w:r w:rsidRPr="004611B2">
        <w:rPr>
          <w:color w:val="0070C0"/>
        </w:rPr>
        <w:t>portfolio</w:t>
      </w:r>
      <w:proofErr w:type="gramEnd"/>
      <w:r w:rsidRPr="004611B2">
        <w:rPr>
          <w:color w:val="0070C0"/>
        </w:rPr>
        <w:t xml:space="preserve"> or the improvement of its credit quality does not constitute a positive incentive since this positive incentive does not exist, for example, if credit quality deteriorates.</w:t>
      </w:r>
    </w:p>
    <w:p w14:paraId="5A3369B4" w14:textId="77777777" w:rsidR="00A35D8C" w:rsidRPr="004611B2" w:rsidRDefault="00A35D8C" w:rsidP="00A35D8C">
      <w:pPr>
        <w:ind w:left="284"/>
        <w:jc w:val="both"/>
        <w:rPr>
          <w:color w:val="0070C0"/>
        </w:rPr>
      </w:pPr>
    </w:p>
    <w:p w14:paraId="016AF3AA" w14:textId="77777777" w:rsidR="00A35D8C" w:rsidRDefault="00A35D8C" w:rsidP="00A35D8C">
      <w:pPr>
        <w:ind w:left="284"/>
        <w:jc w:val="both"/>
        <w:rPr>
          <w:color w:val="0070C0"/>
          <w:lang w:val="nl-BE"/>
        </w:rPr>
      </w:pPr>
      <w:r w:rsidRPr="004611B2">
        <w:rPr>
          <w:color w:val="0070C0"/>
        </w:rPr>
        <w:t>We therefore propose that</w:t>
      </w:r>
      <w:r w:rsidRPr="004611B2">
        <w:rPr>
          <w:color w:val="0070C0"/>
          <w:lang/>
        </w:rPr>
        <w:t xml:space="preserve">, </w:t>
      </w:r>
      <w:r w:rsidRPr="004611B2">
        <w:rPr>
          <w:color w:val="0070C0"/>
        </w:rPr>
        <w:t xml:space="preserve">unless the non-exercise of a time call </w:t>
      </w:r>
      <w:proofErr w:type="gramStart"/>
      <w:r w:rsidRPr="004611B2">
        <w:rPr>
          <w:color w:val="0070C0"/>
        </w:rPr>
        <w:t>has an effect on</w:t>
      </w:r>
      <w:proofErr w:type="gramEnd"/>
      <w:r w:rsidRPr="004611B2">
        <w:rPr>
          <w:color w:val="0070C0"/>
        </w:rPr>
        <w:t xml:space="preserve"> the contractual terms going forward, </w:t>
      </w:r>
      <w:r w:rsidRPr="004611B2">
        <w:rPr>
          <w:b/>
          <w:bCs/>
          <w:color w:val="0070C0"/>
        </w:rPr>
        <w:t xml:space="preserve">the existence of a time call should not be seen as creating a positive incentive to call, regardless of whether the economics of the transaction may have deteriorated since the closing date. </w:t>
      </w:r>
      <w:r w:rsidRPr="004611B2">
        <w:rPr>
          <w:color w:val="0070C0"/>
          <w:lang w:val="nl-BE"/>
        </w:rPr>
        <w:t>This point should be clarified in CRR.</w:t>
      </w:r>
    </w:p>
    <w:p w14:paraId="7F1268FE" w14:textId="77777777" w:rsidR="00A35D8C" w:rsidRDefault="00A35D8C" w:rsidP="00A35D8C">
      <w:pPr>
        <w:ind w:left="284"/>
        <w:jc w:val="both"/>
        <w:rPr>
          <w:color w:val="0070C0"/>
          <w:lang w:val="nl-BE"/>
        </w:rPr>
      </w:pPr>
    </w:p>
    <w:p w14:paraId="3D2CFC30" w14:textId="77777777" w:rsidR="00A35D8C" w:rsidRPr="00A35D8C" w:rsidRDefault="00A35D8C" w:rsidP="00A35D8C">
      <w:pPr>
        <w:rPr>
          <w:rFonts w:ascii="Times New Roman" w:hAnsi="Times New Roman" w:cs="Times New Roman"/>
          <w:b/>
          <w:bCs/>
          <w:sz w:val="28"/>
          <w:szCs w:val="28"/>
        </w:rPr>
      </w:pPr>
    </w:p>
    <w:p w14:paraId="1FC67008" w14:textId="07C645DB" w:rsidR="00A35D8C" w:rsidRDefault="00A35D8C"/>
    <w:sectPr w:rsidR="00A35D8C" w:rsidSect="00435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D39EA"/>
    <w:multiLevelType w:val="hybridMultilevel"/>
    <w:tmpl w:val="E21E2E7E"/>
    <w:lvl w:ilvl="0" w:tplc="20000001">
      <w:start w:val="1"/>
      <w:numFmt w:val="bullet"/>
      <w:lvlText w:val=""/>
      <w:lvlJc w:val="left"/>
      <w:pPr>
        <w:ind w:left="644" w:hanging="360"/>
      </w:pPr>
      <w:rPr>
        <w:rFonts w:ascii="Symbol" w:hAnsi="Symbol" w:hint="default"/>
      </w:rPr>
    </w:lvl>
    <w:lvl w:ilvl="1" w:tplc="20000003" w:tentative="1">
      <w:start w:val="1"/>
      <w:numFmt w:val="bullet"/>
      <w:lvlText w:val="o"/>
      <w:lvlJc w:val="left"/>
      <w:pPr>
        <w:ind w:left="1364" w:hanging="360"/>
      </w:pPr>
      <w:rPr>
        <w:rFonts w:ascii="Courier New" w:hAnsi="Courier New" w:cs="Courier New"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abstractNum w:abstractNumId="1" w15:restartNumberingAfterBreak="0">
    <w:nsid w:val="3CD168E8"/>
    <w:multiLevelType w:val="hybridMultilevel"/>
    <w:tmpl w:val="F2728F46"/>
    <w:lvl w:ilvl="0" w:tplc="67DE2F80">
      <w:numFmt w:val="bullet"/>
      <w:lvlText w:val="-"/>
      <w:lvlJc w:val="left"/>
      <w:pPr>
        <w:ind w:left="360" w:hanging="360"/>
      </w:pPr>
      <w:rPr>
        <w:rFonts w:ascii="Times New Roman" w:eastAsia="Times New Roman" w:hAnsi="Times New Roman" w:cs="Times New Roman" w:hint="default"/>
      </w:rPr>
    </w:lvl>
    <w:lvl w:ilvl="1" w:tplc="49F216DA">
      <w:numFmt w:val="bullet"/>
      <w:lvlText w:val="•"/>
      <w:lvlJc w:val="left"/>
      <w:pPr>
        <w:ind w:left="1080" w:hanging="360"/>
      </w:pPr>
      <w:rPr>
        <w:rFonts w:ascii="Times New Roman" w:eastAsia="Times New Roman" w:hAnsi="Times New Roman" w:cs="Times New Roman" w:hint="default"/>
      </w:rPr>
    </w:lvl>
    <w:lvl w:ilvl="2" w:tplc="67DE2F80">
      <w:numFmt w:val="bullet"/>
      <w:lvlText w:val="-"/>
      <w:lvlJc w:val="left"/>
      <w:pPr>
        <w:ind w:left="1800" w:hanging="360"/>
      </w:pPr>
      <w:rPr>
        <w:rFonts w:ascii="Times New Roman" w:eastAsia="Times New Roman" w:hAnsi="Times New Roman" w:cs="Times New Roman" w:hint="default"/>
      </w:rPr>
    </w:lvl>
    <w:lvl w:ilvl="3" w:tplc="20000003">
      <w:start w:val="1"/>
      <w:numFmt w:val="bullet"/>
      <w:lvlText w:val="o"/>
      <w:lvlJc w:val="left"/>
      <w:pPr>
        <w:ind w:left="2520" w:hanging="360"/>
      </w:pPr>
      <w:rPr>
        <w:rFonts w:ascii="Courier New" w:hAnsi="Courier New" w:cs="Courier New"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2" w15:restartNumberingAfterBreak="0">
    <w:nsid w:val="46AC0036"/>
    <w:multiLevelType w:val="hybridMultilevel"/>
    <w:tmpl w:val="26447334"/>
    <w:lvl w:ilvl="0" w:tplc="61F0CA38">
      <w:start w:val="7"/>
      <w:numFmt w:val="bullet"/>
      <w:lvlText w:val="-"/>
      <w:lvlJc w:val="left"/>
      <w:pPr>
        <w:ind w:left="644" w:hanging="360"/>
      </w:pPr>
      <w:rPr>
        <w:rFonts w:ascii="Times New Roman" w:eastAsia="Times New Roman" w:hAnsi="Times New Roman" w:cs="Times New Roman" w:hint="default"/>
        <w:sz w:val="24"/>
      </w:rPr>
    </w:lvl>
    <w:lvl w:ilvl="1" w:tplc="20000003" w:tentative="1">
      <w:start w:val="1"/>
      <w:numFmt w:val="bullet"/>
      <w:lvlText w:val="o"/>
      <w:lvlJc w:val="left"/>
      <w:pPr>
        <w:ind w:left="1364" w:hanging="360"/>
      </w:pPr>
      <w:rPr>
        <w:rFonts w:ascii="Courier New" w:hAnsi="Courier New" w:cs="Courier New"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abstractNum w:abstractNumId="3" w15:restartNumberingAfterBreak="0">
    <w:nsid w:val="486E623A"/>
    <w:multiLevelType w:val="hybridMultilevel"/>
    <w:tmpl w:val="B44C6E3C"/>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C2777A"/>
    <w:multiLevelType w:val="hybridMultilevel"/>
    <w:tmpl w:val="65282D4E"/>
    <w:lvl w:ilvl="0" w:tplc="58205D1C">
      <w:start w:val="1"/>
      <w:numFmt w:val="decimal"/>
      <w:lvlText w:val="%1."/>
      <w:lvlJc w:val="left"/>
      <w:pPr>
        <w:ind w:left="480" w:hanging="480"/>
      </w:pPr>
      <w:rPr>
        <w:rFonts w:ascii="Times New Roman" w:hAnsi="Times New Roman" w:cs="Times New Roman" w:hint="default"/>
        <w:b/>
        <w:bCs/>
        <w:i w:val="0"/>
        <w:iCs w:val="0"/>
        <w:color w:val="auto"/>
        <w:w w:val="100"/>
        <w:sz w:val="24"/>
        <w:szCs w:val="24"/>
        <w:lang w:val="en-GB" w:eastAsia="en-US" w:bidi="ar-SA"/>
      </w:rPr>
    </w:lvl>
    <w:lvl w:ilvl="1" w:tplc="DF36B01A">
      <w:start w:val="1"/>
      <w:numFmt w:val="upperRoman"/>
      <w:lvlText w:val="%2."/>
      <w:lvlJc w:val="left"/>
      <w:pPr>
        <w:ind w:left="1022" w:hanging="497"/>
        <w:jc w:val="right"/>
      </w:pPr>
      <w:rPr>
        <w:rFonts w:ascii="Times New Roman" w:eastAsia="Times New Roman" w:hAnsi="Times New Roman" w:cs="Times New Roman" w:hint="default"/>
        <w:b w:val="0"/>
        <w:bCs w:val="0"/>
        <w:i w:val="0"/>
        <w:iCs w:val="0"/>
        <w:spacing w:val="-4"/>
        <w:w w:val="100"/>
        <w:sz w:val="24"/>
        <w:szCs w:val="24"/>
        <w:lang w:val="en-GB" w:eastAsia="en-US" w:bidi="ar-SA"/>
      </w:rPr>
    </w:lvl>
    <w:lvl w:ilvl="2" w:tplc="72B02F4E">
      <w:numFmt w:val="bullet"/>
      <w:lvlText w:val="•"/>
      <w:lvlJc w:val="left"/>
      <w:pPr>
        <w:ind w:left="1934" w:hanging="497"/>
      </w:pPr>
      <w:rPr>
        <w:rFonts w:hint="default"/>
        <w:lang w:val="en-GB" w:eastAsia="en-US" w:bidi="ar-SA"/>
      </w:rPr>
    </w:lvl>
    <w:lvl w:ilvl="3" w:tplc="1CAEA8F8">
      <w:numFmt w:val="bullet"/>
      <w:lvlText w:val="•"/>
      <w:lvlJc w:val="left"/>
      <w:pPr>
        <w:ind w:left="2848" w:hanging="497"/>
      </w:pPr>
      <w:rPr>
        <w:rFonts w:hint="default"/>
        <w:lang w:val="en-GB" w:eastAsia="en-US" w:bidi="ar-SA"/>
      </w:rPr>
    </w:lvl>
    <w:lvl w:ilvl="4" w:tplc="A0A67E46">
      <w:numFmt w:val="bullet"/>
      <w:lvlText w:val="•"/>
      <w:lvlJc w:val="left"/>
      <w:pPr>
        <w:ind w:left="3762" w:hanging="497"/>
      </w:pPr>
      <w:rPr>
        <w:rFonts w:hint="default"/>
        <w:lang w:val="en-GB" w:eastAsia="en-US" w:bidi="ar-SA"/>
      </w:rPr>
    </w:lvl>
    <w:lvl w:ilvl="5" w:tplc="C2B64F42">
      <w:numFmt w:val="bullet"/>
      <w:lvlText w:val="•"/>
      <w:lvlJc w:val="left"/>
      <w:pPr>
        <w:ind w:left="4676" w:hanging="497"/>
      </w:pPr>
      <w:rPr>
        <w:rFonts w:hint="default"/>
        <w:lang w:val="en-GB" w:eastAsia="en-US" w:bidi="ar-SA"/>
      </w:rPr>
    </w:lvl>
    <w:lvl w:ilvl="6" w:tplc="16DC3842">
      <w:numFmt w:val="bullet"/>
      <w:lvlText w:val="•"/>
      <w:lvlJc w:val="left"/>
      <w:pPr>
        <w:ind w:left="5590" w:hanging="497"/>
      </w:pPr>
      <w:rPr>
        <w:rFonts w:hint="default"/>
        <w:lang w:val="en-GB" w:eastAsia="en-US" w:bidi="ar-SA"/>
      </w:rPr>
    </w:lvl>
    <w:lvl w:ilvl="7" w:tplc="9B56AD76">
      <w:numFmt w:val="bullet"/>
      <w:lvlText w:val="•"/>
      <w:lvlJc w:val="left"/>
      <w:pPr>
        <w:ind w:left="6504" w:hanging="497"/>
      </w:pPr>
      <w:rPr>
        <w:rFonts w:hint="default"/>
        <w:lang w:val="en-GB" w:eastAsia="en-US" w:bidi="ar-SA"/>
      </w:rPr>
    </w:lvl>
    <w:lvl w:ilvl="8" w:tplc="23C0CB38">
      <w:numFmt w:val="bullet"/>
      <w:lvlText w:val="•"/>
      <w:lvlJc w:val="left"/>
      <w:pPr>
        <w:ind w:left="7418" w:hanging="497"/>
      </w:pPr>
      <w:rPr>
        <w:rFonts w:hint="default"/>
        <w:lang w:val="en-GB" w:eastAsia="en-US" w:bidi="ar-SA"/>
      </w:rPr>
    </w:lvl>
  </w:abstractNum>
  <w:abstractNum w:abstractNumId="5" w15:restartNumberingAfterBreak="0">
    <w:nsid w:val="53CD32AE"/>
    <w:multiLevelType w:val="hybridMultilevel"/>
    <w:tmpl w:val="3A2E80F8"/>
    <w:lvl w:ilvl="0" w:tplc="20000001">
      <w:start w:val="1"/>
      <w:numFmt w:val="bullet"/>
      <w:lvlText w:val=""/>
      <w:lvlJc w:val="left"/>
      <w:pPr>
        <w:ind w:left="644" w:hanging="360"/>
      </w:pPr>
      <w:rPr>
        <w:rFonts w:ascii="Symbol" w:hAnsi="Symbol" w:hint="default"/>
      </w:rPr>
    </w:lvl>
    <w:lvl w:ilvl="1" w:tplc="20000003" w:tentative="1">
      <w:start w:val="1"/>
      <w:numFmt w:val="bullet"/>
      <w:lvlText w:val="o"/>
      <w:lvlJc w:val="left"/>
      <w:pPr>
        <w:ind w:left="1364" w:hanging="360"/>
      </w:pPr>
      <w:rPr>
        <w:rFonts w:ascii="Courier New" w:hAnsi="Courier New" w:cs="Courier New"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abstractNum w:abstractNumId="6" w15:restartNumberingAfterBreak="0">
    <w:nsid w:val="57970A28"/>
    <w:multiLevelType w:val="hybridMultilevel"/>
    <w:tmpl w:val="6F8A6460"/>
    <w:lvl w:ilvl="0" w:tplc="8EDE86AA">
      <w:start w:val="4"/>
      <w:numFmt w:val="decimal"/>
      <w:lvlText w:val="%1."/>
      <w:lvlJc w:val="left"/>
      <w:pPr>
        <w:ind w:left="360" w:hanging="360"/>
      </w:pPr>
    </w:lvl>
    <w:lvl w:ilvl="1" w:tplc="61F0CA38">
      <w:start w:val="7"/>
      <w:numFmt w:val="bullet"/>
      <w:lvlText w:val="-"/>
      <w:lvlJc w:val="left"/>
      <w:pPr>
        <w:ind w:left="720" w:hanging="360"/>
      </w:pPr>
      <w:rPr>
        <w:rFonts w:ascii="Times New Roman" w:eastAsia="Times New Roman" w:hAnsi="Times New Roman" w:cs="Times New Roman" w:hint="default"/>
        <w:sz w:val="24"/>
      </w:rPr>
    </w:lvl>
    <w:lvl w:ilvl="2" w:tplc="2000001B">
      <w:start w:val="1"/>
      <w:numFmt w:val="lowerRoman"/>
      <w:lvlText w:val="%3."/>
      <w:lvlJc w:val="right"/>
      <w:pPr>
        <w:ind w:left="1440" w:hanging="180"/>
      </w:pPr>
    </w:lvl>
    <w:lvl w:ilvl="3" w:tplc="2000000F">
      <w:start w:val="1"/>
      <w:numFmt w:val="decimal"/>
      <w:lvlText w:val="%4."/>
      <w:lvlJc w:val="left"/>
      <w:pPr>
        <w:ind w:left="2160" w:hanging="360"/>
      </w:pPr>
    </w:lvl>
    <w:lvl w:ilvl="4" w:tplc="20000019">
      <w:start w:val="1"/>
      <w:numFmt w:val="lowerLetter"/>
      <w:lvlText w:val="%5."/>
      <w:lvlJc w:val="left"/>
      <w:pPr>
        <w:ind w:left="2880" w:hanging="360"/>
      </w:pPr>
    </w:lvl>
    <w:lvl w:ilvl="5" w:tplc="2000001B">
      <w:start w:val="1"/>
      <w:numFmt w:val="lowerRoman"/>
      <w:lvlText w:val="%6."/>
      <w:lvlJc w:val="right"/>
      <w:pPr>
        <w:ind w:left="3600" w:hanging="180"/>
      </w:pPr>
    </w:lvl>
    <w:lvl w:ilvl="6" w:tplc="2000000F">
      <w:start w:val="1"/>
      <w:numFmt w:val="decimal"/>
      <w:lvlText w:val="%7."/>
      <w:lvlJc w:val="left"/>
      <w:pPr>
        <w:ind w:left="4320" w:hanging="360"/>
      </w:pPr>
    </w:lvl>
    <w:lvl w:ilvl="7" w:tplc="20000019">
      <w:start w:val="1"/>
      <w:numFmt w:val="lowerLetter"/>
      <w:lvlText w:val="%8."/>
      <w:lvlJc w:val="left"/>
      <w:pPr>
        <w:ind w:left="5040" w:hanging="360"/>
      </w:pPr>
    </w:lvl>
    <w:lvl w:ilvl="8" w:tplc="2000001B">
      <w:start w:val="1"/>
      <w:numFmt w:val="lowerRoman"/>
      <w:lvlText w:val="%9."/>
      <w:lvlJc w:val="right"/>
      <w:pPr>
        <w:ind w:left="5760" w:hanging="180"/>
      </w:pPr>
    </w:lvl>
  </w:abstractNum>
  <w:abstractNum w:abstractNumId="7" w15:restartNumberingAfterBreak="0">
    <w:nsid w:val="59EE5B95"/>
    <w:multiLevelType w:val="hybridMultilevel"/>
    <w:tmpl w:val="5D365DFE"/>
    <w:lvl w:ilvl="0" w:tplc="20000001">
      <w:start w:val="1"/>
      <w:numFmt w:val="bullet"/>
      <w:lvlText w:val=""/>
      <w:lvlJc w:val="left"/>
      <w:pPr>
        <w:ind w:left="644" w:hanging="360"/>
      </w:pPr>
      <w:rPr>
        <w:rFonts w:ascii="Symbol" w:hAnsi="Symbol" w:hint="default"/>
        <w:sz w:val="24"/>
      </w:rPr>
    </w:lvl>
    <w:lvl w:ilvl="1" w:tplc="20000003" w:tentative="1">
      <w:start w:val="1"/>
      <w:numFmt w:val="bullet"/>
      <w:lvlText w:val="o"/>
      <w:lvlJc w:val="left"/>
      <w:pPr>
        <w:ind w:left="1416" w:hanging="360"/>
      </w:pPr>
      <w:rPr>
        <w:rFonts w:ascii="Courier New" w:hAnsi="Courier New" w:cs="Courier New" w:hint="default"/>
      </w:rPr>
    </w:lvl>
    <w:lvl w:ilvl="2" w:tplc="20000005" w:tentative="1">
      <w:start w:val="1"/>
      <w:numFmt w:val="bullet"/>
      <w:lvlText w:val=""/>
      <w:lvlJc w:val="left"/>
      <w:pPr>
        <w:ind w:left="2136" w:hanging="360"/>
      </w:pPr>
      <w:rPr>
        <w:rFonts w:ascii="Wingdings" w:hAnsi="Wingdings" w:hint="default"/>
      </w:rPr>
    </w:lvl>
    <w:lvl w:ilvl="3" w:tplc="20000001" w:tentative="1">
      <w:start w:val="1"/>
      <w:numFmt w:val="bullet"/>
      <w:lvlText w:val=""/>
      <w:lvlJc w:val="left"/>
      <w:pPr>
        <w:ind w:left="2856" w:hanging="360"/>
      </w:pPr>
      <w:rPr>
        <w:rFonts w:ascii="Symbol" w:hAnsi="Symbol" w:hint="default"/>
      </w:rPr>
    </w:lvl>
    <w:lvl w:ilvl="4" w:tplc="20000003" w:tentative="1">
      <w:start w:val="1"/>
      <w:numFmt w:val="bullet"/>
      <w:lvlText w:val="o"/>
      <w:lvlJc w:val="left"/>
      <w:pPr>
        <w:ind w:left="3576" w:hanging="360"/>
      </w:pPr>
      <w:rPr>
        <w:rFonts w:ascii="Courier New" w:hAnsi="Courier New" w:cs="Courier New" w:hint="default"/>
      </w:rPr>
    </w:lvl>
    <w:lvl w:ilvl="5" w:tplc="20000005" w:tentative="1">
      <w:start w:val="1"/>
      <w:numFmt w:val="bullet"/>
      <w:lvlText w:val=""/>
      <w:lvlJc w:val="left"/>
      <w:pPr>
        <w:ind w:left="4296" w:hanging="360"/>
      </w:pPr>
      <w:rPr>
        <w:rFonts w:ascii="Wingdings" w:hAnsi="Wingdings" w:hint="default"/>
      </w:rPr>
    </w:lvl>
    <w:lvl w:ilvl="6" w:tplc="20000001" w:tentative="1">
      <w:start w:val="1"/>
      <w:numFmt w:val="bullet"/>
      <w:lvlText w:val=""/>
      <w:lvlJc w:val="left"/>
      <w:pPr>
        <w:ind w:left="5016" w:hanging="360"/>
      </w:pPr>
      <w:rPr>
        <w:rFonts w:ascii="Symbol" w:hAnsi="Symbol" w:hint="default"/>
      </w:rPr>
    </w:lvl>
    <w:lvl w:ilvl="7" w:tplc="20000003" w:tentative="1">
      <w:start w:val="1"/>
      <w:numFmt w:val="bullet"/>
      <w:lvlText w:val="o"/>
      <w:lvlJc w:val="left"/>
      <w:pPr>
        <w:ind w:left="5736" w:hanging="360"/>
      </w:pPr>
      <w:rPr>
        <w:rFonts w:ascii="Courier New" w:hAnsi="Courier New" w:cs="Courier New" w:hint="default"/>
      </w:rPr>
    </w:lvl>
    <w:lvl w:ilvl="8" w:tplc="20000005" w:tentative="1">
      <w:start w:val="1"/>
      <w:numFmt w:val="bullet"/>
      <w:lvlText w:val=""/>
      <w:lvlJc w:val="left"/>
      <w:pPr>
        <w:ind w:left="6456" w:hanging="360"/>
      </w:pPr>
      <w:rPr>
        <w:rFonts w:ascii="Wingdings" w:hAnsi="Wingdings" w:hint="default"/>
      </w:rPr>
    </w:lvl>
  </w:abstractNum>
  <w:abstractNum w:abstractNumId="8" w15:restartNumberingAfterBreak="0">
    <w:nsid w:val="5BF0477F"/>
    <w:multiLevelType w:val="hybridMultilevel"/>
    <w:tmpl w:val="8AF42BCC"/>
    <w:lvl w:ilvl="0" w:tplc="280CC880">
      <w:start w:val="1"/>
      <w:numFmt w:val="lowerLetter"/>
      <w:lvlText w:val="%1)"/>
      <w:lvlJc w:val="left"/>
      <w:pPr>
        <w:ind w:left="360" w:hanging="360"/>
      </w:pPr>
      <w:rPr>
        <w:rFonts w:hint="default"/>
        <w:b w:val="0"/>
        <w:i w:val="0"/>
      </w:rPr>
    </w:lvl>
    <w:lvl w:ilvl="1" w:tplc="67DE2F80">
      <w:numFmt w:val="bullet"/>
      <w:lvlText w:val="-"/>
      <w:lvlJc w:val="left"/>
      <w:pPr>
        <w:ind w:left="1080" w:hanging="360"/>
      </w:pPr>
      <w:rPr>
        <w:rFonts w:ascii="Times New Roman" w:eastAsia="Times New Roman" w:hAnsi="Times New Roman" w:cs="Times New Roman"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9" w15:restartNumberingAfterBreak="0">
    <w:nsid w:val="5EE65611"/>
    <w:multiLevelType w:val="hybridMultilevel"/>
    <w:tmpl w:val="A9D8756A"/>
    <w:lvl w:ilvl="0" w:tplc="20000017">
      <w:start w:val="1"/>
      <w:numFmt w:val="lowerLetter"/>
      <w:lvlText w:val="%1)"/>
      <w:lvlJc w:val="left"/>
      <w:pPr>
        <w:ind w:left="669" w:hanging="360"/>
      </w:pPr>
    </w:lvl>
    <w:lvl w:ilvl="1" w:tplc="20000019" w:tentative="1">
      <w:start w:val="1"/>
      <w:numFmt w:val="lowerLetter"/>
      <w:lvlText w:val="%2."/>
      <w:lvlJc w:val="left"/>
      <w:pPr>
        <w:ind w:left="1389" w:hanging="360"/>
      </w:pPr>
    </w:lvl>
    <w:lvl w:ilvl="2" w:tplc="2000001B" w:tentative="1">
      <w:start w:val="1"/>
      <w:numFmt w:val="lowerRoman"/>
      <w:lvlText w:val="%3."/>
      <w:lvlJc w:val="right"/>
      <w:pPr>
        <w:ind w:left="2109" w:hanging="180"/>
      </w:pPr>
    </w:lvl>
    <w:lvl w:ilvl="3" w:tplc="2000000F" w:tentative="1">
      <w:start w:val="1"/>
      <w:numFmt w:val="decimal"/>
      <w:lvlText w:val="%4."/>
      <w:lvlJc w:val="left"/>
      <w:pPr>
        <w:ind w:left="2829" w:hanging="360"/>
      </w:pPr>
    </w:lvl>
    <w:lvl w:ilvl="4" w:tplc="20000019" w:tentative="1">
      <w:start w:val="1"/>
      <w:numFmt w:val="lowerLetter"/>
      <w:lvlText w:val="%5."/>
      <w:lvlJc w:val="left"/>
      <w:pPr>
        <w:ind w:left="3549" w:hanging="360"/>
      </w:pPr>
    </w:lvl>
    <w:lvl w:ilvl="5" w:tplc="2000001B" w:tentative="1">
      <w:start w:val="1"/>
      <w:numFmt w:val="lowerRoman"/>
      <w:lvlText w:val="%6."/>
      <w:lvlJc w:val="right"/>
      <w:pPr>
        <w:ind w:left="4269" w:hanging="180"/>
      </w:pPr>
    </w:lvl>
    <w:lvl w:ilvl="6" w:tplc="2000000F" w:tentative="1">
      <w:start w:val="1"/>
      <w:numFmt w:val="decimal"/>
      <w:lvlText w:val="%7."/>
      <w:lvlJc w:val="left"/>
      <w:pPr>
        <w:ind w:left="4989" w:hanging="360"/>
      </w:pPr>
    </w:lvl>
    <w:lvl w:ilvl="7" w:tplc="20000019" w:tentative="1">
      <w:start w:val="1"/>
      <w:numFmt w:val="lowerLetter"/>
      <w:lvlText w:val="%8."/>
      <w:lvlJc w:val="left"/>
      <w:pPr>
        <w:ind w:left="5709" w:hanging="360"/>
      </w:pPr>
    </w:lvl>
    <w:lvl w:ilvl="8" w:tplc="2000001B" w:tentative="1">
      <w:start w:val="1"/>
      <w:numFmt w:val="lowerRoman"/>
      <w:lvlText w:val="%9."/>
      <w:lvlJc w:val="right"/>
      <w:pPr>
        <w:ind w:left="6429" w:hanging="180"/>
      </w:pPr>
    </w:lvl>
  </w:abstractNum>
  <w:abstractNum w:abstractNumId="10" w15:restartNumberingAfterBreak="0">
    <w:nsid w:val="647F3648"/>
    <w:multiLevelType w:val="hybridMultilevel"/>
    <w:tmpl w:val="3D58A4A8"/>
    <w:lvl w:ilvl="0" w:tplc="61F0CA38">
      <w:start w:val="7"/>
      <w:numFmt w:val="bullet"/>
      <w:lvlText w:val="-"/>
      <w:lvlJc w:val="left"/>
      <w:pPr>
        <w:ind w:left="668" w:hanging="360"/>
      </w:pPr>
      <w:rPr>
        <w:rFonts w:ascii="Times New Roman" w:eastAsia="Times New Roman" w:hAnsi="Times New Roman" w:cs="Times New Roman" w:hint="default"/>
        <w:sz w:val="24"/>
      </w:rPr>
    </w:lvl>
    <w:lvl w:ilvl="1" w:tplc="080C0003">
      <w:start w:val="1"/>
      <w:numFmt w:val="bullet"/>
      <w:lvlText w:val="o"/>
      <w:lvlJc w:val="left"/>
      <w:pPr>
        <w:ind w:left="1388" w:hanging="360"/>
      </w:pPr>
      <w:rPr>
        <w:rFonts w:ascii="Courier New" w:hAnsi="Courier New" w:cs="Courier New" w:hint="default"/>
      </w:rPr>
    </w:lvl>
    <w:lvl w:ilvl="2" w:tplc="080C0005" w:tentative="1">
      <w:start w:val="1"/>
      <w:numFmt w:val="bullet"/>
      <w:lvlText w:val=""/>
      <w:lvlJc w:val="left"/>
      <w:pPr>
        <w:ind w:left="2108" w:hanging="360"/>
      </w:pPr>
      <w:rPr>
        <w:rFonts w:ascii="Wingdings" w:hAnsi="Wingdings" w:hint="default"/>
      </w:rPr>
    </w:lvl>
    <w:lvl w:ilvl="3" w:tplc="080C0001" w:tentative="1">
      <w:start w:val="1"/>
      <w:numFmt w:val="bullet"/>
      <w:lvlText w:val=""/>
      <w:lvlJc w:val="left"/>
      <w:pPr>
        <w:ind w:left="2828" w:hanging="360"/>
      </w:pPr>
      <w:rPr>
        <w:rFonts w:ascii="Symbol" w:hAnsi="Symbol" w:hint="default"/>
      </w:rPr>
    </w:lvl>
    <w:lvl w:ilvl="4" w:tplc="080C0003" w:tentative="1">
      <w:start w:val="1"/>
      <w:numFmt w:val="bullet"/>
      <w:lvlText w:val="o"/>
      <w:lvlJc w:val="left"/>
      <w:pPr>
        <w:ind w:left="3548" w:hanging="360"/>
      </w:pPr>
      <w:rPr>
        <w:rFonts w:ascii="Courier New" w:hAnsi="Courier New" w:cs="Courier New" w:hint="default"/>
      </w:rPr>
    </w:lvl>
    <w:lvl w:ilvl="5" w:tplc="080C0005" w:tentative="1">
      <w:start w:val="1"/>
      <w:numFmt w:val="bullet"/>
      <w:lvlText w:val=""/>
      <w:lvlJc w:val="left"/>
      <w:pPr>
        <w:ind w:left="4268" w:hanging="360"/>
      </w:pPr>
      <w:rPr>
        <w:rFonts w:ascii="Wingdings" w:hAnsi="Wingdings" w:hint="default"/>
      </w:rPr>
    </w:lvl>
    <w:lvl w:ilvl="6" w:tplc="080C0001" w:tentative="1">
      <w:start w:val="1"/>
      <w:numFmt w:val="bullet"/>
      <w:lvlText w:val=""/>
      <w:lvlJc w:val="left"/>
      <w:pPr>
        <w:ind w:left="4988" w:hanging="360"/>
      </w:pPr>
      <w:rPr>
        <w:rFonts w:ascii="Symbol" w:hAnsi="Symbol" w:hint="default"/>
      </w:rPr>
    </w:lvl>
    <w:lvl w:ilvl="7" w:tplc="080C0003" w:tentative="1">
      <w:start w:val="1"/>
      <w:numFmt w:val="bullet"/>
      <w:lvlText w:val="o"/>
      <w:lvlJc w:val="left"/>
      <w:pPr>
        <w:ind w:left="5708" w:hanging="360"/>
      </w:pPr>
      <w:rPr>
        <w:rFonts w:ascii="Courier New" w:hAnsi="Courier New" w:cs="Courier New" w:hint="default"/>
      </w:rPr>
    </w:lvl>
    <w:lvl w:ilvl="8" w:tplc="080C0005" w:tentative="1">
      <w:start w:val="1"/>
      <w:numFmt w:val="bullet"/>
      <w:lvlText w:val=""/>
      <w:lvlJc w:val="left"/>
      <w:pPr>
        <w:ind w:left="6428" w:hanging="360"/>
      </w:pPr>
      <w:rPr>
        <w:rFonts w:ascii="Wingdings" w:hAnsi="Wingdings" w:hint="default"/>
      </w:rPr>
    </w:lvl>
  </w:abstractNum>
  <w:abstractNum w:abstractNumId="11" w15:restartNumberingAfterBreak="0">
    <w:nsid w:val="6B8645F0"/>
    <w:multiLevelType w:val="hybridMultilevel"/>
    <w:tmpl w:val="A5428606"/>
    <w:lvl w:ilvl="0" w:tplc="20000001">
      <w:start w:val="1"/>
      <w:numFmt w:val="bullet"/>
      <w:lvlText w:val=""/>
      <w:lvlJc w:val="left"/>
      <w:pPr>
        <w:ind w:left="360" w:hanging="360"/>
      </w:pPr>
      <w:rPr>
        <w:rFonts w:ascii="Symbol" w:hAnsi="Symbol" w:hint="default"/>
        <w:sz w:val="24"/>
      </w:rPr>
    </w:lvl>
    <w:lvl w:ilvl="1" w:tplc="20000003" w:tentative="1">
      <w:start w:val="1"/>
      <w:numFmt w:val="bullet"/>
      <w:lvlText w:val="o"/>
      <w:lvlJc w:val="left"/>
      <w:pPr>
        <w:ind w:left="1132" w:hanging="360"/>
      </w:pPr>
      <w:rPr>
        <w:rFonts w:ascii="Courier New" w:hAnsi="Courier New" w:cs="Courier New" w:hint="default"/>
      </w:rPr>
    </w:lvl>
    <w:lvl w:ilvl="2" w:tplc="20000005" w:tentative="1">
      <w:start w:val="1"/>
      <w:numFmt w:val="bullet"/>
      <w:lvlText w:val=""/>
      <w:lvlJc w:val="left"/>
      <w:pPr>
        <w:ind w:left="1852" w:hanging="360"/>
      </w:pPr>
      <w:rPr>
        <w:rFonts w:ascii="Wingdings" w:hAnsi="Wingdings" w:hint="default"/>
      </w:rPr>
    </w:lvl>
    <w:lvl w:ilvl="3" w:tplc="20000001" w:tentative="1">
      <w:start w:val="1"/>
      <w:numFmt w:val="bullet"/>
      <w:lvlText w:val=""/>
      <w:lvlJc w:val="left"/>
      <w:pPr>
        <w:ind w:left="2572" w:hanging="360"/>
      </w:pPr>
      <w:rPr>
        <w:rFonts w:ascii="Symbol" w:hAnsi="Symbol" w:hint="default"/>
      </w:rPr>
    </w:lvl>
    <w:lvl w:ilvl="4" w:tplc="20000003" w:tentative="1">
      <w:start w:val="1"/>
      <w:numFmt w:val="bullet"/>
      <w:lvlText w:val="o"/>
      <w:lvlJc w:val="left"/>
      <w:pPr>
        <w:ind w:left="3292" w:hanging="360"/>
      </w:pPr>
      <w:rPr>
        <w:rFonts w:ascii="Courier New" w:hAnsi="Courier New" w:cs="Courier New" w:hint="default"/>
      </w:rPr>
    </w:lvl>
    <w:lvl w:ilvl="5" w:tplc="20000005" w:tentative="1">
      <w:start w:val="1"/>
      <w:numFmt w:val="bullet"/>
      <w:lvlText w:val=""/>
      <w:lvlJc w:val="left"/>
      <w:pPr>
        <w:ind w:left="4012" w:hanging="360"/>
      </w:pPr>
      <w:rPr>
        <w:rFonts w:ascii="Wingdings" w:hAnsi="Wingdings" w:hint="default"/>
      </w:rPr>
    </w:lvl>
    <w:lvl w:ilvl="6" w:tplc="20000001" w:tentative="1">
      <w:start w:val="1"/>
      <w:numFmt w:val="bullet"/>
      <w:lvlText w:val=""/>
      <w:lvlJc w:val="left"/>
      <w:pPr>
        <w:ind w:left="4732" w:hanging="360"/>
      </w:pPr>
      <w:rPr>
        <w:rFonts w:ascii="Symbol" w:hAnsi="Symbol" w:hint="default"/>
      </w:rPr>
    </w:lvl>
    <w:lvl w:ilvl="7" w:tplc="20000003" w:tentative="1">
      <w:start w:val="1"/>
      <w:numFmt w:val="bullet"/>
      <w:lvlText w:val="o"/>
      <w:lvlJc w:val="left"/>
      <w:pPr>
        <w:ind w:left="5452" w:hanging="360"/>
      </w:pPr>
      <w:rPr>
        <w:rFonts w:ascii="Courier New" w:hAnsi="Courier New" w:cs="Courier New" w:hint="default"/>
      </w:rPr>
    </w:lvl>
    <w:lvl w:ilvl="8" w:tplc="20000005" w:tentative="1">
      <w:start w:val="1"/>
      <w:numFmt w:val="bullet"/>
      <w:lvlText w:val=""/>
      <w:lvlJc w:val="left"/>
      <w:pPr>
        <w:ind w:left="6172" w:hanging="360"/>
      </w:pPr>
      <w:rPr>
        <w:rFonts w:ascii="Wingdings" w:hAnsi="Wingdings" w:hint="default"/>
      </w:rPr>
    </w:lvl>
  </w:abstractNum>
  <w:abstractNum w:abstractNumId="12" w15:restartNumberingAfterBreak="0">
    <w:nsid w:val="703A37B6"/>
    <w:multiLevelType w:val="hybridMultilevel"/>
    <w:tmpl w:val="B4A6B4AA"/>
    <w:lvl w:ilvl="0" w:tplc="20000001">
      <w:start w:val="1"/>
      <w:numFmt w:val="bullet"/>
      <w:lvlText w:val=""/>
      <w:lvlJc w:val="left"/>
      <w:pPr>
        <w:ind w:left="360" w:hanging="360"/>
      </w:pPr>
      <w:rPr>
        <w:rFonts w:ascii="Symbol" w:hAnsi="Symbol" w:hint="default"/>
      </w:rPr>
    </w:lvl>
    <w:lvl w:ilvl="1" w:tplc="2000000F">
      <w:start w:val="1"/>
      <w:numFmt w:val="decimal"/>
      <w:lvlText w:val="%2."/>
      <w:lvlJc w:val="left"/>
      <w:pPr>
        <w:ind w:left="1080" w:hanging="360"/>
      </w:p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13" w15:restartNumberingAfterBreak="0">
    <w:nsid w:val="72626A9B"/>
    <w:multiLevelType w:val="hybridMultilevel"/>
    <w:tmpl w:val="21B0B5E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num w:numId="1">
    <w:abstractNumId w:val="4"/>
  </w:num>
  <w:num w:numId="2">
    <w:abstractNumId w:val="10"/>
  </w:num>
  <w:num w:numId="3">
    <w:abstractNumId w:val="7"/>
  </w:num>
  <w:num w:numId="4">
    <w:abstractNumId w:val="11"/>
  </w:num>
  <w:num w:numId="5">
    <w:abstractNumId w:val="9"/>
  </w:num>
  <w:num w:numId="6">
    <w:abstractNumId w:val="13"/>
  </w:num>
  <w:num w:numId="7">
    <w:abstractNumId w:val="8"/>
  </w:num>
  <w:num w:numId="8">
    <w:abstractNumId w:val="1"/>
  </w:num>
  <w:num w:numId="9">
    <w:abstractNumId w:val="12"/>
  </w:num>
  <w:num w:numId="10">
    <w:abstractNumId w:val="6"/>
  </w:num>
  <w:num w:numId="11">
    <w:abstractNumId w:val="2"/>
  </w:num>
  <w:num w:numId="12">
    <w:abstractNumId w:val="5"/>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D8C"/>
    <w:rsid w:val="000119D0"/>
    <w:rsid w:val="00016286"/>
    <w:rsid w:val="00240BCE"/>
    <w:rsid w:val="002B285F"/>
    <w:rsid w:val="002F53BE"/>
    <w:rsid w:val="00435CB8"/>
    <w:rsid w:val="00833DF4"/>
    <w:rsid w:val="00A35D8C"/>
    <w:rsid w:val="00E83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4A8E8C"/>
  <w15:chartTrackingRefBased/>
  <w15:docId w15:val="{35CBE5B6-B36C-DD41-9008-22AC9ADC6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35D8C"/>
    <w:pPr>
      <w:widowControl w:val="0"/>
      <w:autoSpaceDE w:val="0"/>
      <w:autoSpaceDN w:val="0"/>
      <w:ind w:left="789" w:hanging="481"/>
      <w:outlineLvl w:val="0"/>
    </w:pPr>
    <w:rPr>
      <w:rFonts w:ascii="Times New Roman" w:eastAsia="Times New Roman" w:hAnsi="Times New Roman"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D8C"/>
    <w:rPr>
      <w:rFonts w:ascii="Times New Roman" w:eastAsia="Times New Roman" w:hAnsi="Times New Roman" w:cs="Times New Roman"/>
      <w:b/>
      <w:bCs/>
      <w:lang w:val="en-GB"/>
    </w:rPr>
  </w:style>
  <w:style w:type="paragraph" w:styleId="BodyText">
    <w:name w:val="Body Text"/>
    <w:basedOn w:val="Normal"/>
    <w:link w:val="BodyTextChar"/>
    <w:uiPriority w:val="1"/>
    <w:qFormat/>
    <w:rsid w:val="00A35D8C"/>
    <w:pPr>
      <w:widowControl w:val="0"/>
      <w:autoSpaceDE w:val="0"/>
      <w:autoSpaceDN w:val="0"/>
    </w:pPr>
    <w:rPr>
      <w:rFonts w:ascii="Times New Roman" w:eastAsia="Times New Roman" w:hAnsi="Times New Roman" w:cs="Times New Roman"/>
      <w:lang w:val="en-GB"/>
    </w:rPr>
  </w:style>
  <w:style w:type="character" w:customStyle="1" w:styleId="BodyTextChar">
    <w:name w:val="Body Text Char"/>
    <w:basedOn w:val="DefaultParagraphFont"/>
    <w:link w:val="BodyText"/>
    <w:uiPriority w:val="1"/>
    <w:rsid w:val="00A35D8C"/>
    <w:rPr>
      <w:rFonts w:ascii="Times New Roman" w:eastAsia="Times New Roman" w:hAnsi="Times New Roman" w:cs="Times New Roman"/>
      <w:lang w:val="en-GB"/>
    </w:rPr>
  </w:style>
  <w:style w:type="table" w:styleId="TableGrid">
    <w:name w:val="Table Grid"/>
    <w:basedOn w:val="TableNormal"/>
    <w:uiPriority w:val="39"/>
    <w:rsid w:val="00A35D8C"/>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5D8C"/>
    <w:pPr>
      <w:widowControl w:val="0"/>
      <w:autoSpaceDE w:val="0"/>
      <w:autoSpaceDN w:val="0"/>
      <w:ind w:left="789" w:hanging="481"/>
    </w:pPr>
    <w:rPr>
      <w:rFonts w:ascii="Times New Roman" w:eastAsia="Times New Roman" w:hAnsi="Times New Roman"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europa.eu/info/publications/210706-sustainable-finance-strategy_en" TargetMode="External"/><Relationship Id="rId11" Type="http://schemas.openxmlformats.org/officeDocument/2006/relationships/image" Target="cid:image003.jpg@01D7A9A1.71A7A540" TargetMode="External"/><Relationship Id="rId5" Type="http://schemas.openxmlformats.org/officeDocument/2006/relationships/hyperlink" Target="https://ec.europa.eu/info/publications/210706-sustainable-finance-strategy_en"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cid:image002.jpg@01D7A9A1.71A7A540"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1"/>
          <c:tx>
            <c:v>STS SA</c:v>
          </c:tx>
          <c:spPr>
            <a:solidFill>
              <a:schemeClr val="accent2"/>
            </a:solidFill>
            <a:ln>
              <a:noFill/>
            </a:ln>
            <a:effectLst/>
          </c:spPr>
          <c:invertIfNegative val="0"/>
          <c:cat>
            <c:strRef>
              <c:f>Feuil1!$C$3:$G$3</c:f>
              <c:strCache>
                <c:ptCount val="5"/>
                <c:pt idx="0">
                  <c:v>Corporate IG</c:v>
                </c:pt>
                <c:pt idx="1">
                  <c:v>Corporate HY</c:v>
                </c:pt>
                <c:pt idx="2">
                  <c:v>Residential mortages low risk</c:v>
                </c:pt>
                <c:pt idx="3">
                  <c:v>Residential mortages high risk</c:v>
                </c:pt>
                <c:pt idx="4">
                  <c:v>Consumer loans</c:v>
                </c:pt>
              </c:strCache>
            </c:strRef>
          </c:cat>
          <c:val>
            <c:numRef>
              <c:f>Feuil1!$C$4:$G$4</c:f>
              <c:numCache>
                <c:formatCode>General</c:formatCode>
                <c:ptCount val="5"/>
                <c:pt idx="0">
                  <c:v>1.5</c:v>
                </c:pt>
                <c:pt idx="1">
                  <c:v>1.88</c:v>
                </c:pt>
                <c:pt idx="2">
                  <c:v>1.75</c:v>
                </c:pt>
                <c:pt idx="3">
                  <c:v>2.39</c:v>
                </c:pt>
                <c:pt idx="4">
                  <c:v>1.5</c:v>
                </c:pt>
              </c:numCache>
            </c:numRef>
          </c:val>
          <c:extLst>
            <c:ext xmlns:c16="http://schemas.microsoft.com/office/drawing/2014/chart" uri="{C3380CC4-5D6E-409C-BE32-E72D297353CC}">
              <c16:uniqueId val="{00000000-0BAA-AA49-B5B9-03C824EEC463}"/>
            </c:ext>
          </c:extLst>
        </c:ser>
        <c:ser>
          <c:idx val="2"/>
          <c:order val="2"/>
          <c:tx>
            <c:v>STS IRB</c:v>
          </c:tx>
          <c:spPr>
            <a:solidFill>
              <a:schemeClr val="accent3"/>
            </a:solidFill>
            <a:ln>
              <a:noFill/>
            </a:ln>
            <a:effectLst/>
          </c:spPr>
          <c:invertIfNegative val="0"/>
          <c:cat>
            <c:strRef>
              <c:f>Feuil1!$C$3:$G$3</c:f>
              <c:strCache>
                <c:ptCount val="5"/>
                <c:pt idx="0">
                  <c:v>Corporate IG</c:v>
                </c:pt>
                <c:pt idx="1">
                  <c:v>Corporate HY</c:v>
                </c:pt>
                <c:pt idx="2">
                  <c:v>Residential mortages low risk</c:v>
                </c:pt>
                <c:pt idx="3">
                  <c:v>Residential mortages high risk</c:v>
                </c:pt>
                <c:pt idx="4">
                  <c:v>Consumer loans</c:v>
                </c:pt>
              </c:strCache>
            </c:strRef>
          </c:cat>
          <c:val>
            <c:numRef>
              <c:f>Feuil1!$C$5:$G$5</c:f>
              <c:numCache>
                <c:formatCode>General</c:formatCode>
                <c:ptCount val="5"/>
                <c:pt idx="0">
                  <c:v>1.6</c:v>
                </c:pt>
                <c:pt idx="1">
                  <c:v>1.3</c:v>
                </c:pt>
                <c:pt idx="2">
                  <c:v>3.99</c:v>
                </c:pt>
                <c:pt idx="3">
                  <c:v>2.14</c:v>
                </c:pt>
                <c:pt idx="4">
                  <c:v>1.8</c:v>
                </c:pt>
              </c:numCache>
            </c:numRef>
          </c:val>
          <c:extLst>
            <c:ext xmlns:c16="http://schemas.microsoft.com/office/drawing/2014/chart" uri="{C3380CC4-5D6E-409C-BE32-E72D297353CC}">
              <c16:uniqueId val="{00000001-0BAA-AA49-B5B9-03C824EEC463}"/>
            </c:ext>
          </c:extLst>
        </c:ser>
        <c:ser>
          <c:idx val="3"/>
          <c:order val="3"/>
          <c:tx>
            <c:v>Non STS SA</c:v>
          </c:tx>
          <c:spPr>
            <a:solidFill>
              <a:schemeClr val="accent4"/>
            </a:solidFill>
            <a:ln>
              <a:noFill/>
            </a:ln>
            <a:effectLst/>
          </c:spPr>
          <c:invertIfNegative val="0"/>
          <c:cat>
            <c:strRef>
              <c:f>Feuil1!$C$3:$G$3</c:f>
              <c:strCache>
                <c:ptCount val="5"/>
                <c:pt idx="0">
                  <c:v>Corporate IG</c:v>
                </c:pt>
                <c:pt idx="1">
                  <c:v>Corporate HY</c:v>
                </c:pt>
                <c:pt idx="2">
                  <c:v>Residential mortages low risk</c:v>
                </c:pt>
                <c:pt idx="3">
                  <c:v>Residential mortages high risk</c:v>
                </c:pt>
                <c:pt idx="4">
                  <c:v>Consumer loans</c:v>
                </c:pt>
              </c:strCache>
            </c:strRef>
          </c:cat>
          <c:val>
            <c:numRef>
              <c:f>Feuil1!$C$6:$G$6</c:f>
              <c:numCache>
                <c:formatCode>General</c:formatCode>
                <c:ptCount val="5"/>
                <c:pt idx="0">
                  <c:v>2</c:v>
                </c:pt>
                <c:pt idx="1">
                  <c:v>2.5099999999999998</c:v>
                </c:pt>
                <c:pt idx="2">
                  <c:v>2.2400000000000002</c:v>
                </c:pt>
                <c:pt idx="3">
                  <c:v>3.19</c:v>
                </c:pt>
                <c:pt idx="4">
                  <c:v>2</c:v>
                </c:pt>
              </c:numCache>
            </c:numRef>
          </c:val>
          <c:extLst>
            <c:ext xmlns:c16="http://schemas.microsoft.com/office/drawing/2014/chart" uri="{C3380CC4-5D6E-409C-BE32-E72D297353CC}">
              <c16:uniqueId val="{00000002-0BAA-AA49-B5B9-03C824EEC463}"/>
            </c:ext>
          </c:extLst>
        </c:ser>
        <c:ser>
          <c:idx val="4"/>
          <c:order val="4"/>
          <c:tx>
            <c:v>Non STS IRBA</c:v>
          </c:tx>
          <c:spPr>
            <a:solidFill>
              <a:schemeClr val="accent5"/>
            </a:solidFill>
            <a:ln>
              <a:noFill/>
            </a:ln>
            <a:effectLst/>
          </c:spPr>
          <c:invertIfNegative val="0"/>
          <c:cat>
            <c:strRef>
              <c:f>Feuil1!$C$3:$G$3</c:f>
              <c:strCache>
                <c:ptCount val="5"/>
                <c:pt idx="0">
                  <c:v>Corporate IG</c:v>
                </c:pt>
                <c:pt idx="1">
                  <c:v>Corporate HY</c:v>
                </c:pt>
                <c:pt idx="2">
                  <c:v>Residential mortages low risk</c:v>
                </c:pt>
                <c:pt idx="3">
                  <c:v>Residential mortages high risk</c:v>
                </c:pt>
                <c:pt idx="4">
                  <c:v>Consumer loans</c:v>
                </c:pt>
              </c:strCache>
            </c:strRef>
          </c:cat>
          <c:val>
            <c:numRef>
              <c:f>Feuil1!$C$7:$G$7</c:f>
              <c:numCache>
                <c:formatCode>General</c:formatCode>
                <c:ptCount val="5"/>
                <c:pt idx="0">
                  <c:v>1.8</c:v>
                </c:pt>
                <c:pt idx="1">
                  <c:v>1.42</c:v>
                </c:pt>
                <c:pt idx="2">
                  <c:v>6.19</c:v>
                </c:pt>
                <c:pt idx="3">
                  <c:v>2.21</c:v>
                </c:pt>
                <c:pt idx="4">
                  <c:v>2.4700000000000002</c:v>
                </c:pt>
              </c:numCache>
            </c:numRef>
          </c:val>
          <c:extLst>
            <c:ext xmlns:c16="http://schemas.microsoft.com/office/drawing/2014/chart" uri="{C3380CC4-5D6E-409C-BE32-E72D297353CC}">
              <c16:uniqueId val="{00000003-0BAA-AA49-B5B9-03C824EEC463}"/>
            </c:ext>
          </c:extLst>
        </c:ser>
        <c:dLbls>
          <c:showLegendKey val="0"/>
          <c:showVal val="0"/>
          <c:showCatName val="0"/>
          <c:showSerName val="0"/>
          <c:showPercent val="0"/>
          <c:showBubbleSize val="0"/>
        </c:dLbls>
        <c:gapWidth val="219"/>
        <c:overlap val="-27"/>
        <c:axId val="213391120"/>
        <c:axId val="213391536"/>
        <c:extLst>
          <c:ext xmlns:c15="http://schemas.microsoft.com/office/drawing/2012/chart" uri="{02D57815-91ED-43cb-92C2-25804820EDAC}">
            <c15:filteredBarSeries>
              <c15:ser>
                <c:idx val="0"/>
                <c:order val="0"/>
                <c:tx>
                  <c:strRef>
                    <c:extLst>
                      <c:ext uri="{02D57815-91ED-43cb-92C2-25804820EDAC}">
                        <c15:formulaRef>
                          <c15:sqref>Feuil1!$C$3:$G$3</c15:sqref>
                        </c15:formulaRef>
                      </c:ext>
                    </c:extLst>
                    <c:strCache>
                      <c:ptCount val="5"/>
                      <c:pt idx="0">
                        <c:v>Corporate IG</c:v>
                      </c:pt>
                      <c:pt idx="1">
                        <c:v>Corporate HY</c:v>
                      </c:pt>
                      <c:pt idx="2">
                        <c:v>Residential mortages low risk</c:v>
                      </c:pt>
                      <c:pt idx="3">
                        <c:v>Residential mortages high risk</c:v>
                      </c:pt>
                      <c:pt idx="4">
                        <c:v>Consumer loans</c:v>
                      </c:pt>
                    </c:strCache>
                  </c:strRef>
                </c:tx>
                <c:spPr>
                  <a:solidFill>
                    <a:schemeClr val="accent1"/>
                  </a:solidFill>
                  <a:ln>
                    <a:noFill/>
                  </a:ln>
                  <a:effectLst/>
                </c:spPr>
                <c:invertIfNegative val="0"/>
                <c:cat>
                  <c:strRef>
                    <c:extLst>
                      <c:ext uri="{02D57815-91ED-43cb-92C2-25804820EDAC}">
                        <c15:formulaRef>
                          <c15:sqref>Feuil1!$C$3:$G$3</c15:sqref>
                        </c15:formulaRef>
                      </c:ext>
                    </c:extLst>
                    <c:strCache>
                      <c:ptCount val="5"/>
                      <c:pt idx="0">
                        <c:v>Corporate IG</c:v>
                      </c:pt>
                      <c:pt idx="1">
                        <c:v>Corporate HY</c:v>
                      </c:pt>
                      <c:pt idx="2">
                        <c:v>Residential mortages low risk</c:v>
                      </c:pt>
                      <c:pt idx="3">
                        <c:v>Residential mortages high risk</c:v>
                      </c:pt>
                      <c:pt idx="4">
                        <c:v>Consumer loans</c:v>
                      </c:pt>
                    </c:strCache>
                  </c:strRef>
                </c:cat>
                <c:val>
                  <c:numRef>
                    <c:extLst>
                      <c:ext uri="{02D57815-91ED-43cb-92C2-25804820EDAC}">
                        <c15:formulaRef>
                          <c15:sqref>Feuil1!$C$3:$G$3</c15:sqref>
                        </c15:formulaRef>
                      </c:ext>
                    </c:extLst>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4-0BAA-AA49-B5B9-03C824EEC463}"/>
                  </c:ext>
                </c:extLst>
              </c15:ser>
            </c15:filteredBarSeries>
          </c:ext>
        </c:extLst>
      </c:barChart>
      <c:catAx>
        <c:axId val="213391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3391536"/>
        <c:crosses val="autoZero"/>
        <c:auto val="1"/>
        <c:lblAlgn val="ctr"/>
        <c:lblOffset val="100"/>
        <c:noMultiLvlLbl val="0"/>
      </c:catAx>
      <c:valAx>
        <c:axId val="2133915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33911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5672</Words>
  <Characters>32336</Characters>
  <Application>Microsoft Office Word</Application>
  <DocSecurity>0</DocSecurity>
  <Lines>269</Lines>
  <Paragraphs>75</Paragraphs>
  <ScaleCrop>false</ScaleCrop>
  <Company/>
  <LinksUpToDate>false</LinksUpToDate>
  <CharactersWithSpaces>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Bearden</dc:creator>
  <cp:keywords/>
  <dc:description/>
  <cp:lastModifiedBy>Jennifer Bearden</cp:lastModifiedBy>
  <cp:revision>1</cp:revision>
  <dcterms:created xsi:type="dcterms:W3CDTF">2021-09-16T19:19:00Z</dcterms:created>
  <dcterms:modified xsi:type="dcterms:W3CDTF">2021-09-16T19:25:00Z</dcterms:modified>
</cp:coreProperties>
</file>