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4D687" w14:textId="77777777" w:rsidR="00313090" w:rsidRPr="00722521" w:rsidRDefault="00313090" w:rsidP="00313090">
      <w:pPr>
        <w:rPr>
          <w:rFonts w:asciiTheme="minorHAnsi" w:hAnsiTheme="minorHAnsi" w:cstheme="minorHAnsi"/>
          <w:sz w:val="22"/>
          <w:szCs w:val="22"/>
        </w:rPr>
      </w:pPr>
    </w:p>
    <w:p w14:paraId="2FA4D508" w14:textId="77777777" w:rsidR="00313090" w:rsidRPr="00722521" w:rsidRDefault="00313090" w:rsidP="00313090">
      <w:pPr>
        <w:pStyle w:val="berschrift1"/>
        <w:ind w:left="0"/>
        <w:mirrorIndents/>
        <w:rPr>
          <w:rFonts w:ascii="Verdana" w:hAnsi="Verdana"/>
          <w:sz w:val="17"/>
          <w:szCs w:val="17"/>
        </w:rPr>
      </w:pPr>
      <w:r w:rsidRPr="00722521">
        <w:rPr>
          <w:rFonts w:ascii="Verdana" w:hAnsi="Verdana"/>
          <w:sz w:val="17"/>
          <w:szCs w:val="17"/>
        </w:rPr>
        <w:t>Introductory Question</w:t>
      </w:r>
    </w:p>
    <w:p w14:paraId="618D5A43" w14:textId="77777777" w:rsidR="00313090" w:rsidRPr="00722521" w:rsidRDefault="00313090" w:rsidP="00313090">
      <w:pPr>
        <w:rPr>
          <w:rFonts w:asciiTheme="minorHAnsi" w:hAnsiTheme="minorHAnsi" w:cstheme="minorHAnsi"/>
          <w:sz w:val="22"/>
          <w:szCs w:val="22"/>
        </w:rPr>
      </w:pPr>
    </w:p>
    <w:p w14:paraId="06CCABB0" w14:textId="77777777" w:rsidR="00313090" w:rsidRPr="00722521" w:rsidRDefault="00313090" w:rsidP="00313090">
      <w:pPr>
        <w:pStyle w:val="Textkrper"/>
        <w:ind w:left="0"/>
        <w:mirrorIndents/>
        <w:rPr>
          <w:rFonts w:ascii="Verdana" w:hAnsi="Verdana"/>
          <w:sz w:val="17"/>
          <w:szCs w:val="17"/>
          <w:highlight w:val="lightGray"/>
        </w:rPr>
      </w:pPr>
      <w:r w:rsidRPr="00722521">
        <w:rPr>
          <w:rFonts w:ascii="Verdana" w:hAnsi="Verdana"/>
          <w:sz w:val="17"/>
          <w:szCs w:val="17"/>
          <w:highlight w:val="lightGray"/>
        </w:rPr>
        <w:t>About which ESA(s) will you be providing responses in this questionnaire?</w:t>
      </w:r>
    </w:p>
    <w:p w14:paraId="74E32F43" w14:textId="77777777" w:rsidR="00313090" w:rsidRPr="00722521" w:rsidRDefault="00313090" w:rsidP="00313090">
      <w:pPr>
        <w:pStyle w:val="Textkrper"/>
        <w:ind w:left="0"/>
        <w:mirrorIndents/>
        <w:rPr>
          <w:rFonts w:ascii="Verdana" w:hAnsi="Verdana"/>
          <w:sz w:val="17"/>
          <w:szCs w:val="17"/>
          <w:highlight w:val="lightGray"/>
        </w:rPr>
      </w:pPr>
      <w:r w:rsidRPr="00722521">
        <w:rPr>
          <w:rFonts w:ascii="Verdana" w:hAnsi="Verdana"/>
          <w:sz w:val="17"/>
          <w:szCs w:val="17"/>
          <w:highlight w:val="lightGray"/>
        </w:rPr>
        <w:t>Please select the ESA that you know best. You can select one, two or the three ESAs.</w:t>
      </w:r>
    </w:p>
    <w:p w14:paraId="4A99239C" w14:textId="77777777" w:rsidR="00313090" w:rsidRPr="00722521" w:rsidRDefault="00313090" w:rsidP="00313090">
      <w:pPr>
        <w:pStyle w:val="Textkrper"/>
        <w:ind w:left="0"/>
        <w:mirrorIndents/>
        <w:rPr>
          <w:rFonts w:ascii="Verdana" w:hAnsi="Verdana"/>
          <w:sz w:val="17"/>
          <w:szCs w:val="17"/>
          <w:highlight w:val="lightGray"/>
        </w:rPr>
      </w:pPr>
      <w:r w:rsidRPr="00722521">
        <w:rPr>
          <w:rFonts w:ascii="Verdana" w:hAnsi="Verdana"/>
          <w:sz w:val="17"/>
          <w:szCs w:val="17"/>
          <w:highlight w:val="lightGray"/>
        </w:rPr>
        <w:t>In case you choose more than one ESA you will be asked, in certain questions, to provide answers for each ESA. (at least 1 choice)</w:t>
      </w:r>
    </w:p>
    <w:p w14:paraId="6FF804B1" w14:textId="77777777" w:rsidR="00313090" w:rsidRPr="00722521" w:rsidRDefault="00313090" w:rsidP="00313090">
      <w:pPr>
        <w:rPr>
          <w:rFonts w:asciiTheme="minorHAnsi" w:hAnsiTheme="minorHAnsi" w:cstheme="minorHAnsi"/>
          <w:sz w:val="22"/>
          <w:szCs w:val="22"/>
          <w:highlight w:val="lightGray"/>
        </w:rPr>
      </w:pPr>
    </w:p>
    <w:p w14:paraId="18D8DF28" w14:textId="77777777" w:rsidR="00313090" w:rsidRPr="00722521" w:rsidRDefault="00313090" w:rsidP="00313090">
      <w:pPr>
        <w:pStyle w:val="CEABullet-Level1"/>
        <w:rPr>
          <w:color w:val="auto"/>
          <w:highlight w:val="lightGray"/>
        </w:rPr>
      </w:pPr>
      <w:r w:rsidRPr="00722521">
        <w:rPr>
          <w:color w:val="auto"/>
          <w:highlight w:val="lightGray"/>
        </w:rPr>
        <w:t>About the European Banking Authority (EBA)</w:t>
      </w:r>
    </w:p>
    <w:p w14:paraId="52F5C7E3" w14:textId="77777777" w:rsidR="00313090" w:rsidRPr="00722521" w:rsidRDefault="00313090" w:rsidP="00313090">
      <w:pPr>
        <w:pStyle w:val="CEABullet-Level1"/>
        <w:rPr>
          <w:color w:val="auto"/>
          <w:highlight w:val="lightGray"/>
        </w:rPr>
      </w:pPr>
      <w:r w:rsidRPr="00722521">
        <w:rPr>
          <w:color w:val="auto"/>
          <w:highlight w:val="lightGray"/>
        </w:rPr>
        <w:t>About the European Securities and Markets Authority (ESMA)</w:t>
      </w:r>
    </w:p>
    <w:p w14:paraId="3A023ECF" w14:textId="61B0C31F" w:rsidR="00313090" w:rsidRPr="00722521" w:rsidRDefault="00313090" w:rsidP="00313090">
      <w:pPr>
        <w:pStyle w:val="CEABullet-Level1"/>
        <w:rPr>
          <w:color w:val="auto"/>
          <w:highlight w:val="lightGray"/>
        </w:rPr>
      </w:pPr>
      <w:r w:rsidRPr="00722521">
        <w:rPr>
          <w:color w:val="auto"/>
          <w:highlight w:val="lightGray"/>
        </w:rPr>
        <w:t>About the European Insurance and Occupational Pensions Authority (EIOPA)</w:t>
      </w:r>
    </w:p>
    <w:p w14:paraId="553A6B01" w14:textId="3D27F109" w:rsidR="00313090" w:rsidRDefault="00313090" w:rsidP="00313090">
      <w:pPr>
        <w:pStyle w:val="CEABullet-Level1"/>
        <w:numPr>
          <w:ilvl w:val="0"/>
          <w:numId w:val="0"/>
        </w:numPr>
        <w:ind w:left="720" w:hanging="360"/>
        <w:rPr>
          <w:color w:val="auto"/>
          <w:highlight w:val="lightGray"/>
        </w:rPr>
      </w:pPr>
    </w:p>
    <w:p w14:paraId="26218B84" w14:textId="77777777" w:rsidR="00CD42AB" w:rsidRDefault="00CD42AB" w:rsidP="00313090">
      <w:pPr>
        <w:pStyle w:val="CEABullet-Level1"/>
        <w:numPr>
          <w:ilvl w:val="0"/>
          <w:numId w:val="0"/>
        </w:numPr>
        <w:ind w:left="720" w:hanging="360"/>
        <w:rPr>
          <w:color w:val="auto"/>
          <w:highlight w:val="lightGray"/>
        </w:rPr>
      </w:pPr>
    </w:p>
    <w:p w14:paraId="6FF21075" w14:textId="77777777" w:rsidR="00CD42AB" w:rsidRDefault="00CD42AB" w:rsidP="00313090">
      <w:pPr>
        <w:pStyle w:val="CEABullet-Level1"/>
        <w:numPr>
          <w:ilvl w:val="0"/>
          <w:numId w:val="0"/>
        </w:numPr>
        <w:ind w:left="720" w:hanging="360"/>
        <w:rPr>
          <w:color w:val="auto"/>
          <w:highlight w:val="lightGray"/>
        </w:rPr>
      </w:pPr>
    </w:p>
    <w:p w14:paraId="346E399D" w14:textId="77777777" w:rsidR="00CD42AB" w:rsidRPr="00722521" w:rsidRDefault="00CD42AB" w:rsidP="00313090">
      <w:pPr>
        <w:pStyle w:val="CEABullet-Level1"/>
        <w:numPr>
          <w:ilvl w:val="0"/>
          <w:numId w:val="0"/>
        </w:numPr>
        <w:ind w:left="720" w:hanging="360"/>
        <w:rPr>
          <w:color w:val="auto"/>
          <w:highlight w:val="lightGray"/>
        </w:rPr>
      </w:pPr>
    </w:p>
    <w:p w14:paraId="4056C0C9" w14:textId="5F1FD4A1" w:rsidR="00313090" w:rsidRPr="00CD42AB" w:rsidRDefault="00313090" w:rsidP="00313090">
      <w:pPr>
        <w:pStyle w:val="CEABullet-Level1"/>
        <w:numPr>
          <w:ilvl w:val="0"/>
          <w:numId w:val="0"/>
        </w:numPr>
        <w:rPr>
          <w:b/>
          <w:color w:val="auto"/>
          <w:sz w:val="28"/>
          <w:szCs w:val="28"/>
        </w:rPr>
      </w:pPr>
      <w:r w:rsidRPr="00CD42AB">
        <w:rPr>
          <w:b/>
          <w:color w:val="auto"/>
          <w:sz w:val="28"/>
          <w:szCs w:val="28"/>
          <w:highlight w:val="yellow"/>
        </w:rPr>
        <w:t>About the European Insurance and Occupational Pensions Authority (EIOPA)</w:t>
      </w:r>
    </w:p>
    <w:p w14:paraId="1F5A43D4" w14:textId="033061E5" w:rsidR="00313090" w:rsidRPr="00722521" w:rsidRDefault="00313090" w:rsidP="00A903E6">
      <w:pPr>
        <w:pStyle w:val="berschrift1"/>
        <w:ind w:left="0"/>
        <w:mirrorIndents/>
        <w:rPr>
          <w:rFonts w:ascii="Verdana" w:hAnsi="Verdana"/>
          <w:sz w:val="17"/>
          <w:szCs w:val="17"/>
        </w:rPr>
      </w:pPr>
    </w:p>
    <w:p w14:paraId="458B4213" w14:textId="77777777" w:rsidR="00313090" w:rsidRPr="00722521" w:rsidRDefault="00313090" w:rsidP="00A903E6">
      <w:pPr>
        <w:pStyle w:val="berschrift1"/>
        <w:ind w:left="0"/>
        <w:mirrorIndents/>
        <w:rPr>
          <w:rFonts w:ascii="Verdana" w:hAnsi="Verdana"/>
          <w:sz w:val="17"/>
          <w:szCs w:val="17"/>
        </w:rPr>
      </w:pPr>
    </w:p>
    <w:p w14:paraId="428207F0" w14:textId="77777777" w:rsidR="00313090" w:rsidRPr="00722521" w:rsidRDefault="00313090">
      <w:pPr>
        <w:spacing w:after="200" w:line="276" w:lineRule="auto"/>
        <w:jc w:val="left"/>
        <w:rPr>
          <w:rFonts w:eastAsia="Arial" w:cs="Arial"/>
          <w:b/>
          <w:bCs/>
          <w:sz w:val="17"/>
          <w:szCs w:val="17"/>
          <w:lang w:val="en-US"/>
        </w:rPr>
      </w:pPr>
      <w:r w:rsidRPr="00722521">
        <w:rPr>
          <w:sz w:val="17"/>
          <w:szCs w:val="17"/>
        </w:rPr>
        <w:br w:type="page"/>
      </w:r>
    </w:p>
    <w:p w14:paraId="50CE65C9" w14:textId="60B2B2CB" w:rsidR="00A903E6" w:rsidRPr="00722521" w:rsidRDefault="00A903E6" w:rsidP="00A903E6">
      <w:pPr>
        <w:pStyle w:val="berschrift1"/>
        <w:ind w:left="0"/>
        <w:mirrorIndents/>
        <w:rPr>
          <w:rFonts w:ascii="Verdana" w:hAnsi="Verdana"/>
          <w:sz w:val="17"/>
          <w:szCs w:val="17"/>
        </w:rPr>
      </w:pPr>
      <w:r w:rsidRPr="00722521">
        <w:rPr>
          <w:rFonts w:ascii="Verdana" w:hAnsi="Verdana"/>
          <w:sz w:val="17"/>
          <w:szCs w:val="17"/>
        </w:rPr>
        <w:lastRenderedPageBreak/>
        <w:t>A. Questions for the assessment of the European Supervisory Authorities (ESAs) and the recent changes in their founding</w:t>
      </w:r>
      <w:r w:rsidRPr="00722521">
        <w:rPr>
          <w:rFonts w:ascii="Verdana" w:hAnsi="Verdana"/>
          <w:spacing w:val="63"/>
          <w:sz w:val="17"/>
          <w:szCs w:val="17"/>
        </w:rPr>
        <w:t xml:space="preserve"> </w:t>
      </w:r>
      <w:r w:rsidRPr="00722521">
        <w:rPr>
          <w:rFonts w:ascii="Verdana" w:hAnsi="Verdana"/>
          <w:sz w:val="17"/>
          <w:szCs w:val="17"/>
        </w:rPr>
        <w:t>Regulations</w:t>
      </w:r>
    </w:p>
    <w:p w14:paraId="1923BFBE" w14:textId="77777777" w:rsidR="00A903E6" w:rsidRPr="00722521" w:rsidRDefault="00A903E6" w:rsidP="00A903E6">
      <w:pPr>
        <w:pStyle w:val="Textkrper"/>
        <w:ind w:left="0"/>
        <w:mirrorIndents/>
        <w:rPr>
          <w:rFonts w:ascii="Verdana" w:hAnsi="Verdana"/>
          <w:sz w:val="17"/>
          <w:szCs w:val="17"/>
        </w:rPr>
      </w:pPr>
    </w:p>
    <w:p w14:paraId="0B7F88D6" w14:textId="77777777" w:rsidR="00A903E6" w:rsidRPr="00722521" w:rsidRDefault="00A903E6" w:rsidP="00A903E6">
      <w:pPr>
        <w:pStyle w:val="berschrift1"/>
        <w:ind w:left="0"/>
        <w:mirrorIndents/>
        <w:rPr>
          <w:rFonts w:ascii="Verdana" w:hAnsi="Verdana"/>
          <w:sz w:val="17"/>
          <w:szCs w:val="17"/>
        </w:rPr>
      </w:pPr>
      <w:r w:rsidRPr="00722521">
        <w:rPr>
          <w:rFonts w:ascii="Verdana" w:hAnsi="Verdana"/>
          <w:sz w:val="17"/>
          <w:szCs w:val="17"/>
        </w:rPr>
        <w:t>General questions</w:t>
      </w:r>
    </w:p>
    <w:p w14:paraId="36B11EAF" w14:textId="77777777" w:rsidR="00A903E6" w:rsidRPr="00722521" w:rsidRDefault="00A903E6" w:rsidP="00A903E6">
      <w:pPr>
        <w:pStyle w:val="berschrift1"/>
        <w:ind w:left="232"/>
        <w:mirrorIndents/>
        <w:rPr>
          <w:rFonts w:ascii="Verdana" w:hAnsi="Verdana"/>
          <w:sz w:val="17"/>
          <w:szCs w:val="17"/>
        </w:rPr>
      </w:pPr>
    </w:p>
    <w:p w14:paraId="43F2E81B" w14:textId="0587D20F" w:rsidR="00A903E6" w:rsidRPr="00722521" w:rsidRDefault="00A903E6" w:rsidP="00A903E6">
      <w:pPr>
        <w:pStyle w:val="Textkrper"/>
        <w:ind w:left="0"/>
        <w:mirrorIndents/>
        <w:rPr>
          <w:rFonts w:ascii="Verdana" w:hAnsi="Verdana"/>
          <w:sz w:val="17"/>
          <w:szCs w:val="17"/>
        </w:rPr>
      </w:pPr>
      <w:r w:rsidRPr="00722521">
        <w:rPr>
          <w:rFonts w:ascii="Verdana" w:hAnsi="Verdana"/>
          <w:sz w:val="17"/>
          <w:szCs w:val="17"/>
          <w:highlight w:val="lightGray"/>
        </w:rPr>
        <w:t>Question I. EIOPA: How do you assess the impact of each EIOPA's activities on the following aspects?</w:t>
      </w:r>
    </w:p>
    <w:tbl>
      <w:tblPr>
        <w:tblpPr w:leftFromText="180" w:rightFromText="180" w:vertAnchor="text" w:tblpY="1"/>
        <w:tblOverlap w:val="never"/>
        <w:tblW w:w="0" w:type="auto"/>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2015"/>
        <w:gridCol w:w="1274"/>
        <w:gridCol w:w="1314"/>
        <w:gridCol w:w="1012"/>
        <w:gridCol w:w="1297"/>
        <w:gridCol w:w="1299"/>
        <w:gridCol w:w="1300"/>
      </w:tblGrid>
      <w:tr w:rsidR="00AA4E82" w:rsidRPr="00722521" w14:paraId="57EB924B" w14:textId="77777777" w:rsidTr="00347D50">
        <w:trPr>
          <w:trHeight w:val="1134"/>
        </w:trPr>
        <w:tc>
          <w:tcPr>
            <w:tcW w:w="0" w:type="auto"/>
            <w:tcBorders>
              <w:top w:val="single" w:sz="8" w:space="0" w:color="BABABA"/>
              <w:left w:val="single" w:sz="8" w:space="0" w:color="BABABA"/>
              <w:bottom w:val="single" w:sz="8" w:space="0" w:color="BABABA"/>
              <w:right w:val="single" w:sz="8" w:space="0" w:color="BABABA"/>
            </w:tcBorders>
          </w:tcPr>
          <w:p w14:paraId="58BF270E" w14:textId="77777777" w:rsidR="00A903E6" w:rsidRPr="00722521" w:rsidRDefault="00A903E6" w:rsidP="00347D50">
            <w:pPr>
              <w:mirrorIndents/>
              <w:rPr>
                <w:sz w:val="17"/>
                <w:szCs w:val="17"/>
              </w:rPr>
            </w:pPr>
          </w:p>
        </w:tc>
        <w:tc>
          <w:tcPr>
            <w:tcW w:w="0" w:type="auto"/>
            <w:tcBorders>
              <w:top w:val="single" w:sz="8" w:space="0" w:color="BABABA"/>
              <w:left w:val="single" w:sz="8" w:space="0" w:color="BABABA"/>
              <w:bottom w:val="single" w:sz="8" w:space="0" w:color="BABABA"/>
              <w:right w:val="single" w:sz="8" w:space="0" w:color="BABABA"/>
            </w:tcBorders>
            <w:hideMark/>
          </w:tcPr>
          <w:p w14:paraId="384A165C" w14:textId="77777777" w:rsidR="00A903E6" w:rsidRPr="00722521" w:rsidRDefault="00A903E6" w:rsidP="00347D50">
            <w:pPr>
              <w:pStyle w:val="TableParagraph"/>
              <w:mirrorIndents/>
              <w:rPr>
                <w:szCs w:val="17"/>
              </w:rPr>
            </w:pPr>
            <w:r w:rsidRPr="00722521">
              <w:rPr>
                <w:w w:val="99"/>
                <w:szCs w:val="17"/>
              </w:rPr>
              <w:t>1</w:t>
            </w:r>
          </w:p>
          <w:p w14:paraId="0D488BD6" w14:textId="77777777" w:rsidR="00A903E6" w:rsidRPr="00722521" w:rsidRDefault="00A903E6" w:rsidP="00347D50">
            <w:pPr>
              <w:pStyle w:val="TableParagraph"/>
              <w:ind w:hanging="1"/>
              <w:mirrorIndents/>
              <w:rPr>
                <w:szCs w:val="17"/>
              </w:rPr>
            </w:pPr>
            <w:r w:rsidRPr="00722521">
              <w:rPr>
                <w:szCs w:val="17"/>
              </w:rPr>
              <w:t>(less 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33293E00" w14:textId="77777777" w:rsidR="00A903E6" w:rsidRPr="00722521" w:rsidRDefault="00A903E6" w:rsidP="00347D50">
            <w:pPr>
              <w:pStyle w:val="TableParagraph"/>
              <w:mirrorIndents/>
              <w:rPr>
                <w:szCs w:val="17"/>
              </w:rPr>
            </w:pPr>
            <w:r w:rsidRPr="00722521">
              <w:rPr>
                <w:w w:val="99"/>
                <w:szCs w:val="17"/>
              </w:rPr>
              <w:t>2</w:t>
            </w:r>
          </w:p>
          <w:p w14:paraId="503C54C0" w14:textId="77777777" w:rsidR="00A903E6" w:rsidRPr="00722521" w:rsidRDefault="00A903E6" w:rsidP="00347D50">
            <w:pPr>
              <w:pStyle w:val="TableParagraph"/>
              <w:ind w:hanging="1"/>
              <w:mirrorIndents/>
              <w:rPr>
                <w:szCs w:val="17"/>
              </w:rPr>
            </w:pPr>
            <w:r w:rsidRPr="00722521">
              <w:rPr>
                <w:szCs w:val="17"/>
              </w:rPr>
              <w:t>(not so 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358C1FEB" w14:textId="77777777" w:rsidR="00A903E6" w:rsidRPr="00722521" w:rsidRDefault="00A903E6" w:rsidP="00347D50">
            <w:pPr>
              <w:pStyle w:val="TableParagraph"/>
              <w:mirrorIndents/>
              <w:rPr>
                <w:szCs w:val="17"/>
              </w:rPr>
            </w:pPr>
            <w:r w:rsidRPr="00722521">
              <w:rPr>
                <w:w w:val="99"/>
                <w:szCs w:val="17"/>
              </w:rPr>
              <w:t>3</w:t>
            </w:r>
          </w:p>
          <w:p w14:paraId="5BB14FDD" w14:textId="77777777" w:rsidR="00A903E6" w:rsidRPr="00722521" w:rsidRDefault="00A903E6" w:rsidP="00347D50">
            <w:pPr>
              <w:pStyle w:val="TableParagraph"/>
              <w:mirrorIndents/>
              <w:rPr>
                <w:szCs w:val="17"/>
              </w:rPr>
            </w:pPr>
            <w:r w:rsidRPr="00722521">
              <w:rPr>
                <w:szCs w:val="17"/>
              </w:rPr>
              <w:t>(neutral)</w:t>
            </w:r>
          </w:p>
        </w:tc>
        <w:tc>
          <w:tcPr>
            <w:tcW w:w="0" w:type="auto"/>
            <w:tcBorders>
              <w:top w:val="single" w:sz="8" w:space="0" w:color="BABABA"/>
              <w:left w:val="single" w:sz="8" w:space="0" w:color="BABABA"/>
              <w:bottom w:val="single" w:sz="8" w:space="0" w:color="BABABA"/>
              <w:right w:val="single" w:sz="8" w:space="0" w:color="BABABA"/>
            </w:tcBorders>
            <w:hideMark/>
          </w:tcPr>
          <w:p w14:paraId="3C51B4CA" w14:textId="77777777" w:rsidR="00A903E6" w:rsidRPr="00722521" w:rsidRDefault="00A903E6" w:rsidP="00347D50">
            <w:pPr>
              <w:pStyle w:val="TableParagraph"/>
              <w:mirrorIndents/>
              <w:rPr>
                <w:szCs w:val="17"/>
              </w:rPr>
            </w:pPr>
            <w:r w:rsidRPr="00722521">
              <w:rPr>
                <w:w w:val="99"/>
                <w:szCs w:val="17"/>
              </w:rPr>
              <w:t>4</w:t>
            </w:r>
          </w:p>
          <w:p w14:paraId="25918B9E" w14:textId="77777777" w:rsidR="00A903E6" w:rsidRPr="00722521" w:rsidRDefault="00A903E6" w:rsidP="00347D50">
            <w:pPr>
              <w:pStyle w:val="TableParagraph"/>
              <w:mirrorIndents/>
              <w:rPr>
                <w:szCs w:val="17"/>
              </w:rPr>
            </w:pPr>
            <w:r w:rsidRPr="00722521">
              <w:rPr>
                <w:szCs w:val="17"/>
              </w:rPr>
              <w:t>(significant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5BA5E4E5" w14:textId="77777777" w:rsidR="00A903E6" w:rsidRPr="00722521" w:rsidRDefault="00A903E6" w:rsidP="00347D50">
            <w:pPr>
              <w:pStyle w:val="TableParagraph"/>
              <w:mirrorIndents/>
              <w:rPr>
                <w:szCs w:val="17"/>
              </w:rPr>
            </w:pPr>
            <w:r w:rsidRPr="00722521">
              <w:rPr>
                <w:w w:val="99"/>
                <w:szCs w:val="17"/>
              </w:rPr>
              <w:t>5</w:t>
            </w:r>
          </w:p>
          <w:p w14:paraId="064AFD63" w14:textId="77777777" w:rsidR="00A903E6" w:rsidRPr="00722521" w:rsidRDefault="00A903E6" w:rsidP="00347D50">
            <w:pPr>
              <w:pStyle w:val="TableParagraph"/>
              <w:mirrorIndents/>
              <w:rPr>
                <w:szCs w:val="17"/>
              </w:rPr>
            </w:pPr>
            <w:r w:rsidRPr="00722521">
              <w:rPr>
                <w:szCs w:val="17"/>
              </w:rPr>
              <w:t>(most 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05E76A6D" w14:textId="77777777" w:rsidR="00A903E6" w:rsidRPr="00722521" w:rsidRDefault="00A903E6" w:rsidP="00347D50">
            <w:pPr>
              <w:pStyle w:val="TableParagraph"/>
              <w:ind w:hanging="54"/>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19EA9890" w14:textId="77777777" w:rsidR="00A903E6" w:rsidRPr="00722521" w:rsidRDefault="00A903E6" w:rsidP="00347D50">
            <w:pPr>
              <w:pStyle w:val="TableParagraph"/>
              <w:ind w:hanging="1"/>
              <w:mirrorIndents/>
              <w:rPr>
                <w:szCs w:val="17"/>
              </w:rPr>
            </w:pPr>
            <w:r w:rsidRPr="00722521">
              <w:rPr>
                <w:szCs w:val="17"/>
              </w:rPr>
              <w:t>Not applicable</w:t>
            </w:r>
          </w:p>
        </w:tc>
      </w:tr>
      <w:tr w:rsidR="00AA4E82" w:rsidRPr="00722521" w14:paraId="51D44A87" w14:textId="77777777" w:rsidTr="00347D50">
        <w:trPr>
          <w:trHeight w:val="567"/>
        </w:trPr>
        <w:tc>
          <w:tcPr>
            <w:tcW w:w="0" w:type="auto"/>
            <w:tcBorders>
              <w:top w:val="single" w:sz="8" w:space="0" w:color="BABABA"/>
              <w:left w:val="single" w:sz="8" w:space="0" w:color="BABABA"/>
              <w:bottom w:val="single" w:sz="8" w:space="0" w:color="BABABA"/>
              <w:right w:val="single" w:sz="8" w:space="0" w:color="BABABA"/>
            </w:tcBorders>
            <w:hideMark/>
          </w:tcPr>
          <w:p w14:paraId="03583A1D" w14:textId="77777777" w:rsidR="00A903E6" w:rsidRPr="00722521" w:rsidRDefault="00A903E6" w:rsidP="00347D50">
            <w:pPr>
              <w:pStyle w:val="TableParagraph"/>
              <w:mirrorIndents/>
              <w:rPr>
                <w:szCs w:val="17"/>
              </w:rPr>
            </w:pPr>
            <w:r w:rsidRPr="00722521">
              <w:rPr>
                <w:szCs w:val="17"/>
              </w:rPr>
              <w:t>The financial system as a whole</w:t>
            </w:r>
          </w:p>
        </w:tc>
        <w:tc>
          <w:tcPr>
            <w:tcW w:w="0" w:type="auto"/>
            <w:tcBorders>
              <w:top w:val="single" w:sz="8" w:space="0" w:color="BABABA"/>
              <w:left w:val="single" w:sz="8" w:space="0" w:color="BABABA"/>
              <w:bottom w:val="single" w:sz="8" w:space="0" w:color="BABABA"/>
              <w:right w:val="single" w:sz="8" w:space="0" w:color="BABABA"/>
            </w:tcBorders>
          </w:tcPr>
          <w:p w14:paraId="6ABA2F78" w14:textId="77777777" w:rsidR="00A903E6" w:rsidRPr="00722521" w:rsidRDefault="00A903E6" w:rsidP="00347D50">
            <w:pPr>
              <w:pStyle w:val="TableParagraph"/>
              <w:mirrorIndents/>
              <w:rPr>
                <w:b/>
                <w:szCs w:val="17"/>
                <w:lang w:val="en-GB"/>
              </w:rPr>
            </w:pPr>
          </w:p>
        </w:tc>
        <w:tc>
          <w:tcPr>
            <w:tcW w:w="0" w:type="auto"/>
            <w:tcBorders>
              <w:top w:val="single" w:sz="8" w:space="0" w:color="BABABA"/>
              <w:left w:val="single" w:sz="8" w:space="0" w:color="BABABA"/>
              <w:bottom w:val="single" w:sz="8" w:space="0" w:color="BABABA"/>
              <w:right w:val="single" w:sz="8" w:space="0" w:color="BABABA"/>
            </w:tcBorders>
          </w:tcPr>
          <w:p w14:paraId="03BBECA2"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5B71B4C1" w14:textId="1CA85A97" w:rsidR="00A903E6" w:rsidRPr="00722521" w:rsidRDefault="0071051C" w:rsidP="00347D50">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343028E8"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369E0920" w14:textId="262BF9E9"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7D0D6FB" w14:textId="5A366AD4" w:rsidR="00A903E6" w:rsidRPr="00722521" w:rsidRDefault="00A903E6" w:rsidP="00347D50">
            <w:pPr>
              <w:pStyle w:val="TableParagraph"/>
              <w:mirrorIndents/>
              <w:rPr>
                <w:b/>
                <w:szCs w:val="17"/>
              </w:rPr>
            </w:pPr>
          </w:p>
        </w:tc>
      </w:tr>
      <w:tr w:rsidR="00AA4E82" w:rsidRPr="00722521" w14:paraId="58BF3710" w14:textId="77777777" w:rsidTr="00347D50">
        <w:trPr>
          <w:trHeight w:val="567"/>
        </w:trPr>
        <w:tc>
          <w:tcPr>
            <w:tcW w:w="0" w:type="auto"/>
            <w:tcBorders>
              <w:top w:val="single" w:sz="8" w:space="0" w:color="BABABA"/>
              <w:left w:val="single" w:sz="8" w:space="0" w:color="BABABA"/>
              <w:bottom w:val="single" w:sz="8" w:space="0" w:color="BABABA"/>
              <w:right w:val="single" w:sz="8" w:space="0" w:color="BABABA"/>
            </w:tcBorders>
            <w:hideMark/>
          </w:tcPr>
          <w:p w14:paraId="583BF3BC" w14:textId="77777777" w:rsidR="00A903E6" w:rsidRPr="00722521" w:rsidRDefault="00A903E6" w:rsidP="00347D50">
            <w:pPr>
              <w:pStyle w:val="TableParagraph"/>
              <w:mirrorIndents/>
              <w:rPr>
                <w:szCs w:val="17"/>
              </w:rPr>
            </w:pPr>
            <w:r w:rsidRPr="00722521">
              <w:rPr>
                <w:szCs w:val="17"/>
              </w:rPr>
              <w:t>Financial stability</w:t>
            </w:r>
          </w:p>
        </w:tc>
        <w:tc>
          <w:tcPr>
            <w:tcW w:w="0" w:type="auto"/>
            <w:tcBorders>
              <w:top w:val="single" w:sz="8" w:space="0" w:color="BABABA"/>
              <w:left w:val="single" w:sz="8" w:space="0" w:color="BABABA"/>
              <w:bottom w:val="single" w:sz="8" w:space="0" w:color="BABABA"/>
              <w:right w:val="single" w:sz="8" w:space="0" w:color="BABABA"/>
            </w:tcBorders>
          </w:tcPr>
          <w:p w14:paraId="0F025335"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73EDEE9" w14:textId="193DEC88"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71FA757F" w14:textId="1F78070F" w:rsidR="00A903E6" w:rsidRPr="00722521" w:rsidRDefault="00E70B60" w:rsidP="00347D50">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307A75B6"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502823C" w14:textId="001F2C00"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2C4B1DB3" w14:textId="77777777" w:rsidR="00A903E6" w:rsidRPr="00722521" w:rsidRDefault="00A903E6" w:rsidP="00347D50">
            <w:pPr>
              <w:pStyle w:val="TableParagraph"/>
              <w:mirrorIndents/>
              <w:rPr>
                <w:b/>
                <w:szCs w:val="17"/>
              </w:rPr>
            </w:pPr>
          </w:p>
        </w:tc>
      </w:tr>
      <w:tr w:rsidR="00AA4E82" w:rsidRPr="00722521" w14:paraId="390D61C0" w14:textId="77777777" w:rsidTr="00347D50">
        <w:trPr>
          <w:trHeight w:val="567"/>
        </w:trPr>
        <w:tc>
          <w:tcPr>
            <w:tcW w:w="0" w:type="auto"/>
            <w:tcBorders>
              <w:top w:val="single" w:sz="8" w:space="0" w:color="BABABA"/>
              <w:left w:val="single" w:sz="8" w:space="0" w:color="BABABA"/>
              <w:bottom w:val="single" w:sz="8" w:space="0" w:color="BABABA"/>
              <w:right w:val="single" w:sz="8" w:space="0" w:color="BABABA"/>
            </w:tcBorders>
            <w:hideMark/>
          </w:tcPr>
          <w:p w14:paraId="3AB05540" w14:textId="77777777" w:rsidR="00A903E6" w:rsidRPr="00722521" w:rsidRDefault="00A903E6" w:rsidP="00347D50">
            <w:pPr>
              <w:pStyle w:val="TableParagraph"/>
              <w:mirrorIndents/>
              <w:rPr>
                <w:szCs w:val="17"/>
              </w:rPr>
            </w:pPr>
            <w:r w:rsidRPr="00722521">
              <w:rPr>
                <w:w w:val="105"/>
                <w:szCs w:val="17"/>
              </w:rPr>
              <w:t>The functioning of</w:t>
            </w:r>
            <w:r w:rsidRPr="00722521">
              <w:rPr>
                <w:w w:val="102"/>
                <w:szCs w:val="17"/>
              </w:rPr>
              <w:t xml:space="preserve"> </w:t>
            </w:r>
            <w:r w:rsidRPr="00722521">
              <w:rPr>
                <w:w w:val="105"/>
                <w:szCs w:val="17"/>
              </w:rPr>
              <w:t>the internal market</w:t>
            </w:r>
          </w:p>
        </w:tc>
        <w:tc>
          <w:tcPr>
            <w:tcW w:w="0" w:type="auto"/>
            <w:tcBorders>
              <w:top w:val="single" w:sz="8" w:space="0" w:color="BABABA"/>
              <w:left w:val="single" w:sz="8" w:space="0" w:color="BABABA"/>
              <w:bottom w:val="single" w:sz="8" w:space="0" w:color="BABABA"/>
              <w:right w:val="single" w:sz="8" w:space="0" w:color="BABABA"/>
            </w:tcBorders>
          </w:tcPr>
          <w:p w14:paraId="19C35C6F"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76BDBC2D"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7E910D8"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73380A1A" w14:textId="799E1D88" w:rsidR="00A903E6" w:rsidRPr="00722521" w:rsidRDefault="00005EF8" w:rsidP="00347D50">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47E88D44"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3F80536D" w14:textId="77777777" w:rsidR="00A903E6" w:rsidRPr="00722521" w:rsidRDefault="00A903E6" w:rsidP="00347D50">
            <w:pPr>
              <w:pStyle w:val="TableParagraph"/>
              <w:mirrorIndents/>
              <w:rPr>
                <w:b/>
                <w:szCs w:val="17"/>
              </w:rPr>
            </w:pPr>
          </w:p>
        </w:tc>
      </w:tr>
      <w:tr w:rsidR="00AA4E82" w:rsidRPr="00722521" w14:paraId="0DCFF88D" w14:textId="77777777" w:rsidTr="00347D50">
        <w:trPr>
          <w:trHeight w:val="567"/>
        </w:trPr>
        <w:tc>
          <w:tcPr>
            <w:tcW w:w="0" w:type="auto"/>
            <w:tcBorders>
              <w:top w:val="single" w:sz="8" w:space="0" w:color="BABABA"/>
              <w:left w:val="single" w:sz="8" w:space="0" w:color="BABABA"/>
              <w:bottom w:val="single" w:sz="8" w:space="0" w:color="BABABA"/>
              <w:right w:val="single" w:sz="8" w:space="0" w:color="BABABA"/>
            </w:tcBorders>
            <w:hideMark/>
          </w:tcPr>
          <w:p w14:paraId="516BE4D5" w14:textId="77777777" w:rsidR="00A903E6" w:rsidRPr="00722521" w:rsidRDefault="00A903E6" w:rsidP="00347D50">
            <w:pPr>
              <w:pStyle w:val="TableParagraph"/>
              <w:mirrorIndents/>
              <w:rPr>
                <w:w w:val="105"/>
                <w:szCs w:val="17"/>
              </w:rPr>
            </w:pPr>
            <w:r w:rsidRPr="00722521">
              <w:rPr>
                <w:w w:val="105"/>
                <w:szCs w:val="17"/>
              </w:rPr>
              <w:t>The quality and consistency of supervision</w:t>
            </w:r>
          </w:p>
        </w:tc>
        <w:tc>
          <w:tcPr>
            <w:tcW w:w="0" w:type="auto"/>
            <w:tcBorders>
              <w:top w:val="single" w:sz="8" w:space="0" w:color="BABABA"/>
              <w:left w:val="single" w:sz="8" w:space="0" w:color="BABABA"/>
              <w:bottom w:val="single" w:sz="8" w:space="0" w:color="BABABA"/>
              <w:right w:val="single" w:sz="8" w:space="0" w:color="BABABA"/>
            </w:tcBorders>
          </w:tcPr>
          <w:p w14:paraId="3336904D"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4F4ABA68"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00DDF8DC" w14:textId="66BEF74D" w:rsidR="00A903E6" w:rsidRPr="00722521" w:rsidRDefault="00E70B60" w:rsidP="00347D50">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5EA0B190" w14:textId="77A7E688"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55C8D082"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13F3DF73" w14:textId="77777777" w:rsidR="00A903E6" w:rsidRPr="00722521" w:rsidRDefault="00A903E6" w:rsidP="00347D50">
            <w:pPr>
              <w:pStyle w:val="TableParagraph"/>
              <w:mirrorIndents/>
              <w:rPr>
                <w:b/>
                <w:szCs w:val="17"/>
              </w:rPr>
            </w:pPr>
          </w:p>
        </w:tc>
      </w:tr>
      <w:tr w:rsidR="00AA4E82" w:rsidRPr="00722521" w14:paraId="6BC7C435" w14:textId="77777777" w:rsidTr="00347D50">
        <w:trPr>
          <w:trHeight w:val="567"/>
        </w:trPr>
        <w:tc>
          <w:tcPr>
            <w:tcW w:w="0" w:type="auto"/>
            <w:tcBorders>
              <w:top w:val="single" w:sz="8" w:space="0" w:color="BABABA"/>
              <w:left w:val="single" w:sz="8" w:space="0" w:color="BABABA"/>
              <w:bottom w:val="single" w:sz="8" w:space="0" w:color="BABABA"/>
              <w:right w:val="single" w:sz="8" w:space="0" w:color="BABABA"/>
            </w:tcBorders>
            <w:hideMark/>
          </w:tcPr>
          <w:p w14:paraId="1CBC9C62" w14:textId="73C5DA71" w:rsidR="00A903E6" w:rsidRPr="00722521" w:rsidRDefault="00A903E6" w:rsidP="00347D50">
            <w:pPr>
              <w:pStyle w:val="TableParagraph"/>
              <w:mirrorIndents/>
              <w:rPr>
                <w:w w:val="105"/>
                <w:szCs w:val="17"/>
              </w:rPr>
            </w:pPr>
            <w:r w:rsidRPr="00722521">
              <w:rPr>
                <w:w w:val="105"/>
                <w:szCs w:val="17"/>
              </w:rPr>
              <w:t>The enforcement of EU rules</w:t>
            </w:r>
          </w:p>
          <w:p w14:paraId="0AC82748" w14:textId="77777777" w:rsidR="00A903E6" w:rsidRPr="00722521" w:rsidRDefault="00A903E6" w:rsidP="00347D50">
            <w:pPr>
              <w:pStyle w:val="TableParagraph"/>
              <w:mirrorIndents/>
              <w:rPr>
                <w:w w:val="105"/>
                <w:szCs w:val="17"/>
              </w:rPr>
            </w:pPr>
            <w:r w:rsidRPr="00722521">
              <w:rPr>
                <w:w w:val="105"/>
                <w:szCs w:val="17"/>
              </w:rPr>
              <w:t>on supervision</w:t>
            </w:r>
          </w:p>
        </w:tc>
        <w:tc>
          <w:tcPr>
            <w:tcW w:w="0" w:type="auto"/>
            <w:tcBorders>
              <w:top w:val="single" w:sz="8" w:space="0" w:color="BABABA"/>
              <w:left w:val="single" w:sz="8" w:space="0" w:color="BABABA"/>
              <w:bottom w:val="single" w:sz="8" w:space="0" w:color="BABABA"/>
              <w:right w:val="single" w:sz="8" w:space="0" w:color="BABABA"/>
            </w:tcBorders>
          </w:tcPr>
          <w:p w14:paraId="3B97BA2A"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46CDC243"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5EA2587C" w14:textId="260D7C4B" w:rsidR="00A903E6" w:rsidRPr="00722521" w:rsidRDefault="0071051C" w:rsidP="00347D50">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15296637" w14:textId="46E7B2FF"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7043054C"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562F3316" w14:textId="77777777" w:rsidR="00A903E6" w:rsidRPr="00722521" w:rsidRDefault="00A903E6" w:rsidP="00347D50">
            <w:pPr>
              <w:pStyle w:val="TableParagraph"/>
              <w:mirrorIndents/>
              <w:rPr>
                <w:b/>
                <w:szCs w:val="17"/>
              </w:rPr>
            </w:pPr>
          </w:p>
        </w:tc>
      </w:tr>
      <w:tr w:rsidR="00AA4E82" w:rsidRPr="00722521" w14:paraId="38E0BF9D" w14:textId="77777777" w:rsidTr="00347D50">
        <w:trPr>
          <w:trHeight w:val="567"/>
        </w:trPr>
        <w:tc>
          <w:tcPr>
            <w:tcW w:w="0" w:type="auto"/>
            <w:tcBorders>
              <w:top w:val="single" w:sz="8" w:space="0" w:color="BABABA"/>
              <w:left w:val="single" w:sz="8" w:space="0" w:color="BABABA"/>
              <w:bottom w:val="single" w:sz="8" w:space="0" w:color="BABABA"/>
              <w:right w:val="single" w:sz="8" w:space="0" w:color="BABABA"/>
            </w:tcBorders>
            <w:hideMark/>
          </w:tcPr>
          <w:p w14:paraId="69BF10B3" w14:textId="77777777" w:rsidR="00A903E6" w:rsidRPr="00722521" w:rsidRDefault="00A903E6" w:rsidP="00347D50">
            <w:pPr>
              <w:pStyle w:val="TableParagraph"/>
              <w:mirrorIndents/>
              <w:rPr>
                <w:w w:val="105"/>
                <w:szCs w:val="17"/>
              </w:rPr>
            </w:pPr>
            <w:r w:rsidRPr="00722521">
              <w:rPr>
                <w:w w:val="105"/>
                <w:szCs w:val="17"/>
              </w:rPr>
              <w:t>Strengthening international supervisory coordination</w:t>
            </w:r>
          </w:p>
        </w:tc>
        <w:tc>
          <w:tcPr>
            <w:tcW w:w="0" w:type="auto"/>
            <w:tcBorders>
              <w:top w:val="single" w:sz="8" w:space="0" w:color="BABABA"/>
              <w:left w:val="single" w:sz="8" w:space="0" w:color="BABABA"/>
              <w:bottom w:val="single" w:sz="8" w:space="0" w:color="BABABA"/>
              <w:right w:val="single" w:sz="8" w:space="0" w:color="BABABA"/>
            </w:tcBorders>
          </w:tcPr>
          <w:p w14:paraId="61F08F26"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4B082C3" w14:textId="7F43FA65"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2956A80"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19238D6A" w14:textId="41CAC6EA" w:rsidR="00A903E6" w:rsidRPr="00722521" w:rsidRDefault="00782B52" w:rsidP="00347D50">
            <w:pPr>
              <w:pStyle w:val="TableParagraph"/>
              <w:mirrorIndents/>
              <w:rPr>
                <w:b/>
                <w:szCs w:val="17"/>
                <w:lang w:val="en-GB"/>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03F4D7FB"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30E5BB3" w14:textId="77777777" w:rsidR="00A903E6" w:rsidRPr="00722521" w:rsidRDefault="00A903E6" w:rsidP="00347D50">
            <w:pPr>
              <w:pStyle w:val="TableParagraph"/>
              <w:mirrorIndents/>
              <w:rPr>
                <w:b/>
                <w:szCs w:val="17"/>
              </w:rPr>
            </w:pPr>
          </w:p>
        </w:tc>
      </w:tr>
      <w:tr w:rsidR="00AA4E82" w:rsidRPr="00722521" w14:paraId="553097E2" w14:textId="77777777" w:rsidTr="00347D50">
        <w:trPr>
          <w:trHeight w:val="567"/>
        </w:trPr>
        <w:tc>
          <w:tcPr>
            <w:tcW w:w="0" w:type="auto"/>
            <w:tcBorders>
              <w:top w:val="single" w:sz="8" w:space="0" w:color="BABABA"/>
              <w:left w:val="single" w:sz="8" w:space="0" w:color="BABABA"/>
              <w:bottom w:val="single" w:sz="8" w:space="0" w:color="BABABA"/>
              <w:right w:val="single" w:sz="8" w:space="0" w:color="BABABA"/>
            </w:tcBorders>
            <w:hideMark/>
          </w:tcPr>
          <w:p w14:paraId="2123BEDB" w14:textId="77777777" w:rsidR="00A903E6" w:rsidRPr="00722521" w:rsidRDefault="00A903E6" w:rsidP="00347D50">
            <w:pPr>
              <w:pStyle w:val="TableParagraph"/>
              <w:mirrorIndents/>
              <w:rPr>
                <w:w w:val="105"/>
                <w:szCs w:val="17"/>
              </w:rPr>
            </w:pPr>
            <w:r w:rsidRPr="00722521">
              <w:rPr>
                <w:w w:val="105"/>
                <w:szCs w:val="17"/>
              </w:rPr>
              <w:t>Consumer and investor protection</w:t>
            </w:r>
          </w:p>
        </w:tc>
        <w:tc>
          <w:tcPr>
            <w:tcW w:w="0" w:type="auto"/>
            <w:tcBorders>
              <w:top w:val="single" w:sz="8" w:space="0" w:color="BABABA"/>
              <w:left w:val="single" w:sz="8" w:space="0" w:color="BABABA"/>
              <w:bottom w:val="single" w:sz="8" w:space="0" w:color="BABABA"/>
              <w:right w:val="single" w:sz="8" w:space="0" w:color="BABABA"/>
            </w:tcBorders>
          </w:tcPr>
          <w:p w14:paraId="735DA2B5"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A380112"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018E118B" w14:textId="5E0F6F2A" w:rsidR="00A903E6" w:rsidRPr="00722521" w:rsidRDefault="0071051C" w:rsidP="00347D50">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4243BA97"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3B5A1C6E" w14:textId="1B3DE4EA"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0B018AA5" w14:textId="77777777" w:rsidR="00A903E6" w:rsidRPr="00722521" w:rsidRDefault="00A903E6" w:rsidP="00347D50">
            <w:pPr>
              <w:pStyle w:val="TableParagraph"/>
              <w:mirrorIndents/>
              <w:rPr>
                <w:b/>
                <w:szCs w:val="17"/>
              </w:rPr>
            </w:pPr>
          </w:p>
        </w:tc>
      </w:tr>
      <w:tr w:rsidR="00AA4E82" w:rsidRPr="00722521" w14:paraId="0CD16D9E" w14:textId="77777777" w:rsidTr="00347D50">
        <w:trPr>
          <w:trHeight w:val="567"/>
        </w:trPr>
        <w:tc>
          <w:tcPr>
            <w:tcW w:w="0" w:type="auto"/>
            <w:tcBorders>
              <w:top w:val="single" w:sz="8" w:space="0" w:color="BABABA"/>
              <w:left w:val="single" w:sz="8" w:space="0" w:color="BABABA"/>
              <w:bottom w:val="single" w:sz="8" w:space="0" w:color="BABABA"/>
              <w:right w:val="single" w:sz="8" w:space="0" w:color="BABABA"/>
            </w:tcBorders>
            <w:hideMark/>
          </w:tcPr>
          <w:p w14:paraId="443F9EEE" w14:textId="77777777" w:rsidR="00A903E6" w:rsidRPr="00722521" w:rsidRDefault="00A903E6" w:rsidP="00347D50">
            <w:pPr>
              <w:pStyle w:val="TableParagraph"/>
              <w:mirrorIndents/>
              <w:rPr>
                <w:w w:val="105"/>
                <w:szCs w:val="17"/>
              </w:rPr>
            </w:pPr>
            <w:r w:rsidRPr="00722521">
              <w:rPr>
                <w:w w:val="105"/>
                <w:szCs w:val="17"/>
              </w:rPr>
              <w:t>Financial innovation</w:t>
            </w:r>
          </w:p>
        </w:tc>
        <w:tc>
          <w:tcPr>
            <w:tcW w:w="0" w:type="auto"/>
            <w:tcBorders>
              <w:top w:val="single" w:sz="8" w:space="0" w:color="BABABA"/>
              <w:left w:val="single" w:sz="8" w:space="0" w:color="BABABA"/>
              <w:bottom w:val="single" w:sz="8" w:space="0" w:color="BABABA"/>
              <w:right w:val="single" w:sz="8" w:space="0" w:color="BABABA"/>
            </w:tcBorders>
          </w:tcPr>
          <w:p w14:paraId="57C0E488"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1E0C079B" w14:textId="6DE9F2CB"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4E8C82C0" w14:textId="19CF2ECB" w:rsidR="00A903E6" w:rsidRPr="00722521" w:rsidRDefault="00E70B60" w:rsidP="00347D50">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7F80D77D" w14:textId="308399AF"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0CD7CB27"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4D994AA5" w14:textId="77777777" w:rsidR="00A903E6" w:rsidRPr="00722521" w:rsidRDefault="00A903E6" w:rsidP="00347D50">
            <w:pPr>
              <w:pStyle w:val="TableParagraph"/>
              <w:mirrorIndents/>
              <w:rPr>
                <w:b/>
                <w:szCs w:val="17"/>
              </w:rPr>
            </w:pPr>
          </w:p>
        </w:tc>
      </w:tr>
      <w:tr w:rsidR="00AA4E82" w:rsidRPr="00722521" w14:paraId="0420BF3F" w14:textId="77777777" w:rsidTr="00347D50">
        <w:trPr>
          <w:trHeight w:val="567"/>
        </w:trPr>
        <w:tc>
          <w:tcPr>
            <w:tcW w:w="0" w:type="auto"/>
            <w:tcBorders>
              <w:top w:val="single" w:sz="8" w:space="0" w:color="BABABA"/>
              <w:left w:val="single" w:sz="8" w:space="0" w:color="BABABA"/>
              <w:bottom w:val="single" w:sz="8" w:space="0" w:color="BABABA"/>
              <w:right w:val="single" w:sz="8" w:space="0" w:color="BABABA"/>
            </w:tcBorders>
            <w:hideMark/>
          </w:tcPr>
          <w:p w14:paraId="5966F96C" w14:textId="77777777" w:rsidR="00A903E6" w:rsidRPr="00722521" w:rsidRDefault="00A903E6" w:rsidP="00347D50">
            <w:pPr>
              <w:pStyle w:val="TableParagraph"/>
              <w:mirrorIndents/>
              <w:rPr>
                <w:w w:val="105"/>
                <w:szCs w:val="17"/>
              </w:rPr>
            </w:pPr>
            <w:r w:rsidRPr="00722521">
              <w:rPr>
                <w:w w:val="105"/>
                <w:szCs w:val="17"/>
              </w:rPr>
              <w:t>Sustainable finance</w:t>
            </w:r>
          </w:p>
        </w:tc>
        <w:tc>
          <w:tcPr>
            <w:tcW w:w="0" w:type="auto"/>
            <w:tcBorders>
              <w:top w:val="single" w:sz="8" w:space="0" w:color="BABABA"/>
              <w:left w:val="single" w:sz="8" w:space="0" w:color="BABABA"/>
              <w:bottom w:val="single" w:sz="8" w:space="0" w:color="BABABA"/>
              <w:right w:val="single" w:sz="8" w:space="0" w:color="BABABA"/>
            </w:tcBorders>
          </w:tcPr>
          <w:p w14:paraId="5E7B98D2"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46A2A268" w14:textId="43144A8F"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83D3BC2" w14:textId="69898546" w:rsidR="00A903E6" w:rsidRPr="00722521" w:rsidRDefault="00E70B60" w:rsidP="00347D50">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102A625D" w14:textId="43AB9CA6"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450C37F1" w14:textId="77777777" w:rsidR="00A903E6" w:rsidRPr="00722521" w:rsidRDefault="00A903E6" w:rsidP="00347D50">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00CAEE33" w14:textId="77777777" w:rsidR="00A903E6" w:rsidRPr="00722521" w:rsidRDefault="00A903E6" w:rsidP="00347D50">
            <w:pPr>
              <w:pStyle w:val="TableParagraph"/>
              <w:mirrorIndents/>
              <w:rPr>
                <w:b/>
                <w:szCs w:val="17"/>
              </w:rPr>
            </w:pPr>
          </w:p>
        </w:tc>
      </w:tr>
    </w:tbl>
    <w:p w14:paraId="77558783" w14:textId="1306C036" w:rsidR="00A903E6" w:rsidRPr="00722521" w:rsidRDefault="00347D50" w:rsidP="00A903E6">
      <w:pPr>
        <w:pStyle w:val="berschrift1"/>
        <w:ind w:left="232"/>
        <w:mirrorIndents/>
        <w:rPr>
          <w:rFonts w:ascii="Verdana" w:hAnsi="Verdana"/>
          <w:sz w:val="17"/>
          <w:szCs w:val="17"/>
        </w:rPr>
      </w:pPr>
      <w:r w:rsidRPr="00722521">
        <w:rPr>
          <w:rFonts w:ascii="Verdana" w:hAnsi="Verdana"/>
          <w:sz w:val="17"/>
          <w:szCs w:val="17"/>
        </w:rPr>
        <w:br w:type="textWrapping" w:clear="all"/>
      </w:r>
    </w:p>
    <w:p w14:paraId="273C97B2" w14:textId="149243F8" w:rsidR="00A903E6" w:rsidRPr="00722521" w:rsidRDefault="00A903E6" w:rsidP="00A903E6">
      <w:pPr>
        <w:pStyle w:val="Textkrper"/>
        <w:mirrorIndents/>
        <w:rPr>
          <w:rFonts w:ascii="Verdana" w:hAnsi="Verdana"/>
          <w:sz w:val="17"/>
          <w:szCs w:val="17"/>
          <w:highlight w:val="lightGray"/>
        </w:rPr>
      </w:pPr>
      <w:r w:rsidRPr="00722521">
        <w:rPr>
          <w:rFonts w:ascii="Verdana" w:hAnsi="Verdana"/>
          <w:sz w:val="17"/>
          <w:szCs w:val="17"/>
          <w:highlight w:val="lightGray"/>
        </w:rPr>
        <w:t>Please explain your answer to question I on EIOPA:</w:t>
      </w:r>
    </w:p>
    <w:p w14:paraId="57B038DA" w14:textId="77777777" w:rsidR="00353F67" w:rsidRPr="00722521" w:rsidRDefault="00353F67" w:rsidP="004E7D11">
      <w:pPr>
        <w:pStyle w:val="CEABullet-Level1"/>
        <w:numPr>
          <w:ilvl w:val="0"/>
          <w:numId w:val="0"/>
        </w:numPr>
        <w:rPr>
          <w:color w:val="auto"/>
          <w:szCs w:val="17"/>
        </w:rPr>
      </w:pPr>
    </w:p>
    <w:p w14:paraId="7C85D58B" w14:textId="6330977E" w:rsidR="00D00AFA" w:rsidRPr="00722521" w:rsidRDefault="008463AA" w:rsidP="0062032B">
      <w:pPr>
        <w:pStyle w:val="CEABullet-Level1"/>
        <w:numPr>
          <w:ilvl w:val="0"/>
          <w:numId w:val="0"/>
        </w:numPr>
        <w:rPr>
          <w:color w:val="auto"/>
          <w:szCs w:val="17"/>
        </w:rPr>
      </w:pPr>
      <w:r>
        <w:rPr>
          <w:color w:val="auto"/>
          <w:szCs w:val="17"/>
        </w:rPr>
        <w:t xml:space="preserve">The </w:t>
      </w:r>
      <w:r w:rsidR="00722521">
        <w:rPr>
          <w:color w:val="auto"/>
          <w:szCs w:val="17"/>
        </w:rPr>
        <w:t>VVO</w:t>
      </w:r>
      <w:r w:rsidR="004E7D11" w:rsidRPr="00722521">
        <w:rPr>
          <w:color w:val="auto"/>
          <w:szCs w:val="17"/>
        </w:rPr>
        <w:t xml:space="preserve"> </w:t>
      </w:r>
      <w:r w:rsidR="006C01E7">
        <w:rPr>
          <w:color w:val="auto"/>
          <w:szCs w:val="17"/>
        </w:rPr>
        <w:t xml:space="preserve">(Austrian insurance industry) </w:t>
      </w:r>
      <w:r w:rsidR="004E7D11" w:rsidRPr="00722521">
        <w:rPr>
          <w:color w:val="auto"/>
          <w:szCs w:val="17"/>
        </w:rPr>
        <w:t xml:space="preserve">supports the work of EIOPA. </w:t>
      </w:r>
      <w:r w:rsidR="00F73202" w:rsidRPr="00722521">
        <w:rPr>
          <w:color w:val="auto"/>
          <w:szCs w:val="17"/>
        </w:rPr>
        <w:t>A</w:t>
      </w:r>
      <w:r w:rsidR="004E7D11" w:rsidRPr="00722521">
        <w:rPr>
          <w:color w:val="auto"/>
          <w:szCs w:val="17"/>
        </w:rPr>
        <w:t xml:space="preserve"> well-functioning EIOPA is a crucial element of an effective and efficient single market (for insurance).</w:t>
      </w:r>
      <w:r w:rsidR="00CE13E8" w:rsidRPr="00722521">
        <w:rPr>
          <w:color w:val="auto"/>
          <w:szCs w:val="17"/>
        </w:rPr>
        <w:t xml:space="preserve"> </w:t>
      </w:r>
      <w:r w:rsidR="00677910" w:rsidRPr="00722521">
        <w:rPr>
          <w:color w:val="auto"/>
          <w:szCs w:val="17"/>
        </w:rPr>
        <w:t xml:space="preserve">EIOPA has had significant impact across </w:t>
      </w:r>
      <w:r w:rsidR="00782B52" w:rsidRPr="00722521">
        <w:rPr>
          <w:color w:val="auto"/>
          <w:szCs w:val="17"/>
        </w:rPr>
        <w:t xml:space="preserve">many </w:t>
      </w:r>
      <w:r w:rsidR="00617965" w:rsidRPr="00722521">
        <w:rPr>
          <w:color w:val="auto"/>
          <w:szCs w:val="17"/>
        </w:rPr>
        <w:t>areas of its work</w:t>
      </w:r>
      <w:r w:rsidR="00E70B60" w:rsidRPr="00722521">
        <w:rPr>
          <w:color w:val="auto"/>
          <w:szCs w:val="17"/>
        </w:rPr>
        <w:t>.</w:t>
      </w:r>
      <w:r w:rsidR="00782B52" w:rsidRPr="00722521">
        <w:rPr>
          <w:color w:val="auto"/>
          <w:szCs w:val="17"/>
        </w:rPr>
        <w:t xml:space="preserve"> </w:t>
      </w:r>
      <w:r w:rsidR="00D00AFA" w:rsidRPr="00722521">
        <w:rPr>
          <w:color w:val="auto"/>
          <w:szCs w:val="17"/>
        </w:rPr>
        <w:t xml:space="preserve"> </w:t>
      </w:r>
    </w:p>
    <w:p w14:paraId="355E27EA" w14:textId="77777777" w:rsidR="00D00AFA" w:rsidRPr="00722521" w:rsidRDefault="00D00AFA" w:rsidP="00D00AFA">
      <w:pPr>
        <w:pStyle w:val="CEABullet-Level1"/>
        <w:numPr>
          <w:ilvl w:val="0"/>
          <w:numId w:val="0"/>
        </w:numPr>
        <w:rPr>
          <w:color w:val="auto"/>
          <w:szCs w:val="17"/>
        </w:rPr>
      </w:pPr>
    </w:p>
    <w:p w14:paraId="40A7D3FC" w14:textId="69BCE07E" w:rsidR="00677910" w:rsidRPr="00722521" w:rsidRDefault="00E70B60" w:rsidP="00D00AFA">
      <w:pPr>
        <w:pStyle w:val="CEABullet-Level1"/>
        <w:numPr>
          <w:ilvl w:val="0"/>
          <w:numId w:val="0"/>
        </w:numPr>
        <w:rPr>
          <w:color w:val="auto"/>
          <w:szCs w:val="17"/>
        </w:rPr>
      </w:pPr>
      <w:r w:rsidRPr="00722521">
        <w:rPr>
          <w:color w:val="auto"/>
          <w:szCs w:val="17"/>
        </w:rPr>
        <w:t xml:space="preserve">However, the industry highlights that </w:t>
      </w:r>
      <w:r w:rsidR="00D00AFA" w:rsidRPr="00722521">
        <w:rPr>
          <w:color w:val="auto"/>
          <w:szCs w:val="17"/>
        </w:rPr>
        <w:t>EIOPA should be clearly focused on ensuring that the rules applicable to the financial sector are adequately implemented across Member States and on developing a common supervisory culture and facilitating a single European financial market.</w:t>
      </w:r>
      <w:r w:rsidRPr="00722521">
        <w:rPr>
          <w:color w:val="auto"/>
          <w:szCs w:val="17"/>
        </w:rPr>
        <w:t xml:space="preserve"> Stakeholders should be able to know what to expect from EIOPA, and as such it should act within the boundaries of its explicit mandate.</w:t>
      </w:r>
    </w:p>
    <w:p w14:paraId="6832196C" w14:textId="5E21FA12" w:rsidR="00617965" w:rsidRPr="00722521" w:rsidRDefault="00617965" w:rsidP="0071051C">
      <w:pPr>
        <w:rPr>
          <w:i/>
          <w:iCs/>
          <w:szCs w:val="17"/>
        </w:rPr>
      </w:pPr>
    </w:p>
    <w:p w14:paraId="4F72D61F" w14:textId="68F8CB5E" w:rsidR="00E70B60" w:rsidRPr="00722521" w:rsidRDefault="00E70B60" w:rsidP="0071051C">
      <w:pPr>
        <w:rPr>
          <w:rFonts w:cstheme="minorHAnsi"/>
        </w:rPr>
      </w:pPr>
      <w:r w:rsidRPr="00722521">
        <w:rPr>
          <w:rFonts w:cstheme="minorHAnsi"/>
        </w:rPr>
        <w:t xml:space="preserve">Irrespective of the merits of recent EIOPA papers on impact underwriting or open insurance, those papers are illustrative of an advocacy role taken by EIOPA to set expectations in terms of “good” or “bad” market developments and ways to pursue insurance business. EIOPA’s role is not to influence the functioning of the insurance single market, which raises accountability concerns. IFRS and sustainable finance are also examples of areas where EIOPA tends to act as a lobbyist. With respect to financial innovation, </w:t>
      </w:r>
      <w:r w:rsidR="004E696E" w:rsidRPr="00722521">
        <w:rPr>
          <w:rFonts w:cstheme="minorHAnsi"/>
        </w:rPr>
        <w:t xml:space="preserve">the industry highlights that EIOPA should only act </w:t>
      </w:r>
      <w:r w:rsidR="00756A5B" w:rsidRPr="00722521">
        <w:rPr>
          <w:rFonts w:cstheme="minorHAnsi"/>
        </w:rPr>
        <w:t xml:space="preserve">only </w:t>
      </w:r>
      <w:r w:rsidR="004E696E" w:rsidRPr="00722521">
        <w:rPr>
          <w:rFonts w:cstheme="minorHAnsi"/>
        </w:rPr>
        <w:t>as a facilitator.</w:t>
      </w:r>
    </w:p>
    <w:p w14:paraId="5DAFD1A2" w14:textId="77777777" w:rsidR="00E70B60" w:rsidRPr="00722521" w:rsidRDefault="00E70B60" w:rsidP="0071051C">
      <w:pPr>
        <w:rPr>
          <w:rFonts w:cstheme="minorHAnsi"/>
        </w:rPr>
      </w:pPr>
    </w:p>
    <w:p w14:paraId="58836D36" w14:textId="4C4341C0" w:rsidR="00D00AFA" w:rsidRPr="00722521" w:rsidRDefault="00722521" w:rsidP="0071051C">
      <w:pPr>
        <w:rPr>
          <w:rFonts w:cstheme="minorHAnsi"/>
        </w:rPr>
      </w:pPr>
      <w:r>
        <w:rPr>
          <w:rFonts w:cstheme="minorHAnsi"/>
        </w:rPr>
        <w:t>VVO</w:t>
      </w:r>
      <w:r w:rsidR="00E70B60" w:rsidRPr="00722521">
        <w:rPr>
          <w:rFonts w:cstheme="minorHAnsi"/>
        </w:rPr>
        <w:t xml:space="preserve"> considers that EIOPA is fully pursuing its mandate when it acts as a neutral and impartial referee with respect to the implementation of the European prudential regulation and national supervisory practices.</w:t>
      </w:r>
    </w:p>
    <w:p w14:paraId="332E50C2" w14:textId="5A0595D2" w:rsidR="0071051C" w:rsidRPr="00722521" w:rsidRDefault="00D00AFA" w:rsidP="0071051C">
      <w:pPr>
        <w:rPr>
          <w:sz w:val="17"/>
          <w:szCs w:val="17"/>
        </w:rPr>
      </w:pPr>
      <w:r w:rsidRPr="00722521">
        <w:rPr>
          <w:sz w:val="17"/>
          <w:szCs w:val="17"/>
        </w:rPr>
        <w:t xml:space="preserve">The assessments have been made based on EIOPA’s actual impact and not on its mandate. </w:t>
      </w:r>
      <w:r w:rsidR="00400400" w:rsidRPr="00722521">
        <w:rPr>
          <w:sz w:val="17"/>
          <w:szCs w:val="17"/>
        </w:rPr>
        <w:t xml:space="preserve">For example, </w:t>
      </w:r>
      <w:r w:rsidR="00074DE0" w:rsidRPr="00722521">
        <w:rPr>
          <w:sz w:val="17"/>
          <w:szCs w:val="17"/>
        </w:rPr>
        <w:t xml:space="preserve">with respect to EIOPA’s impact on financial stability, the industry notes that </w:t>
      </w:r>
      <w:r w:rsidR="00400400" w:rsidRPr="00722521">
        <w:rPr>
          <w:sz w:val="17"/>
          <w:szCs w:val="17"/>
        </w:rPr>
        <w:t>insurers present very little systemic risk or issues for financial stability. Their business model allows them to avoid procyclical behaviour. While EIOPA has implemented monitoring and assessment processes to ensure this remains the case (</w:t>
      </w:r>
      <w:proofErr w:type="spellStart"/>
      <w:r w:rsidR="00400400" w:rsidRPr="00722521">
        <w:rPr>
          <w:sz w:val="17"/>
          <w:szCs w:val="17"/>
        </w:rPr>
        <w:t>eg</w:t>
      </w:r>
      <w:proofErr w:type="spellEnd"/>
      <w:r w:rsidR="00400400" w:rsidRPr="00722521">
        <w:rPr>
          <w:sz w:val="17"/>
          <w:szCs w:val="17"/>
        </w:rPr>
        <w:t xml:space="preserve"> regular stress testing exercises), </w:t>
      </w:r>
      <w:r w:rsidR="00074DE0" w:rsidRPr="00722521">
        <w:rPr>
          <w:sz w:val="17"/>
          <w:szCs w:val="17"/>
        </w:rPr>
        <w:t xml:space="preserve">it </w:t>
      </w:r>
      <w:r w:rsidR="00400400" w:rsidRPr="00722521">
        <w:rPr>
          <w:sz w:val="17"/>
          <w:szCs w:val="17"/>
        </w:rPr>
        <w:t>ha</w:t>
      </w:r>
      <w:r w:rsidR="00074DE0" w:rsidRPr="00722521">
        <w:rPr>
          <w:sz w:val="17"/>
          <w:szCs w:val="17"/>
        </w:rPr>
        <w:t>s</w:t>
      </w:r>
      <w:r w:rsidR="00400400" w:rsidRPr="00722521">
        <w:rPr>
          <w:sz w:val="17"/>
          <w:szCs w:val="17"/>
        </w:rPr>
        <w:t xml:space="preserve"> not had a significant impact on financial stability</w:t>
      </w:r>
      <w:r w:rsidR="00074DE0" w:rsidRPr="00722521">
        <w:rPr>
          <w:sz w:val="17"/>
          <w:szCs w:val="17"/>
        </w:rPr>
        <w:t>.</w:t>
      </w:r>
    </w:p>
    <w:p w14:paraId="20369891" w14:textId="3DA35D77" w:rsidR="00053078" w:rsidRPr="00722521" w:rsidRDefault="00053078" w:rsidP="0071051C">
      <w:pPr>
        <w:rPr>
          <w:sz w:val="17"/>
          <w:szCs w:val="17"/>
        </w:rPr>
      </w:pPr>
    </w:p>
    <w:p w14:paraId="3F457CCA" w14:textId="62884898" w:rsidR="00FD397A" w:rsidRPr="00722521" w:rsidRDefault="00FD397A" w:rsidP="0071051C">
      <w:pPr>
        <w:rPr>
          <w:sz w:val="17"/>
          <w:szCs w:val="17"/>
        </w:rPr>
      </w:pPr>
      <w:r w:rsidRPr="00722521">
        <w:rPr>
          <w:sz w:val="17"/>
          <w:szCs w:val="17"/>
        </w:rPr>
        <w:t xml:space="preserve">Finally, the industry would like to stress concerns on pushes from other financial sectors aiming at harmonising some requirements across the whole financial system. </w:t>
      </w:r>
      <w:r w:rsidR="00722521">
        <w:rPr>
          <w:sz w:val="17"/>
          <w:szCs w:val="17"/>
        </w:rPr>
        <w:t>VVO</w:t>
      </w:r>
      <w:r w:rsidRPr="00722521">
        <w:rPr>
          <w:sz w:val="17"/>
          <w:szCs w:val="17"/>
        </w:rPr>
        <w:t xml:space="preserve"> highlights that the different sectoral regulations have been developed as tailored to different business models and consumer relations, which could be deterred by undue harmonisation.</w:t>
      </w:r>
    </w:p>
    <w:p w14:paraId="4389E725" w14:textId="244B8EEA" w:rsidR="00400400" w:rsidRPr="00722521" w:rsidRDefault="00400400" w:rsidP="00A903E6">
      <w:pPr>
        <w:rPr>
          <w:sz w:val="17"/>
          <w:szCs w:val="17"/>
        </w:rPr>
      </w:pPr>
    </w:p>
    <w:p w14:paraId="26DF8A7A" w14:textId="77777777" w:rsidR="00AA4E82" w:rsidRPr="00722521" w:rsidRDefault="00AA4E82" w:rsidP="00AA4E82">
      <w:pPr>
        <w:pStyle w:val="Textkrper"/>
        <w:mirrorIndents/>
        <w:rPr>
          <w:rFonts w:ascii="Verdana" w:hAnsi="Verdana"/>
          <w:sz w:val="17"/>
          <w:szCs w:val="17"/>
          <w:highlight w:val="lightGray"/>
        </w:rPr>
      </w:pPr>
      <w:r w:rsidRPr="00722521">
        <w:rPr>
          <w:rFonts w:ascii="Verdana" w:hAnsi="Verdana"/>
          <w:sz w:val="17"/>
          <w:szCs w:val="17"/>
          <w:highlight w:val="lightGray"/>
        </w:rPr>
        <w:t>Question II. EIOPA: In your view, do EIOPA’s mandate cover all necessary tasks and powers to contribute to the stability and to the well-functioning of the financial system?</w:t>
      </w:r>
    </w:p>
    <w:p w14:paraId="68D027AF" w14:textId="77777777" w:rsidR="00AA4E82" w:rsidRPr="00722521" w:rsidRDefault="00AA4E82" w:rsidP="00AA4E82">
      <w:pPr>
        <w:pStyle w:val="CEABullet-Level1"/>
        <w:numPr>
          <w:ilvl w:val="0"/>
          <w:numId w:val="4"/>
        </w:numPr>
        <w:ind w:left="672"/>
        <w:rPr>
          <w:color w:val="auto"/>
          <w:szCs w:val="17"/>
          <w:highlight w:val="lightGray"/>
        </w:rPr>
      </w:pPr>
      <w:r w:rsidRPr="00722521">
        <w:rPr>
          <w:color w:val="auto"/>
          <w:szCs w:val="17"/>
          <w:highlight w:val="lightGray"/>
        </w:rPr>
        <w:t xml:space="preserve">Yes </w:t>
      </w:r>
    </w:p>
    <w:p w14:paraId="148F5BB7" w14:textId="77777777" w:rsidR="00AA4E82" w:rsidRPr="00722521" w:rsidRDefault="00AA4E82" w:rsidP="00AA4E82">
      <w:pPr>
        <w:pStyle w:val="CEABullet-Level1"/>
        <w:numPr>
          <w:ilvl w:val="0"/>
          <w:numId w:val="4"/>
        </w:numPr>
        <w:ind w:left="672"/>
        <w:rPr>
          <w:color w:val="auto"/>
          <w:szCs w:val="17"/>
          <w:highlight w:val="lightGray"/>
        </w:rPr>
      </w:pPr>
      <w:r w:rsidRPr="00722521">
        <w:rPr>
          <w:color w:val="auto"/>
          <w:szCs w:val="17"/>
          <w:highlight w:val="lightGray"/>
        </w:rPr>
        <w:t>No</w:t>
      </w:r>
    </w:p>
    <w:p w14:paraId="5ABE279D" w14:textId="0830DB11" w:rsidR="00AA4E82" w:rsidRPr="00722521" w:rsidRDefault="00AA4E82" w:rsidP="00AA4E82">
      <w:pPr>
        <w:pStyle w:val="CEABullet-Level1"/>
        <w:numPr>
          <w:ilvl w:val="0"/>
          <w:numId w:val="4"/>
        </w:numPr>
        <w:ind w:left="672"/>
        <w:rPr>
          <w:color w:val="auto"/>
          <w:szCs w:val="17"/>
          <w:highlight w:val="lightGray"/>
        </w:rPr>
      </w:pPr>
      <w:r w:rsidRPr="00722521">
        <w:rPr>
          <w:color w:val="auto"/>
          <w:szCs w:val="17"/>
          <w:highlight w:val="lightGray"/>
        </w:rPr>
        <w:t>Don’t know / no opinion / not relevant</w:t>
      </w:r>
    </w:p>
    <w:p w14:paraId="519C1E99" w14:textId="6B0C6014" w:rsidR="00347D50" w:rsidRPr="00722521" w:rsidRDefault="00347D50" w:rsidP="00347D50">
      <w:pPr>
        <w:pStyle w:val="CEABullet-Level1"/>
        <w:numPr>
          <w:ilvl w:val="0"/>
          <w:numId w:val="0"/>
        </w:numPr>
        <w:rPr>
          <w:color w:val="auto"/>
          <w:szCs w:val="17"/>
        </w:rPr>
      </w:pPr>
    </w:p>
    <w:p w14:paraId="54CEBDE6" w14:textId="21427D2E" w:rsidR="00347D50" w:rsidRPr="00722521" w:rsidRDefault="00347D50" w:rsidP="00347D50">
      <w:pPr>
        <w:pStyle w:val="CEABullet-Level1"/>
        <w:numPr>
          <w:ilvl w:val="0"/>
          <w:numId w:val="0"/>
        </w:numPr>
        <w:rPr>
          <w:b/>
          <w:bCs/>
          <w:color w:val="auto"/>
          <w:szCs w:val="17"/>
        </w:rPr>
      </w:pPr>
      <w:r w:rsidRPr="00722521">
        <w:rPr>
          <w:b/>
          <w:bCs/>
          <w:color w:val="auto"/>
          <w:szCs w:val="17"/>
        </w:rPr>
        <w:t>Yes</w:t>
      </w:r>
    </w:p>
    <w:p w14:paraId="1D4BDA84" w14:textId="77777777" w:rsidR="00AA4E82" w:rsidRPr="00722521" w:rsidRDefault="00AA4E82" w:rsidP="00AA4E82">
      <w:pPr>
        <w:mirrorIndents/>
        <w:rPr>
          <w:sz w:val="17"/>
          <w:szCs w:val="17"/>
          <w:lang w:val="en-US"/>
        </w:rPr>
      </w:pPr>
    </w:p>
    <w:p w14:paraId="020AC58F" w14:textId="77777777" w:rsidR="00AA4E82" w:rsidRPr="00722521" w:rsidRDefault="00AA4E82" w:rsidP="0015787D">
      <w:pPr>
        <w:pStyle w:val="Textkrper"/>
        <w:ind w:left="0"/>
        <w:mirrorIndents/>
        <w:rPr>
          <w:rFonts w:ascii="Verdana" w:hAnsi="Verdana"/>
          <w:sz w:val="17"/>
          <w:szCs w:val="17"/>
          <w:highlight w:val="lightGray"/>
        </w:rPr>
      </w:pPr>
      <w:r w:rsidRPr="00722521">
        <w:rPr>
          <w:rFonts w:ascii="Verdana" w:hAnsi="Verdana"/>
          <w:sz w:val="17"/>
          <w:szCs w:val="17"/>
          <w:highlight w:val="lightGray"/>
        </w:rPr>
        <w:t>If you think that there are elements which should be added or removed from EIOPA's mandate, please provide a substantiated answer:</w:t>
      </w:r>
    </w:p>
    <w:p w14:paraId="11E41F0A" w14:textId="77777777" w:rsidR="00AA4E82" w:rsidRPr="00722521" w:rsidRDefault="00AA4E82" w:rsidP="00AA4E82">
      <w:pPr>
        <w:rPr>
          <w:sz w:val="17"/>
          <w:szCs w:val="17"/>
        </w:rPr>
      </w:pPr>
    </w:p>
    <w:p w14:paraId="2554849E" w14:textId="08FD2655" w:rsidR="00AA4E82" w:rsidRPr="00722521" w:rsidRDefault="00AA4E82" w:rsidP="00AA4E82">
      <w:pPr>
        <w:rPr>
          <w:sz w:val="17"/>
          <w:szCs w:val="17"/>
        </w:rPr>
      </w:pPr>
    </w:p>
    <w:p w14:paraId="59ED08A6" w14:textId="345EFE3B" w:rsidR="0071051C" w:rsidRPr="00722521" w:rsidRDefault="0071051C" w:rsidP="0071051C">
      <w:pPr>
        <w:rPr>
          <w:sz w:val="17"/>
          <w:szCs w:val="17"/>
        </w:rPr>
      </w:pPr>
      <w:r w:rsidRPr="00722521">
        <w:rPr>
          <w:sz w:val="17"/>
          <w:szCs w:val="17"/>
        </w:rPr>
        <w:t>The ESAs regulations went through a review very recently, which already provided for some new powers for EIOPA to fulfil its objectives. There is no need for any further significant changes at this stage.</w:t>
      </w:r>
    </w:p>
    <w:p w14:paraId="7571B8D8" w14:textId="77777777" w:rsidR="0071051C" w:rsidRPr="00722521" w:rsidRDefault="0071051C" w:rsidP="0071051C">
      <w:pPr>
        <w:rPr>
          <w:sz w:val="17"/>
          <w:szCs w:val="17"/>
        </w:rPr>
      </w:pPr>
    </w:p>
    <w:p w14:paraId="26CD2FEE" w14:textId="2D242C90" w:rsidR="0071051C" w:rsidRPr="00722521" w:rsidRDefault="0071051C" w:rsidP="0071051C">
      <w:pPr>
        <w:rPr>
          <w:sz w:val="17"/>
          <w:szCs w:val="17"/>
        </w:rPr>
      </w:pPr>
      <w:bookmarkStart w:id="0" w:name="_Hlk71193140"/>
      <w:r w:rsidRPr="00722521">
        <w:rPr>
          <w:sz w:val="17"/>
          <w:szCs w:val="17"/>
        </w:rPr>
        <w:t>While the only area where there is evidence that a change is needed is in the area of cross-border business to ensure an appropriate cooperation and communication between NSAs, this should be dealt with under the Solvency II Review, where EIOPA made some good proposals</w:t>
      </w:r>
      <w:r w:rsidR="00756A5B" w:rsidRPr="00722521">
        <w:rPr>
          <w:sz w:val="17"/>
          <w:szCs w:val="17"/>
        </w:rPr>
        <w:t xml:space="preserve"> to improve supervision of cross-border business</w:t>
      </w:r>
      <w:r w:rsidR="00400400" w:rsidRPr="00722521">
        <w:rPr>
          <w:sz w:val="17"/>
          <w:szCs w:val="17"/>
        </w:rPr>
        <w:t xml:space="preserve">. </w:t>
      </w:r>
      <w:r w:rsidR="007738FD" w:rsidRPr="00722521">
        <w:rPr>
          <w:sz w:val="17"/>
          <w:szCs w:val="17"/>
        </w:rPr>
        <w:t xml:space="preserve">It is key that </w:t>
      </w:r>
      <w:r w:rsidR="00756A5B" w:rsidRPr="00722521">
        <w:rPr>
          <w:sz w:val="17"/>
          <w:szCs w:val="17"/>
        </w:rPr>
        <w:t xml:space="preserve">EIOPA uses its existing </w:t>
      </w:r>
      <w:r w:rsidR="007738FD" w:rsidRPr="00722521">
        <w:rPr>
          <w:sz w:val="17"/>
          <w:szCs w:val="17"/>
        </w:rPr>
        <w:t xml:space="preserve">e powers and make further efforts to integrate the single market, increase supervisory convergence and ensure fair competition and consistent consumer protection. EIOPA’s coordination function is a central element of the development of a common supervisory culture and the consistent application of the regulatory and supervisory framework. In cases where the supervision of insurance group is considered, the group supervisory system and the colleges of supervisors provide for an effective and efficient vehicle for the exchange and coordination of NCAs and EIOPA. </w:t>
      </w:r>
    </w:p>
    <w:bookmarkEnd w:id="0"/>
    <w:p w14:paraId="28B481DF" w14:textId="77777777" w:rsidR="0071051C" w:rsidRPr="00722521" w:rsidRDefault="0071051C" w:rsidP="0071051C">
      <w:pPr>
        <w:rPr>
          <w:sz w:val="17"/>
          <w:szCs w:val="17"/>
        </w:rPr>
      </w:pPr>
    </w:p>
    <w:p w14:paraId="591DBE1D" w14:textId="0A79F4EE" w:rsidR="0071051C" w:rsidRPr="00722521" w:rsidRDefault="0071051C" w:rsidP="0071051C">
      <w:pPr>
        <w:rPr>
          <w:sz w:val="17"/>
          <w:szCs w:val="17"/>
        </w:rPr>
      </w:pPr>
      <w:r w:rsidRPr="00722521">
        <w:rPr>
          <w:sz w:val="17"/>
          <w:szCs w:val="17"/>
        </w:rPr>
        <w:t>In all other respects, EIOPA’s powers are sufficient.</w:t>
      </w:r>
    </w:p>
    <w:p w14:paraId="03B5FF05" w14:textId="726E8D61" w:rsidR="005D619A" w:rsidRPr="00722521" w:rsidRDefault="005D619A" w:rsidP="0071051C">
      <w:pPr>
        <w:rPr>
          <w:sz w:val="17"/>
          <w:szCs w:val="17"/>
        </w:rPr>
      </w:pPr>
    </w:p>
    <w:p w14:paraId="6CD79120" w14:textId="77777777" w:rsidR="0071051C" w:rsidRPr="00722521" w:rsidRDefault="0071051C" w:rsidP="00AA4E82">
      <w:pPr>
        <w:rPr>
          <w:sz w:val="17"/>
          <w:szCs w:val="17"/>
        </w:rPr>
      </w:pPr>
    </w:p>
    <w:p w14:paraId="36707026" w14:textId="77777777" w:rsidR="00AA4E82" w:rsidRPr="00722521" w:rsidRDefault="00AA4E82" w:rsidP="0015787D">
      <w:pPr>
        <w:pStyle w:val="Textkrper"/>
        <w:ind w:left="0"/>
        <w:mirrorIndents/>
        <w:rPr>
          <w:rFonts w:ascii="Verdana" w:hAnsi="Verdana"/>
          <w:sz w:val="17"/>
          <w:szCs w:val="17"/>
          <w:highlight w:val="lightGray"/>
        </w:rPr>
      </w:pPr>
      <w:r w:rsidRPr="00722521">
        <w:rPr>
          <w:rFonts w:ascii="Verdana" w:hAnsi="Verdana"/>
          <w:sz w:val="17"/>
          <w:szCs w:val="17"/>
          <w:highlight w:val="lightGray"/>
        </w:rPr>
        <w:t>Question III. EIOPA: In your view, does EIOPA face any obstacles in delivering on their mandates?</w:t>
      </w:r>
    </w:p>
    <w:p w14:paraId="128B37FA" w14:textId="77777777" w:rsidR="00AA4E82" w:rsidRPr="00722521" w:rsidRDefault="00AA4E82" w:rsidP="00AA4E82">
      <w:pPr>
        <w:pStyle w:val="CEABullet-Level1"/>
        <w:numPr>
          <w:ilvl w:val="0"/>
          <w:numId w:val="4"/>
        </w:numPr>
        <w:ind w:left="672"/>
        <w:rPr>
          <w:color w:val="auto"/>
          <w:szCs w:val="17"/>
          <w:highlight w:val="lightGray"/>
        </w:rPr>
      </w:pPr>
      <w:r w:rsidRPr="00722521">
        <w:rPr>
          <w:color w:val="auto"/>
          <w:szCs w:val="17"/>
          <w:highlight w:val="lightGray"/>
        </w:rPr>
        <w:t xml:space="preserve">Yes </w:t>
      </w:r>
    </w:p>
    <w:p w14:paraId="01EF20F4" w14:textId="77777777" w:rsidR="00AA4E82" w:rsidRPr="00722521" w:rsidRDefault="00AA4E82" w:rsidP="00AA4E82">
      <w:pPr>
        <w:pStyle w:val="CEABullet-Level1"/>
        <w:numPr>
          <w:ilvl w:val="0"/>
          <w:numId w:val="4"/>
        </w:numPr>
        <w:ind w:left="672"/>
        <w:rPr>
          <w:color w:val="auto"/>
          <w:szCs w:val="17"/>
          <w:highlight w:val="lightGray"/>
        </w:rPr>
      </w:pPr>
      <w:r w:rsidRPr="00722521">
        <w:rPr>
          <w:color w:val="auto"/>
          <w:szCs w:val="17"/>
          <w:highlight w:val="lightGray"/>
        </w:rPr>
        <w:lastRenderedPageBreak/>
        <w:t>No</w:t>
      </w:r>
    </w:p>
    <w:p w14:paraId="4DCFEDC8" w14:textId="77777777" w:rsidR="00AA4E82" w:rsidRPr="00722521" w:rsidRDefault="00AA4E82" w:rsidP="00AA4E82">
      <w:pPr>
        <w:pStyle w:val="CEABullet-Level1"/>
        <w:numPr>
          <w:ilvl w:val="0"/>
          <w:numId w:val="4"/>
        </w:numPr>
        <w:ind w:left="672"/>
        <w:rPr>
          <w:color w:val="auto"/>
          <w:szCs w:val="17"/>
          <w:highlight w:val="lightGray"/>
        </w:rPr>
      </w:pPr>
      <w:r w:rsidRPr="00722521">
        <w:rPr>
          <w:color w:val="auto"/>
          <w:szCs w:val="17"/>
          <w:highlight w:val="lightGray"/>
        </w:rPr>
        <w:t>Don’t know / no opinion / not relevant</w:t>
      </w:r>
    </w:p>
    <w:p w14:paraId="3CE1F3E4" w14:textId="0D630297" w:rsidR="00AA4E82" w:rsidRPr="00722521" w:rsidRDefault="00AA4E82" w:rsidP="00AA4E82">
      <w:pPr>
        <w:mirrorIndents/>
        <w:rPr>
          <w:sz w:val="17"/>
          <w:szCs w:val="17"/>
        </w:rPr>
      </w:pPr>
    </w:p>
    <w:p w14:paraId="2A670B1C" w14:textId="74FB2114" w:rsidR="005851A7" w:rsidRPr="00722521" w:rsidRDefault="00022655" w:rsidP="00AA4E82">
      <w:pPr>
        <w:mirrorIndents/>
        <w:rPr>
          <w:b/>
          <w:bCs/>
          <w:sz w:val="17"/>
          <w:szCs w:val="17"/>
        </w:rPr>
      </w:pPr>
      <w:r w:rsidRPr="00722521">
        <w:rPr>
          <w:b/>
          <w:bCs/>
          <w:sz w:val="17"/>
          <w:szCs w:val="17"/>
        </w:rPr>
        <w:t>No</w:t>
      </w:r>
    </w:p>
    <w:p w14:paraId="46A4D16F" w14:textId="77777777" w:rsidR="00347D50" w:rsidRPr="00722521" w:rsidRDefault="00347D50" w:rsidP="00AA4E82">
      <w:pPr>
        <w:mirrorIndents/>
        <w:rPr>
          <w:sz w:val="17"/>
          <w:szCs w:val="17"/>
        </w:rPr>
      </w:pPr>
    </w:p>
    <w:p w14:paraId="43564154" w14:textId="77777777" w:rsidR="00AA4E82" w:rsidRPr="00722521" w:rsidRDefault="00AA4E82" w:rsidP="0015787D">
      <w:pPr>
        <w:pStyle w:val="Textkrper"/>
        <w:ind w:left="0"/>
        <w:mirrorIndents/>
        <w:rPr>
          <w:rFonts w:ascii="Verdana" w:hAnsi="Verdana"/>
          <w:sz w:val="17"/>
          <w:szCs w:val="17"/>
          <w:highlight w:val="lightGray"/>
        </w:rPr>
      </w:pPr>
      <w:r w:rsidRPr="00722521">
        <w:rPr>
          <w:rFonts w:ascii="Verdana" w:hAnsi="Verdana"/>
          <w:sz w:val="17"/>
          <w:szCs w:val="17"/>
          <w:highlight w:val="lightGray"/>
        </w:rPr>
        <w:t>Please explain what you consider to be the main obstacles for EIOPA:</w:t>
      </w:r>
    </w:p>
    <w:p w14:paraId="44132039" w14:textId="5FF66478" w:rsidR="00AA4E82" w:rsidRPr="00722521" w:rsidRDefault="00AA4E82" w:rsidP="00AA4E82">
      <w:pPr>
        <w:mirrorIndents/>
        <w:rPr>
          <w:sz w:val="17"/>
          <w:szCs w:val="17"/>
        </w:rPr>
      </w:pPr>
    </w:p>
    <w:p w14:paraId="6441A4AD" w14:textId="6130E264" w:rsidR="009D75E7" w:rsidRPr="00722521" w:rsidRDefault="005D619A" w:rsidP="00AA4E82">
      <w:pPr>
        <w:mirrorIndents/>
        <w:rPr>
          <w:b/>
          <w:bCs/>
          <w:sz w:val="17"/>
          <w:szCs w:val="17"/>
        </w:rPr>
      </w:pPr>
      <w:r w:rsidRPr="00722521">
        <w:rPr>
          <w:b/>
          <w:bCs/>
          <w:sz w:val="17"/>
          <w:szCs w:val="17"/>
        </w:rPr>
        <w:t xml:space="preserve">While there are challenges, there are not obstacles that require regulatory changes.  </w:t>
      </w:r>
      <w:r w:rsidR="00B16184" w:rsidRPr="00722521">
        <w:rPr>
          <w:b/>
          <w:bCs/>
          <w:sz w:val="17"/>
          <w:szCs w:val="17"/>
        </w:rPr>
        <w:t>C</w:t>
      </w:r>
      <w:r w:rsidRPr="00722521">
        <w:rPr>
          <w:b/>
          <w:bCs/>
          <w:sz w:val="17"/>
          <w:szCs w:val="17"/>
        </w:rPr>
        <w:t>hallenges include l</w:t>
      </w:r>
      <w:r w:rsidR="009D75E7" w:rsidRPr="00722521">
        <w:rPr>
          <w:b/>
          <w:bCs/>
          <w:sz w:val="17"/>
          <w:szCs w:val="17"/>
        </w:rPr>
        <w:t>ack of a common supervisor culture and approach across NSAs and also the tendency for some NSAs to gold-plate the EU regulatory requirements.</w:t>
      </w:r>
      <w:r w:rsidRPr="00722521">
        <w:rPr>
          <w:b/>
          <w:bCs/>
          <w:sz w:val="17"/>
          <w:szCs w:val="17"/>
        </w:rPr>
        <w:t xml:space="preserve">  These challenges can be addressed by ongoing effort from EIOPA and full use of their powers.</w:t>
      </w:r>
    </w:p>
    <w:p w14:paraId="4727369B" w14:textId="77777777" w:rsidR="009D75E7" w:rsidRPr="00722521" w:rsidRDefault="009D75E7" w:rsidP="00AA4E82">
      <w:pPr>
        <w:mirrorIndents/>
        <w:rPr>
          <w:sz w:val="17"/>
          <w:szCs w:val="17"/>
        </w:rPr>
      </w:pPr>
    </w:p>
    <w:p w14:paraId="5348CE4F" w14:textId="1D824D04" w:rsidR="0050708C" w:rsidRPr="00722521" w:rsidRDefault="005D619A" w:rsidP="00AA4E82">
      <w:pPr>
        <w:mirrorIndents/>
        <w:rPr>
          <w:sz w:val="17"/>
          <w:szCs w:val="17"/>
        </w:rPr>
      </w:pPr>
      <w:r w:rsidRPr="00722521">
        <w:rPr>
          <w:sz w:val="17"/>
          <w:szCs w:val="17"/>
        </w:rPr>
        <w:t>It is important to note that t</w:t>
      </w:r>
      <w:r w:rsidR="00E6366D" w:rsidRPr="00722521">
        <w:rPr>
          <w:sz w:val="17"/>
          <w:szCs w:val="17"/>
        </w:rPr>
        <w:t>he</w:t>
      </w:r>
      <w:r w:rsidR="0050708C" w:rsidRPr="00722521">
        <w:rPr>
          <w:sz w:val="17"/>
          <w:szCs w:val="17"/>
        </w:rPr>
        <w:t xml:space="preserve"> objective </w:t>
      </w:r>
      <w:r w:rsidR="00544BD5" w:rsidRPr="00722521">
        <w:rPr>
          <w:sz w:val="17"/>
          <w:szCs w:val="17"/>
        </w:rPr>
        <w:t xml:space="preserve">of </w:t>
      </w:r>
      <w:r w:rsidR="005851A7" w:rsidRPr="00722521">
        <w:rPr>
          <w:sz w:val="17"/>
          <w:szCs w:val="17"/>
        </w:rPr>
        <w:t xml:space="preserve">convergence of supervisory practices </w:t>
      </w:r>
      <w:r w:rsidR="0050708C" w:rsidRPr="00722521">
        <w:rPr>
          <w:sz w:val="17"/>
          <w:szCs w:val="17"/>
        </w:rPr>
        <w:t xml:space="preserve">is sometimes </w:t>
      </w:r>
      <w:r w:rsidR="00544BD5" w:rsidRPr="00722521">
        <w:rPr>
          <w:sz w:val="17"/>
          <w:szCs w:val="17"/>
        </w:rPr>
        <w:t xml:space="preserve">confused with a </w:t>
      </w:r>
      <w:r w:rsidR="009915D4" w:rsidRPr="00722521">
        <w:rPr>
          <w:sz w:val="17"/>
          <w:szCs w:val="17"/>
        </w:rPr>
        <w:t xml:space="preserve">need for </w:t>
      </w:r>
      <w:r w:rsidR="0050708C" w:rsidRPr="00722521">
        <w:rPr>
          <w:sz w:val="17"/>
          <w:szCs w:val="17"/>
        </w:rPr>
        <w:t xml:space="preserve">all NSAs to take </w:t>
      </w:r>
      <w:r w:rsidR="00544BD5" w:rsidRPr="00722521">
        <w:rPr>
          <w:sz w:val="17"/>
          <w:szCs w:val="17"/>
        </w:rPr>
        <w:t>identical actions</w:t>
      </w:r>
      <w:r w:rsidR="0050708C" w:rsidRPr="00722521">
        <w:rPr>
          <w:sz w:val="17"/>
          <w:szCs w:val="17"/>
        </w:rPr>
        <w:t xml:space="preserve">. </w:t>
      </w:r>
      <w:r w:rsidR="00544BD5" w:rsidRPr="00722521">
        <w:rPr>
          <w:sz w:val="17"/>
          <w:szCs w:val="17"/>
        </w:rPr>
        <w:t>However, c</w:t>
      </w:r>
      <w:r w:rsidR="0050708C" w:rsidRPr="00722521">
        <w:rPr>
          <w:sz w:val="17"/>
          <w:szCs w:val="17"/>
        </w:rPr>
        <w:t xml:space="preserve">onvergence is about applying the same rules and requirements and </w:t>
      </w:r>
      <w:r w:rsidR="009915D4" w:rsidRPr="00722521">
        <w:rPr>
          <w:sz w:val="17"/>
          <w:szCs w:val="17"/>
        </w:rPr>
        <w:t xml:space="preserve">this can lead to different outcomes depending on the </w:t>
      </w:r>
      <w:r w:rsidR="00544BD5" w:rsidRPr="00722521">
        <w:rPr>
          <w:sz w:val="17"/>
          <w:szCs w:val="17"/>
        </w:rPr>
        <w:t>specific</w:t>
      </w:r>
      <w:r w:rsidR="009915D4" w:rsidRPr="00722521">
        <w:rPr>
          <w:sz w:val="17"/>
          <w:szCs w:val="17"/>
        </w:rPr>
        <w:t xml:space="preserve"> and situations.</w:t>
      </w:r>
      <w:r w:rsidR="0050708C" w:rsidRPr="00722521">
        <w:rPr>
          <w:sz w:val="17"/>
          <w:szCs w:val="17"/>
        </w:rPr>
        <w:t xml:space="preserve"> </w:t>
      </w:r>
      <w:r w:rsidR="009D75E7" w:rsidRPr="00722521">
        <w:rPr>
          <w:sz w:val="17"/>
          <w:szCs w:val="17"/>
        </w:rPr>
        <w:t>There are also</w:t>
      </w:r>
      <w:r w:rsidR="0050708C" w:rsidRPr="00722521">
        <w:rPr>
          <w:sz w:val="17"/>
          <w:szCs w:val="17"/>
        </w:rPr>
        <w:t xml:space="preserve"> examples where gold-plating of rules in one or member states has led to EIOPA </w:t>
      </w:r>
      <w:r w:rsidR="009D75E7" w:rsidRPr="00722521">
        <w:rPr>
          <w:sz w:val="17"/>
          <w:szCs w:val="17"/>
        </w:rPr>
        <w:t xml:space="preserve">to </w:t>
      </w:r>
      <w:r w:rsidR="0050708C" w:rsidRPr="00722521">
        <w:rPr>
          <w:sz w:val="17"/>
          <w:szCs w:val="17"/>
        </w:rPr>
        <w:t xml:space="preserve">seek convergence by having all NSAs apply the same gold-plating. This leads to ever increasing levels of </w:t>
      </w:r>
      <w:r w:rsidR="0071051C" w:rsidRPr="00722521">
        <w:rPr>
          <w:sz w:val="17"/>
          <w:szCs w:val="17"/>
        </w:rPr>
        <w:t>regulatory</w:t>
      </w:r>
      <w:r w:rsidR="0050708C" w:rsidRPr="00722521">
        <w:rPr>
          <w:sz w:val="17"/>
          <w:szCs w:val="17"/>
        </w:rPr>
        <w:t xml:space="preserve"> and operational burdens over and above those specified in the legal texts.</w:t>
      </w:r>
    </w:p>
    <w:p w14:paraId="5BC4001B" w14:textId="35A87CE5" w:rsidR="0050708C" w:rsidRPr="00722521" w:rsidRDefault="0050708C" w:rsidP="00AA4E82">
      <w:pPr>
        <w:mirrorIndents/>
        <w:rPr>
          <w:sz w:val="17"/>
          <w:szCs w:val="17"/>
        </w:rPr>
      </w:pPr>
    </w:p>
    <w:p w14:paraId="7EAFF98B" w14:textId="330629AD" w:rsidR="0050708C" w:rsidRPr="00722521" w:rsidRDefault="00544BD5" w:rsidP="00AA4E82">
      <w:pPr>
        <w:mirrorIndents/>
        <w:rPr>
          <w:sz w:val="17"/>
          <w:szCs w:val="17"/>
        </w:rPr>
      </w:pPr>
      <w:r w:rsidRPr="00722521">
        <w:rPr>
          <w:sz w:val="17"/>
          <w:szCs w:val="17"/>
        </w:rPr>
        <w:t>For c</w:t>
      </w:r>
      <w:r w:rsidR="0050708C" w:rsidRPr="00722521">
        <w:rPr>
          <w:sz w:val="17"/>
          <w:szCs w:val="17"/>
        </w:rPr>
        <w:t xml:space="preserve">onvergence </w:t>
      </w:r>
      <w:r w:rsidRPr="00722521">
        <w:rPr>
          <w:sz w:val="17"/>
          <w:szCs w:val="17"/>
        </w:rPr>
        <w:t>to</w:t>
      </w:r>
      <w:r w:rsidR="0050708C" w:rsidRPr="00722521">
        <w:rPr>
          <w:sz w:val="17"/>
          <w:szCs w:val="17"/>
        </w:rPr>
        <w:t xml:space="preserve"> be achieved</w:t>
      </w:r>
      <w:r w:rsidRPr="00722521">
        <w:rPr>
          <w:sz w:val="17"/>
          <w:szCs w:val="17"/>
        </w:rPr>
        <w:t xml:space="preserve">, </w:t>
      </w:r>
      <w:r w:rsidR="009D75E7" w:rsidRPr="00722521">
        <w:rPr>
          <w:sz w:val="17"/>
          <w:szCs w:val="17"/>
        </w:rPr>
        <w:t xml:space="preserve">EIOPA </w:t>
      </w:r>
      <w:r w:rsidRPr="00722521">
        <w:rPr>
          <w:sz w:val="17"/>
          <w:szCs w:val="17"/>
        </w:rPr>
        <w:t>should take</w:t>
      </w:r>
      <w:r w:rsidR="009D75E7" w:rsidRPr="00722521">
        <w:rPr>
          <w:sz w:val="17"/>
          <w:szCs w:val="17"/>
        </w:rPr>
        <w:t xml:space="preserve"> actions to ensure that </w:t>
      </w:r>
      <w:r w:rsidR="0050708C" w:rsidRPr="00722521">
        <w:rPr>
          <w:sz w:val="17"/>
          <w:szCs w:val="17"/>
        </w:rPr>
        <w:t xml:space="preserve">all NSAs </w:t>
      </w:r>
      <w:r w:rsidR="0050708C" w:rsidRPr="00722521">
        <w:rPr>
          <w:b/>
          <w:bCs/>
          <w:sz w:val="17"/>
          <w:szCs w:val="17"/>
        </w:rPr>
        <w:t xml:space="preserve">apply, and </w:t>
      </w:r>
      <w:r w:rsidRPr="00722521">
        <w:rPr>
          <w:b/>
          <w:bCs/>
          <w:sz w:val="17"/>
          <w:szCs w:val="17"/>
        </w:rPr>
        <w:t xml:space="preserve">do </w:t>
      </w:r>
      <w:r w:rsidR="0050708C" w:rsidRPr="00722521">
        <w:rPr>
          <w:b/>
          <w:bCs/>
          <w:sz w:val="17"/>
          <w:szCs w:val="17"/>
        </w:rPr>
        <w:t>not exceed</w:t>
      </w:r>
      <w:r w:rsidR="0071051C" w:rsidRPr="00722521">
        <w:rPr>
          <w:b/>
          <w:bCs/>
          <w:sz w:val="17"/>
          <w:szCs w:val="17"/>
        </w:rPr>
        <w:t xml:space="preserve"> or undermine</w:t>
      </w:r>
      <w:r w:rsidR="009D75E7" w:rsidRPr="00722521">
        <w:rPr>
          <w:sz w:val="17"/>
          <w:szCs w:val="17"/>
        </w:rPr>
        <w:t>,</w:t>
      </w:r>
      <w:r w:rsidR="0050708C" w:rsidRPr="00722521">
        <w:rPr>
          <w:sz w:val="17"/>
          <w:szCs w:val="17"/>
        </w:rPr>
        <w:t xml:space="preserve"> the requirements set by the legal texts. </w:t>
      </w:r>
    </w:p>
    <w:p w14:paraId="264AE561" w14:textId="77777777" w:rsidR="0050708C" w:rsidRPr="00722521" w:rsidRDefault="0050708C" w:rsidP="00AA4E82">
      <w:pPr>
        <w:mirrorIndents/>
        <w:rPr>
          <w:sz w:val="17"/>
          <w:szCs w:val="17"/>
        </w:rPr>
      </w:pPr>
    </w:p>
    <w:p w14:paraId="52D1D8D8" w14:textId="23516F4F" w:rsidR="00981B0E" w:rsidRPr="00722521" w:rsidRDefault="0050708C" w:rsidP="00BC65A1">
      <w:pPr>
        <w:rPr>
          <w:sz w:val="17"/>
          <w:szCs w:val="17"/>
        </w:rPr>
      </w:pPr>
      <w:r w:rsidRPr="00722521">
        <w:rPr>
          <w:sz w:val="17"/>
          <w:szCs w:val="17"/>
        </w:rPr>
        <w:t>T</w:t>
      </w:r>
      <w:r w:rsidR="00BC65A1" w:rsidRPr="00722521">
        <w:rPr>
          <w:sz w:val="17"/>
          <w:szCs w:val="17"/>
        </w:rPr>
        <w:t>he cultural change among N</w:t>
      </w:r>
      <w:r w:rsidR="00E56530" w:rsidRPr="00722521">
        <w:rPr>
          <w:sz w:val="17"/>
          <w:szCs w:val="17"/>
        </w:rPr>
        <w:t>S</w:t>
      </w:r>
      <w:r w:rsidR="00BC65A1" w:rsidRPr="00722521">
        <w:rPr>
          <w:sz w:val="17"/>
          <w:szCs w:val="17"/>
        </w:rPr>
        <w:t xml:space="preserve">As </w:t>
      </w:r>
      <w:r w:rsidR="009D75E7" w:rsidRPr="00722521">
        <w:rPr>
          <w:sz w:val="17"/>
          <w:szCs w:val="17"/>
        </w:rPr>
        <w:t>is key for achieving a common understanding and convergence</w:t>
      </w:r>
      <w:r w:rsidR="00981B0E" w:rsidRPr="00722521">
        <w:rPr>
          <w:sz w:val="17"/>
          <w:szCs w:val="17"/>
        </w:rPr>
        <w:t>.</w:t>
      </w:r>
      <w:r w:rsidR="00BC65A1" w:rsidRPr="00722521">
        <w:rPr>
          <w:sz w:val="17"/>
          <w:szCs w:val="17"/>
        </w:rPr>
        <w:t xml:space="preserve"> </w:t>
      </w:r>
      <w:r w:rsidR="009D75E7" w:rsidRPr="00722521">
        <w:rPr>
          <w:sz w:val="17"/>
          <w:szCs w:val="17"/>
        </w:rPr>
        <w:t xml:space="preserve">EIOPA has </w:t>
      </w:r>
      <w:r w:rsidR="00544BD5" w:rsidRPr="00722521">
        <w:rPr>
          <w:sz w:val="17"/>
          <w:szCs w:val="17"/>
        </w:rPr>
        <w:t>achieved</w:t>
      </w:r>
      <w:r w:rsidR="009D75E7" w:rsidRPr="00722521">
        <w:rPr>
          <w:sz w:val="17"/>
          <w:szCs w:val="17"/>
        </w:rPr>
        <w:t xml:space="preserve"> some progress</w:t>
      </w:r>
      <w:r w:rsidR="00544BD5" w:rsidRPr="00722521">
        <w:rPr>
          <w:sz w:val="17"/>
          <w:szCs w:val="17"/>
        </w:rPr>
        <w:t xml:space="preserve"> in that area, however</w:t>
      </w:r>
      <w:r w:rsidR="009D75E7" w:rsidRPr="00722521">
        <w:rPr>
          <w:sz w:val="17"/>
          <w:szCs w:val="17"/>
        </w:rPr>
        <w:t xml:space="preserve"> </w:t>
      </w:r>
      <w:r w:rsidR="00BC65A1" w:rsidRPr="00722521">
        <w:rPr>
          <w:sz w:val="17"/>
          <w:szCs w:val="17"/>
        </w:rPr>
        <w:t xml:space="preserve">cultural change and commitment from </w:t>
      </w:r>
      <w:r w:rsidR="00E56530" w:rsidRPr="00722521">
        <w:rPr>
          <w:sz w:val="17"/>
          <w:szCs w:val="17"/>
        </w:rPr>
        <w:t>m</w:t>
      </w:r>
      <w:r w:rsidR="00BC65A1" w:rsidRPr="00722521">
        <w:rPr>
          <w:sz w:val="17"/>
          <w:szCs w:val="17"/>
        </w:rPr>
        <w:t xml:space="preserve">ember </w:t>
      </w:r>
      <w:r w:rsidR="00E56530" w:rsidRPr="00722521">
        <w:rPr>
          <w:sz w:val="17"/>
          <w:szCs w:val="17"/>
        </w:rPr>
        <w:t>s</w:t>
      </w:r>
      <w:r w:rsidR="00BC65A1" w:rsidRPr="00722521">
        <w:rPr>
          <w:sz w:val="17"/>
          <w:szCs w:val="17"/>
        </w:rPr>
        <w:t>tates and their N</w:t>
      </w:r>
      <w:r w:rsidR="00E56530" w:rsidRPr="00722521">
        <w:rPr>
          <w:sz w:val="17"/>
          <w:szCs w:val="17"/>
        </w:rPr>
        <w:t>S</w:t>
      </w:r>
      <w:r w:rsidR="00BC65A1" w:rsidRPr="00722521">
        <w:rPr>
          <w:sz w:val="17"/>
          <w:szCs w:val="17"/>
        </w:rPr>
        <w:t>As</w:t>
      </w:r>
      <w:r w:rsidR="00544BD5" w:rsidRPr="00722521">
        <w:rPr>
          <w:sz w:val="17"/>
          <w:szCs w:val="17"/>
        </w:rPr>
        <w:t xml:space="preserve"> still needs improvement</w:t>
      </w:r>
      <w:r w:rsidR="00BC65A1" w:rsidRPr="00722521">
        <w:rPr>
          <w:sz w:val="17"/>
          <w:szCs w:val="17"/>
        </w:rPr>
        <w:t xml:space="preserve">. </w:t>
      </w:r>
      <w:r w:rsidR="009D75E7" w:rsidRPr="00722521">
        <w:rPr>
          <w:sz w:val="17"/>
          <w:szCs w:val="17"/>
        </w:rPr>
        <w:t xml:space="preserve">A good example </w:t>
      </w:r>
      <w:r w:rsidR="00544BD5" w:rsidRPr="00722521">
        <w:rPr>
          <w:sz w:val="17"/>
          <w:szCs w:val="17"/>
        </w:rPr>
        <w:t>regards the application of the principle of</w:t>
      </w:r>
      <w:r w:rsidR="009D75E7" w:rsidRPr="00722521">
        <w:rPr>
          <w:sz w:val="17"/>
          <w:szCs w:val="17"/>
        </w:rPr>
        <w:t xml:space="preserve"> proportionality</w:t>
      </w:r>
      <w:r w:rsidR="00544BD5" w:rsidRPr="00722521">
        <w:rPr>
          <w:sz w:val="17"/>
          <w:szCs w:val="17"/>
        </w:rPr>
        <w:t>,</w:t>
      </w:r>
      <w:r w:rsidR="009D75E7" w:rsidRPr="00722521">
        <w:rPr>
          <w:sz w:val="17"/>
          <w:szCs w:val="17"/>
        </w:rPr>
        <w:t xml:space="preserve"> where not all NSAs appear to be willing to </w:t>
      </w:r>
      <w:r w:rsidR="00981B0E" w:rsidRPr="00722521">
        <w:rPr>
          <w:sz w:val="17"/>
          <w:szCs w:val="17"/>
        </w:rPr>
        <w:t xml:space="preserve">broadly </w:t>
      </w:r>
      <w:r w:rsidR="009D75E7" w:rsidRPr="00722521">
        <w:rPr>
          <w:sz w:val="17"/>
          <w:szCs w:val="17"/>
        </w:rPr>
        <w:t xml:space="preserve">allow </w:t>
      </w:r>
      <w:r w:rsidR="00981B0E" w:rsidRPr="00722521">
        <w:rPr>
          <w:sz w:val="17"/>
          <w:szCs w:val="17"/>
        </w:rPr>
        <w:t xml:space="preserve">for </w:t>
      </w:r>
      <w:r w:rsidR="009D75E7" w:rsidRPr="00722521">
        <w:rPr>
          <w:sz w:val="17"/>
          <w:szCs w:val="17"/>
        </w:rPr>
        <w:t>proportionality</w:t>
      </w:r>
      <w:r w:rsidR="00981B0E" w:rsidRPr="00722521">
        <w:rPr>
          <w:sz w:val="17"/>
          <w:szCs w:val="17"/>
        </w:rPr>
        <w:t xml:space="preserve"> measures</w:t>
      </w:r>
      <w:r w:rsidR="009D75E7" w:rsidRPr="00722521">
        <w:rPr>
          <w:sz w:val="17"/>
          <w:szCs w:val="17"/>
        </w:rPr>
        <w:t xml:space="preserve"> to be applied</w:t>
      </w:r>
      <w:r w:rsidR="00981B0E" w:rsidRPr="00722521">
        <w:rPr>
          <w:sz w:val="17"/>
          <w:szCs w:val="17"/>
        </w:rPr>
        <w:t xml:space="preserve"> where the risks justify it</w:t>
      </w:r>
      <w:r w:rsidR="009D75E7" w:rsidRPr="00722521">
        <w:rPr>
          <w:sz w:val="17"/>
          <w:szCs w:val="17"/>
        </w:rPr>
        <w:t>.</w:t>
      </w:r>
      <w:r w:rsidR="002D2689" w:rsidRPr="00722521">
        <w:rPr>
          <w:sz w:val="17"/>
          <w:szCs w:val="17"/>
        </w:rPr>
        <w:t xml:space="preserve"> The solution in this case is a combination of changes under the SII Review to define the circumstances under which insurers can apply proportionality automatically without prior approval, and an alignment of common culture to ensure proportionality </w:t>
      </w:r>
      <w:r w:rsidR="0018598A" w:rsidRPr="00722521">
        <w:rPr>
          <w:sz w:val="17"/>
          <w:szCs w:val="17"/>
        </w:rPr>
        <w:t>is also allowed in other cases in a consistent way with NSA approval.</w:t>
      </w:r>
    </w:p>
    <w:p w14:paraId="775B36BA" w14:textId="77777777" w:rsidR="00AA4E82" w:rsidRPr="00722521" w:rsidRDefault="00AA4E82" w:rsidP="00AA4E82">
      <w:pPr>
        <w:pStyle w:val="berschrift1"/>
        <w:numPr>
          <w:ilvl w:val="0"/>
          <w:numId w:val="6"/>
        </w:numPr>
        <w:tabs>
          <w:tab w:val="left" w:pos="499"/>
        </w:tabs>
        <w:ind w:left="232" w:hanging="383"/>
        <w:mirrorIndents/>
        <w:rPr>
          <w:rFonts w:ascii="Verdana" w:hAnsi="Verdana"/>
          <w:bCs w:val="0"/>
          <w:sz w:val="17"/>
          <w:szCs w:val="17"/>
        </w:rPr>
      </w:pPr>
      <w:bookmarkStart w:id="1" w:name="_Hlk67470240"/>
      <w:r w:rsidRPr="00722521">
        <w:rPr>
          <w:rFonts w:ascii="Verdana" w:hAnsi="Verdana"/>
          <w:bCs w:val="0"/>
          <w:sz w:val="17"/>
          <w:szCs w:val="17"/>
        </w:rPr>
        <w:t>The supervisory convergence tasks of the ESAs</w:t>
      </w:r>
    </w:p>
    <w:p w14:paraId="014F6EF1" w14:textId="77777777" w:rsidR="00AA4E82" w:rsidRPr="00722521" w:rsidRDefault="00AA4E82" w:rsidP="00AA4E82">
      <w:pPr>
        <w:pStyle w:val="Textkrper"/>
        <w:mirrorIndents/>
        <w:rPr>
          <w:rFonts w:ascii="Verdana" w:hAnsi="Verdana"/>
          <w:bCs w:val="0"/>
          <w:sz w:val="17"/>
          <w:szCs w:val="17"/>
        </w:rPr>
      </w:pPr>
    </w:p>
    <w:p w14:paraId="5F5FC048" w14:textId="77777777" w:rsidR="00AA4E82" w:rsidRPr="00722521" w:rsidRDefault="00AA4E82" w:rsidP="00AA4E82">
      <w:pPr>
        <w:pStyle w:val="Listenabsatz"/>
        <w:numPr>
          <w:ilvl w:val="1"/>
          <w:numId w:val="6"/>
        </w:numPr>
        <w:tabs>
          <w:tab w:val="left" w:pos="566"/>
        </w:tabs>
        <w:ind w:left="232" w:hanging="450"/>
        <w:mirrorIndents/>
        <w:rPr>
          <w:rFonts w:ascii="Verdana" w:hAnsi="Verdana"/>
          <w:b/>
          <w:szCs w:val="17"/>
        </w:rPr>
      </w:pPr>
      <w:r w:rsidRPr="00722521">
        <w:rPr>
          <w:rFonts w:ascii="Verdana" w:hAnsi="Verdana"/>
          <w:b/>
          <w:szCs w:val="17"/>
        </w:rPr>
        <w:t>Common supervisory culture/supervisory convergence</w:t>
      </w:r>
    </w:p>
    <w:p w14:paraId="776074DA" w14:textId="77777777" w:rsidR="00AA4E82" w:rsidRPr="00722521" w:rsidRDefault="00AA4E82" w:rsidP="00AA4E82">
      <w:pPr>
        <w:mirrorIndents/>
        <w:rPr>
          <w:sz w:val="17"/>
          <w:szCs w:val="17"/>
        </w:rPr>
      </w:pPr>
    </w:p>
    <w:p w14:paraId="4A6FCDAD" w14:textId="77777777" w:rsidR="00AA4E82" w:rsidRPr="00722521" w:rsidRDefault="00AA4E82" w:rsidP="00AA4E82">
      <w:pPr>
        <w:pStyle w:val="Textkrper"/>
        <w:ind w:left="0"/>
        <w:mirrorIndents/>
        <w:rPr>
          <w:rFonts w:ascii="Verdana" w:hAnsi="Verdana"/>
          <w:sz w:val="17"/>
          <w:szCs w:val="17"/>
          <w:highlight w:val="lightGray"/>
        </w:rPr>
      </w:pPr>
      <w:r w:rsidRPr="00722521">
        <w:rPr>
          <w:rFonts w:ascii="Verdana" w:hAnsi="Verdana"/>
          <w:sz w:val="17"/>
          <w:szCs w:val="17"/>
          <w:highlight w:val="lightGray"/>
        </w:rPr>
        <w:t>Question 1.1.1 EIOPA: To what extent does EIOPA contribute to promoting a common supervisory culture and consistent supervisory practices?</w:t>
      </w:r>
    </w:p>
    <w:p w14:paraId="3E3230B4" w14:textId="77777777" w:rsidR="00AA4E82" w:rsidRPr="00722521" w:rsidRDefault="00AA4E82" w:rsidP="00AA4E82">
      <w:pPr>
        <w:mirrorIndents/>
        <w:rPr>
          <w:sz w:val="17"/>
          <w:szCs w:val="17"/>
          <w:highlight w:val="lightGray"/>
        </w:rPr>
      </w:pPr>
      <w:r w:rsidRPr="00722521">
        <w:rPr>
          <w:sz w:val="17"/>
          <w:szCs w:val="17"/>
          <w:highlight w:val="lightGray"/>
        </w:rPr>
        <w:t>1 - the less significant contribution</w:t>
      </w:r>
    </w:p>
    <w:p w14:paraId="26832E7A" w14:textId="77777777" w:rsidR="00AA4E82" w:rsidRPr="00722521" w:rsidRDefault="00AA4E82" w:rsidP="00AA4E82">
      <w:pPr>
        <w:mirrorIndents/>
        <w:rPr>
          <w:sz w:val="17"/>
          <w:szCs w:val="17"/>
          <w:highlight w:val="lightGray"/>
        </w:rPr>
      </w:pPr>
      <w:r w:rsidRPr="00722521">
        <w:rPr>
          <w:w w:val="99"/>
          <w:sz w:val="17"/>
          <w:szCs w:val="17"/>
          <w:highlight w:val="lightGray"/>
        </w:rPr>
        <w:t>2</w:t>
      </w:r>
    </w:p>
    <w:p w14:paraId="119AC3EF" w14:textId="77777777" w:rsidR="00AA4E82" w:rsidRPr="00722521" w:rsidRDefault="00AA4E82" w:rsidP="00AA4E82">
      <w:pPr>
        <w:mirrorIndents/>
        <w:rPr>
          <w:sz w:val="17"/>
          <w:szCs w:val="17"/>
          <w:highlight w:val="lightGray"/>
        </w:rPr>
      </w:pPr>
      <w:r w:rsidRPr="00722521">
        <w:rPr>
          <w:w w:val="99"/>
          <w:sz w:val="17"/>
          <w:szCs w:val="17"/>
          <w:highlight w:val="lightGray"/>
        </w:rPr>
        <w:t>3</w:t>
      </w:r>
    </w:p>
    <w:p w14:paraId="795B517B" w14:textId="77777777" w:rsidR="00AA4E82" w:rsidRPr="00722521" w:rsidRDefault="00AA4E82" w:rsidP="00AA4E82">
      <w:pPr>
        <w:mirrorIndents/>
        <w:rPr>
          <w:sz w:val="17"/>
          <w:szCs w:val="17"/>
          <w:highlight w:val="lightGray"/>
        </w:rPr>
      </w:pPr>
      <w:r w:rsidRPr="00722521">
        <w:rPr>
          <w:w w:val="99"/>
          <w:sz w:val="17"/>
          <w:szCs w:val="17"/>
          <w:highlight w:val="lightGray"/>
        </w:rPr>
        <w:t>4</w:t>
      </w:r>
    </w:p>
    <w:p w14:paraId="3F51DB96" w14:textId="77777777" w:rsidR="00AA4E82" w:rsidRPr="00722521" w:rsidRDefault="00AA4E82" w:rsidP="00AA4E82">
      <w:pPr>
        <w:mirrorIndents/>
        <w:rPr>
          <w:sz w:val="17"/>
          <w:szCs w:val="17"/>
          <w:highlight w:val="lightGray"/>
        </w:rPr>
      </w:pPr>
      <w:r w:rsidRPr="00722521">
        <w:rPr>
          <w:sz w:val="17"/>
          <w:szCs w:val="17"/>
          <w:highlight w:val="lightGray"/>
        </w:rPr>
        <w:t xml:space="preserve">5 - the most significant contribution </w:t>
      </w:r>
    </w:p>
    <w:p w14:paraId="4261E5BB" w14:textId="7262B4EB" w:rsidR="00AA4E82" w:rsidRPr="00722521" w:rsidRDefault="00AA4E82" w:rsidP="00AA4E82">
      <w:pPr>
        <w:mirrorIndents/>
        <w:rPr>
          <w:sz w:val="17"/>
          <w:szCs w:val="17"/>
        </w:rPr>
      </w:pPr>
      <w:r w:rsidRPr="00722521">
        <w:rPr>
          <w:sz w:val="17"/>
          <w:szCs w:val="17"/>
          <w:highlight w:val="lightGray"/>
        </w:rPr>
        <w:t>Don’t know / no opinion / not relevant</w:t>
      </w:r>
    </w:p>
    <w:p w14:paraId="4FC38ACA" w14:textId="603359F1" w:rsidR="00EB60F9" w:rsidRPr="00722521" w:rsidRDefault="00EB60F9" w:rsidP="00AA4E82">
      <w:pPr>
        <w:mirrorIndents/>
        <w:rPr>
          <w:sz w:val="17"/>
          <w:szCs w:val="17"/>
        </w:rPr>
      </w:pPr>
    </w:p>
    <w:p w14:paraId="40B7016A" w14:textId="77777777" w:rsidR="00AA4E82" w:rsidRPr="00722521" w:rsidRDefault="00AA4E82" w:rsidP="00AA4E82">
      <w:pPr>
        <w:mirrorIndents/>
        <w:rPr>
          <w:sz w:val="17"/>
          <w:szCs w:val="17"/>
        </w:rPr>
      </w:pPr>
    </w:p>
    <w:p w14:paraId="47BE081D" w14:textId="77777777" w:rsidR="00AA4E82" w:rsidRPr="00722521" w:rsidRDefault="00AA4E82" w:rsidP="00AA4E82">
      <w:pPr>
        <w:pStyle w:val="Textkrper"/>
        <w:ind w:left="0"/>
        <w:mirrorIndents/>
        <w:rPr>
          <w:rFonts w:ascii="Verdana" w:hAnsi="Verdana"/>
          <w:sz w:val="17"/>
          <w:szCs w:val="17"/>
          <w:highlight w:val="lightGray"/>
        </w:rPr>
      </w:pPr>
      <w:r w:rsidRPr="00722521">
        <w:rPr>
          <w:rFonts w:ascii="Verdana" w:hAnsi="Verdana"/>
          <w:sz w:val="17"/>
          <w:szCs w:val="17"/>
          <w:highlight w:val="lightGray"/>
        </w:rPr>
        <w:t>Please explain your answer to question 1.1.1 for EIOPA and indicate if there are any areas for improvement:</w:t>
      </w:r>
    </w:p>
    <w:p w14:paraId="4816D7CA" w14:textId="777DC031" w:rsidR="00AA4E82" w:rsidRPr="00722521" w:rsidRDefault="00AA4E82" w:rsidP="00AA4E82">
      <w:pPr>
        <w:rPr>
          <w:sz w:val="17"/>
          <w:szCs w:val="17"/>
        </w:rPr>
      </w:pPr>
    </w:p>
    <w:p w14:paraId="45D9C7BF" w14:textId="5CABE1F6" w:rsidR="00BC65A1" w:rsidRPr="00722521" w:rsidRDefault="009D75E7" w:rsidP="00D1606D">
      <w:pPr>
        <w:mirrorIndents/>
        <w:rPr>
          <w:sz w:val="17"/>
          <w:szCs w:val="17"/>
        </w:rPr>
      </w:pPr>
      <w:r w:rsidRPr="00722521">
        <w:rPr>
          <w:sz w:val="17"/>
          <w:szCs w:val="17"/>
        </w:rPr>
        <w:t xml:space="preserve">EIOPA </w:t>
      </w:r>
      <w:r w:rsidR="00D1606D" w:rsidRPr="00722521">
        <w:rPr>
          <w:sz w:val="17"/>
          <w:szCs w:val="17"/>
        </w:rPr>
        <w:t>contributes</w:t>
      </w:r>
      <w:r w:rsidRPr="00722521">
        <w:rPr>
          <w:sz w:val="17"/>
          <w:szCs w:val="17"/>
        </w:rPr>
        <w:t xml:space="preserve"> considerably to convergence</w:t>
      </w:r>
      <w:r w:rsidR="00981B0E" w:rsidRPr="00722521">
        <w:rPr>
          <w:sz w:val="17"/>
          <w:szCs w:val="17"/>
        </w:rPr>
        <w:t>, however there is still room for improvement (see answer to question III)</w:t>
      </w:r>
      <w:r w:rsidRPr="00722521">
        <w:rPr>
          <w:sz w:val="17"/>
          <w:szCs w:val="17"/>
        </w:rPr>
        <w:t xml:space="preserve">. </w:t>
      </w:r>
    </w:p>
    <w:p w14:paraId="4ED0C93F" w14:textId="77777777" w:rsidR="00BC65A1" w:rsidRPr="00722521" w:rsidRDefault="00BC65A1" w:rsidP="00BC65A1">
      <w:pPr>
        <w:mirrorIndents/>
        <w:rPr>
          <w:sz w:val="17"/>
          <w:szCs w:val="17"/>
          <w:highlight w:val="yellow"/>
        </w:rPr>
      </w:pPr>
    </w:p>
    <w:p w14:paraId="426072D4" w14:textId="6A652317" w:rsidR="003453E3" w:rsidRPr="00722521" w:rsidRDefault="009D75E7" w:rsidP="00BC65A1">
      <w:pPr>
        <w:mirrorIndents/>
        <w:rPr>
          <w:sz w:val="17"/>
          <w:szCs w:val="17"/>
        </w:rPr>
      </w:pPr>
      <w:r w:rsidRPr="00722521">
        <w:rPr>
          <w:sz w:val="17"/>
          <w:szCs w:val="17"/>
        </w:rPr>
        <w:t xml:space="preserve">It is important to recognise that </w:t>
      </w:r>
      <w:r w:rsidR="00BC65A1" w:rsidRPr="00722521">
        <w:rPr>
          <w:sz w:val="17"/>
          <w:szCs w:val="17"/>
        </w:rPr>
        <w:t xml:space="preserve">supervisory convergence needs a common regulatory basis. Divergence in the fundamental rules cannot be compensated at supervisory level. </w:t>
      </w:r>
    </w:p>
    <w:p w14:paraId="45001600" w14:textId="77777777" w:rsidR="003453E3" w:rsidRPr="00722521" w:rsidRDefault="003453E3" w:rsidP="00BC65A1">
      <w:pPr>
        <w:mirrorIndents/>
        <w:rPr>
          <w:sz w:val="17"/>
          <w:szCs w:val="17"/>
        </w:rPr>
      </w:pPr>
    </w:p>
    <w:p w14:paraId="24177757" w14:textId="381DE94F" w:rsidR="003453E3" w:rsidRPr="00722521" w:rsidRDefault="003453E3" w:rsidP="00BC65A1">
      <w:pPr>
        <w:mirrorIndents/>
        <w:rPr>
          <w:sz w:val="17"/>
          <w:szCs w:val="17"/>
        </w:rPr>
      </w:pPr>
      <w:r w:rsidRPr="00722521">
        <w:rPr>
          <w:sz w:val="17"/>
          <w:szCs w:val="17"/>
        </w:rPr>
        <w:t xml:space="preserve">In the case of Solvency II, the regulation is already harmonised and provides a common legal basis to all </w:t>
      </w:r>
      <w:r w:rsidR="002C1DFC" w:rsidRPr="00722521">
        <w:rPr>
          <w:sz w:val="17"/>
          <w:szCs w:val="17"/>
        </w:rPr>
        <w:t>m</w:t>
      </w:r>
      <w:r w:rsidRPr="00722521">
        <w:rPr>
          <w:sz w:val="17"/>
          <w:szCs w:val="17"/>
        </w:rPr>
        <w:t xml:space="preserve">ember </w:t>
      </w:r>
      <w:r w:rsidR="002C1DFC" w:rsidRPr="00722521">
        <w:rPr>
          <w:sz w:val="17"/>
          <w:szCs w:val="17"/>
        </w:rPr>
        <w:t>s</w:t>
      </w:r>
      <w:r w:rsidRPr="00722521">
        <w:rPr>
          <w:sz w:val="17"/>
          <w:szCs w:val="17"/>
        </w:rPr>
        <w:t>tates, that needs to be complemented by consistent supervisory practices under the umbrella of EIOPA.</w:t>
      </w:r>
    </w:p>
    <w:p w14:paraId="3AF52A50" w14:textId="77777777" w:rsidR="003453E3" w:rsidRPr="00722521" w:rsidRDefault="003453E3" w:rsidP="00BC65A1">
      <w:pPr>
        <w:mirrorIndents/>
        <w:rPr>
          <w:sz w:val="17"/>
          <w:szCs w:val="17"/>
        </w:rPr>
      </w:pPr>
    </w:p>
    <w:p w14:paraId="743F869D" w14:textId="69482DC6" w:rsidR="00993A7C" w:rsidRPr="00722521" w:rsidRDefault="00981B0E" w:rsidP="00BC65A1">
      <w:pPr>
        <w:mirrorIndents/>
        <w:rPr>
          <w:sz w:val="17"/>
          <w:szCs w:val="17"/>
        </w:rPr>
      </w:pPr>
      <w:r w:rsidRPr="00722521">
        <w:rPr>
          <w:sz w:val="17"/>
          <w:szCs w:val="17"/>
        </w:rPr>
        <w:t>A good</w:t>
      </w:r>
      <w:r w:rsidR="009D75E7" w:rsidRPr="00722521">
        <w:rPr>
          <w:sz w:val="17"/>
          <w:szCs w:val="17"/>
        </w:rPr>
        <w:t xml:space="preserve"> example </w:t>
      </w:r>
      <w:r w:rsidR="003453E3" w:rsidRPr="00722521">
        <w:rPr>
          <w:sz w:val="17"/>
          <w:szCs w:val="17"/>
        </w:rPr>
        <w:t>showing</w:t>
      </w:r>
      <w:r w:rsidR="00993A7C" w:rsidRPr="00722521">
        <w:rPr>
          <w:sz w:val="17"/>
          <w:szCs w:val="17"/>
        </w:rPr>
        <w:t xml:space="preserve"> room for improvement is the supervision of cross-border activities. </w:t>
      </w:r>
      <w:r w:rsidR="002C1DFC" w:rsidRPr="00722521">
        <w:rPr>
          <w:sz w:val="17"/>
          <w:szCs w:val="17"/>
        </w:rPr>
        <w:t xml:space="preserve">Some </w:t>
      </w:r>
      <w:r w:rsidR="00993A7C" w:rsidRPr="00722521">
        <w:rPr>
          <w:sz w:val="17"/>
          <w:szCs w:val="17"/>
        </w:rPr>
        <w:t xml:space="preserve">failures of cross-border business in several </w:t>
      </w:r>
      <w:r w:rsidR="002C1DFC" w:rsidRPr="00722521">
        <w:rPr>
          <w:sz w:val="17"/>
          <w:szCs w:val="17"/>
        </w:rPr>
        <w:t>m</w:t>
      </w:r>
      <w:r w:rsidR="00993A7C" w:rsidRPr="00722521">
        <w:rPr>
          <w:sz w:val="17"/>
          <w:szCs w:val="17"/>
        </w:rPr>
        <w:t xml:space="preserve">ember </w:t>
      </w:r>
      <w:r w:rsidR="002C1DFC" w:rsidRPr="00722521">
        <w:rPr>
          <w:sz w:val="17"/>
          <w:szCs w:val="17"/>
        </w:rPr>
        <w:t>s</w:t>
      </w:r>
      <w:r w:rsidR="00993A7C" w:rsidRPr="00722521">
        <w:rPr>
          <w:sz w:val="17"/>
          <w:szCs w:val="17"/>
        </w:rPr>
        <w:t>tates</w:t>
      </w:r>
      <w:r w:rsidR="002C1DFC" w:rsidRPr="00722521">
        <w:rPr>
          <w:sz w:val="17"/>
          <w:szCs w:val="17"/>
        </w:rPr>
        <w:t xml:space="preserve"> </w:t>
      </w:r>
      <w:r w:rsidR="00993A7C" w:rsidRPr="00722521">
        <w:rPr>
          <w:sz w:val="17"/>
          <w:szCs w:val="17"/>
        </w:rPr>
        <w:t xml:space="preserve">over the past years have </w:t>
      </w:r>
      <w:r w:rsidR="002C1DFC" w:rsidRPr="00722521">
        <w:rPr>
          <w:sz w:val="17"/>
          <w:szCs w:val="17"/>
        </w:rPr>
        <w:t xml:space="preserve">highlighted the need for more cooperation and better dialogue between NSAs. However, </w:t>
      </w:r>
      <w:r w:rsidR="00722521">
        <w:rPr>
          <w:sz w:val="17"/>
          <w:szCs w:val="17"/>
        </w:rPr>
        <w:t>VVO</w:t>
      </w:r>
      <w:r w:rsidR="002C1DFC" w:rsidRPr="00722521">
        <w:rPr>
          <w:sz w:val="17"/>
          <w:szCs w:val="17"/>
        </w:rPr>
        <w:t xml:space="preserve"> highlights the need to preserve the “home-country” principle. These concerns ha</w:t>
      </w:r>
      <w:r w:rsidR="00756A5B" w:rsidRPr="00722521">
        <w:rPr>
          <w:sz w:val="17"/>
          <w:szCs w:val="17"/>
        </w:rPr>
        <w:t>ve</w:t>
      </w:r>
      <w:r w:rsidR="002C1DFC" w:rsidRPr="00722521">
        <w:rPr>
          <w:sz w:val="17"/>
          <w:szCs w:val="17"/>
        </w:rPr>
        <w:t xml:space="preserve"> been addressed by some good proposals in the EIOPA opinion for the Solvency II 2020 review</w:t>
      </w:r>
      <w:r w:rsidR="00756A5B" w:rsidRPr="00722521">
        <w:rPr>
          <w:sz w:val="17"/>
          <w:szCs w:val="17"/>
        </w:rPr>
        <w:t xml:space="preserve"> to address shortcomings in terms of NSAs cooperation</w:t>
      </w:r>
      <w:r w:rsidR="002C1DFC" w:rsidRPr="00722521">
        <w:rPr>
          <w:sz w:val="17"/>
          <w:szCs w:val="17"/>
        </w:rPr>
        <w:t>.</w:t>
      </w:r>
      <w:r w:rsidR="00993A7C" w:rsidRPr="00722521">
        <w:rPr>
          <w:sz w:val="17"/>
          <w:szCs w:val="17"/>
        </w:rPr>
        <w:t xml:space="preserve"> </w:t>
      </w:r>
    </w:p>
    <w:p w14:paraId="09B49104" w14:textId="77777777" w:rsidR="00993A7C" w:rsidRPr="00722521" w:rsidRDefault="00993A7C" w:rsidP="00BC65A1">
      <w:pPr>
        <w:mirrorIndents/>
        <w:rPr>
          <w:sz w:val="17"/>
          <w:szCs w:val="17"/>
        </w:rPr>
      </w:pPr>
    </w:p>
    <w:p w14:paraId="52460A28" w14:textId="52F0B2B0" w:rsidR="009D75E7" w:rsidRPr="00722521" w:rsidRDefault="00993A7C" w:rsidP="00BC65A1">
      <w:pPr>
        <w:mirrorIndents/>
        <w:rPr>
          <w:sz w:val="17"/>
          <w:szCs w:val="17"/>
        </w:rPr>
      </w:pPr>
      <w:r w:rsidRPr="00722521">
        <w:rPr>
          <w:sz w:val="17"/>
          <w:szCs w:val="17"/>
        </w:rPr>
        <w:t>Another example could be</w:t>
      </w:r>
      <w:r w:rsidR="00981B0E" w:rsidRPr="00722521">
        <w:rPr>
          <w:sz w:val="17"/>
          <w:szCs w:val="17"/>
        </w:rPr>
        <w:t xml:space="preserve"> the application of</w:t>
      </w:r>
      <w:r w:rsidR="009D75E7" w:rsidRPr="00722521">
        <w:rPr>
          <w:sz w:val="17"/>
          <w:szCs w:val="17"/>
        </w:rPr>
        <w:t xml:space="preserve"> proportionality</w:t>
      </w:r>
      <w:r w:rsidR="00981B0E" w:rsidRPr="00722521">
        <w:rPr>
          <w:sz w:val="17"/>
          <w:szCs w:val="17"/>
        </w:rPr>
        <w:t xml:space="preserve"> in Solvency II</w:t>
      </w:r>
      <w:r w:rsidR="00D1606D" w:rsidRPr="00722521">
        <w:rPr>
          <w:sz w:val="17"/>
          <w:szCs w:val="17"/>
        </w:rPr>
        <w:t xml:space="preserve">. To ensure a cultural change among NSAs, regulatory changes are needed </w:t>
      </w:r>
      <w:r w:rsidR="009D75E7" w:rsidRPr="00722521">
        <w:rPr>
          <w:sz w:val="17"/>
          <w:szCs w:val="17"/>
        </w:rPr>
        <w:t xml:space="preserve">to make it clear </w:t>
      </w:r>
      <w:r w:rsidR="00D1606D" w:rsidRPr="00722521">
        <w:rPr>
          <w:sz w:val="17"/>
          <w:szCs w:val="17"/>
        </w:rPr>
        <w:t>that</w:t>
      </w:r>
      <w:r w:rsidR="009D75E7" w:rsidRPr="00722521">
        <w:rPr>
          <w:sz w:val="17"/>
          <w:szCs w:val="17"/>
        </w:rPr>
        <w:t xml:space="preserve"> NSAs </w:t>
      </w:r>
      <w:r w:rsidR="00D1606D" w:rsidRPr="00722521">
        <w:rPr>
          <w:sz w:val="17"/>
          <w:szCs w:val="17"/>
        </w:rPr>
        <w:t>are</w:t>
      </w:r>
      <w:r w:rsidR="009D75E7" w:rsidRPr="00722521">
        <w:rPr>
          <w:sz w:val="17"/>
          <w:szCs w:val="17"/>
        </w:rPr>
        <w:t xml:space="preserve"> not only able to </w:t>
      </w:r>
      <w:r w:rsidR="00470263" w:rsidRPr="00722521">
        <w:rPr>
          <w:sz w:val="17"/>
          <w:szCs w:val="17"/>
        </w:rPr>
        <w:t>deviate from the detail</w:t>
      </w:r>
      <w:r w:rsidR="00D1606D" w:rsidRPr="00722521">
        <w:rPr>
          <w:sz w:val="17"/>
          <w:szCs w:val="17"/>
        </w:rPr>
        <w:t xml:space="preserve">ed requirements </w:t>
      </w:r>
      <w:r w:rsidR="00470263" w:rsidRPr="00722521">
        <w:rPr>
          <w:sz w:val="17"/>
          <w:szCs w:val="17"/>
        </w:rPr>
        <w:t xml:space="preserve">and allow companies </w:t>
      </w:r>
      <w:r w:rsidR="00D1606D" w:rsidRPr="00722521">
        <w:rPr>
          <w:sz w:val="17"/>
          <w:szCs w:val="17"/>
        </w:rPr>
        <w:t xml:space="preserve">to make use of </w:t>
      </w:r>
      <w:r w:rsidR="009E7E3D" w:rsidRPr="00722521">
        <w:rPr>
          <w:sz w:val="17"/>
          <w:szCs w:val="17"/>
        </w:rPr>
        <w:t>proportionality</w:t>
      </w:r>
      <w:r w:rsidR="00D1606D" w:rsidRPr="00722521">
        <w:rPr>
          <w:sz w:val="17"/>
          <w:szCs w:val="17"/>
        </w:rPr>
        <w:t xml:space="preserve"> measures</w:t>
      </w:r>
      <w:r w:rsidR="00470263" w:rsidRPr="00722521">
        <w:rPr>
          <w:sz w:val="17"/>
          <w:szCs w:val="17"/>
        </w:rPr>
        <w:t>, but they</w:t>
      </w:r>
      <w:r w:rsidR="00D1606D" w:rsidRPr="00722521">
        <w:rPr>
          <w:sz w:val="17"/>
          <w:szCs w:val="17"/>
        </w:rPr>
        <w:t xml:space="preserve"> also</w:t>
      </w:r>
      <w:r w:rsidR="00470263" w:rsidRPr="00722521">
        <w:rPr>
          <w:sz w:val="17"/>
          <w:szCs w:val="17"/>
        </w:rPr>
        <w:t xml:space="preserve"> have a</w:t>
      </w:r>
      <w:r w:rsidR="00981B0E" w:rsidRPr="00722521">
        <w:rPr>
          <w:sz w:val="17"/>
          <w:szCs w:val="17"/>
        </w:rPr>
        <w:t>n</w:t>
      </w:r>
      <w:r w:rsidR="00470263" w:rsidRPr="00722521">
        <w:rPr>
          <w:sz w:val="17"/>
          <w:szCs w:val="17"/>
        </w:rPr>
        <w:t xml:space="preserve"> obligation to do so. </w:t>
      </w:r>
      <w:r w:rsidR="00D1606D" w:rsidRPr="00722521">
        <w:rPr>
          <w:sz w:val="17"/>
          <w:szCs w:val="17"/>
        </w:rPr>
        <w:t>Including some automaticity</w:t>
      </w:r>
      <w:r w:rsidR="00470263" w:rsidRPr="00722521">
        <w:rPr>
          <w:sz w:val="17"/>
          <w:szCs w:val="17"/>
        </w:rPr>
        <w:t xml:space="preserve"> </w:t>
      </w:r>
      <w:r w:rsidR="00D1606D" w:rsidRPr="00722521">
        <w:rPr>
          <w:sz w:val="17"/>
          <w:szCs w:val="17"/>
        </w:rPr>
        <w:t xml:space="preserve">will also </w:t>
      </w:r>
      <w:r w:rsidR="00470263" w:rsidRPr="00722521">
        <w:rPr>
          <w:sz w:val="17"/>
          <w:szCs w:val="17"/>
        </w:rPr>
        <w:t xml:space="preserve">avoid </w:t>
      </w:r>
      <w:r w:rsidR="00D1606D" w:rsidRPr="00722521">
        <w:rPr>
          <w:sz w:val="17"/>
          <w:szCs w:val="17"/>
        </w:rPr>
        <w:t xml:space="preserve">that </w:t>
      </w:r>
      <w:r w:rsidR="00470263" w:rsidRPr="00722521">
        <w:rPr>
          <w:sz w:val="17"/>
          <w:szCs w:val="17"/>
        </w:rPr>
        <w:t>NSAs creat</w:t>
      </w:r>
      <w:r w:rsidR="00D1606D" w:rsidRPr="00722521">
        <w:rPr>
          <w:sz w:val="17"/>
          <w:szCs w:val="17"/>
        </w:rPr>
        <w:t>e a</w:t>
      </w:r>
      <w:r w:rsidR="00470263" w:rsidRPr="00722521">
        <w:rPr>
          <w:sz w:val="17"/>
          <w:szCs w:val="17"/>
        </w:rPr>
        <w:t xml:space="preserve"> significant burden of proof that negate the benefits of proportionality. </w:t>
      </w:r>
      <w:r w:rsidR="00722521">
        <w:rPr>
          <w:sz w:val="17"/>
          <w:szCs w:val="17"/>
        </w:rPr>
        <w:t>VVO</w:t>
      </w:r>
      <w:r w:rsidR="00470263" w:rsidRPr="00722521">
        <w:rPr>
          <w:sz w:val="17"/>
          <w:szCs w:val="17"/>
        </w:rPr>
        <w:t xml:space="preserve"> has recommended such changes </w:t>
      </w:r>
      <w:proofErr w:type="gramStart"/>
      <w:r w:rsidR="00470263" w:rsidRPr="00722521">
        <w:rPr>
          <w:sz w:val="17"/>
          <w:szCs w:val="17"/>
        </w:rPr>
        <w:t>as  part</w:t>
      </w:r>
      <w:proofErr w:type="gramEnd"/>
      <w:r w:rsidR="00470263" w:rsidRPr="00722521">
        <w:rPr>
          <w:sz w:val="17"/>
          <w:szCs w:val="17"/>
        </w:rPr>
        <w:t xml:space="preserve"> of the SII Review and while EIOPA’s advice is a step in the right direction, their proposals need additional elements to work as intended.</w:t>
      </w:r>
    </w:p>
    <w:p w14:paraId="000D4F94" w14:textId="77777777" w:rsidR="009D75E7" w:rsidRPr="00722521" w:rsidRDefault="009D75E7" w:rsidP="00BC65A1">
      <w:pPr>
        <w:mirrorIndents/>
        <w:rPr>
          <w:sz w:val="17"/>
          <w:szCs w:val="17"/>
        </w:rPr>
      </w:pPr>
    </w:p>
    <w:p w14:paraId="49B86E03" w14:textId="3974944D" w:rsidR="00BC65A1" w:rsidRPr="00722521" w:rsidRDefault="00BC65A1" w:rsidP="00BC65A1">
      <w:pPr>
        <w:mirrorIndents/>
        <w:rPr>
          <w:sz w:val="17"/>
          <w:szCs w:val="17"/>
        </w:rPr>
      </w:pPr>
      <w:r w:rsidRPr="00722521">
        <w:rPr>
          <w:sz w:val="17"/>
          <w:szCs w:val="17"/>
        </w:rPr>
        <w:t xml:space="preserve">With regards to the specific activities of EIOPA, </w:t>
      </w:r>
      <w:r w:rsidR="00470263" w:rsidRPr="00722521">
        <w:rPr>
          <w:sz w:val="17"/>
          <w:szCs w:val="17"/>
        </w:rPr>
        <w:t xml:space="preserve">the tools exist already to achieve the necessary convergence, </w:t>
      </w:r>
      <w:proofErr w:type="gramStart"/>
      <w:r w:rsidR="00470263" w:rsidRPr="00722521">
        <w:rPr>
          <w:sz w:val="17"/>
          <w:szCs w:val="17"/>
        </w:rPr>
        <w:t xml:space="preserve">namely </w:t>
      </w:r>
      <w:r w:rsidRPr="00722521">
        <w:rPr>
          <w:sz w:val="17"/>
          <w:szCs w:val="17"/>
        </w:rPr>
        <w:t xml:space="preserve"> peer</w:t>
      </w:r>
      <w:proofErr w:type="gramEnd"/>
      <w:r w:rsidRPr="00722521">
        <w:rPr>
          <w:sz w:val="17"/>
          <w:szCs w:val="17"/>
        </w:rPr>
        <w:t xml:space="preserve"> reviews, the development of a common understanding of the regulatory framework, supervisory guidance, the identification of best practices and the development of the supervisory handbook are of major importance for the development of a common supervisory culture across the EU.</w:t>
      </w:r>
    </w:p>
    <w:p w14:paraId="2911C2E7" w14:textId="21C42734" w:rsidR="00470263" w:rsidRPr="00722521" w:rsidRDefault="00470263" w:rsidP="00BC65A1">
      <w:pPr>
        <w:mirrorIndents/>
        <w:rPr>
          <w:sz w:val="17"/>
          <w:szCs w:val="17"/>
        </w:rPr>
      </w:pPr>
    </w:p>
    <w:p w14:paraId="16D76482" w14:textId="6EFD9028" w:rsidR="0071051C" w:rsidRPr="00722521" w:rsidRDefault="0071051C" w:rsidP="0071051C">
      <w:pPr>
        <w:mirrorIndents/>
        <w:rPr>
          <w:sz w:val="17"/>
          <w:szCs w:val="17"/>
        </w:rPr>
      </w:pPr>
      <w:r w:rsidRPr="00722521">
        <w:rPr>
          <w:sz w:val="17"/>
          <w:szCs w:val="17"/>
        </w:rPr>
        <w:t xml:space="preserve">In general, </w:t>
      </w:r>
      <w:r w:rsidR="00722521">
        <w:rPr>
          <w:sz w:val="17"/>
          <w:szCs w:val="17"/>
        </w:rPr>
        <w:t>VVO</w:t>
      </w:r>
      <w:r w:rsidRPr="00722521">
        <w:rPr>
          <w:sz w:val="17"/>
          <w:szCs w:val="17"/>
        </w:rPr>
        <w:t xml:space="preserve"> considers that EIOPA’s should </w:t>
      </w:r>
      <w:r w:rsidR="002C1DFC" w:rsidRPr="00722521">
        <w:rPr>
          <w:sz w:val="17"/>
          <w:szCs w:val="17"/>
        </w:rPr>
        <w:t>aim at preventing national</w:t>
      </w:r>
      <w:r w:rsidRPr="00722521">
        <w:rPr>
          <w:sz w:val="17"/>
          <w:szCs w:val="17"/>
        </w:rPr>
        <w:t xml:space="preserve"> gold-plating practices and </w:t>
      </w:r>
      <w:r w:rsidR="002C1DFC" w:rsidRPr="00722521">
        <w:rPr>
          <w:sz w:val="17"/>
          <w:szCs w:val="17"/>
        </w:rPr>
        <w:t xml:space="preserve">provide </w:t>
      </w:r>
      <w:r w:rsidRPr="00722521">
        <w:rPr>
          <w:sz w:val="17"/>
          <w:szCs w:val="17"/>
        </w:rPr>
        <w:t xml:space="preserve">guidance. </w:t>
      </w:r>
      <w:r w:rsidR="002C1DFC" w:rsidRPr="00722521">
        <w:rPr>
          <w:sz w:val="17"/>
          <w:szCs w:val="17"/>
        </w:rPr>
        <w:t xml:space="preserve">The regulation already provides the right tools to achieve that, unfortunately </w:t>
      </w:r>
      <w:r w:rsidRPr="00722521">
        <w:rPr>
          <w:sz w:val="17"/>
          <w:szCs w:val="17"/>
        </w:rPr>
        <w:t xml:space="preserve">EIOPA’s opinions, statements, guidelines, and advice are using the supervisory convergence argument only to align with the most conservative and tightest interpretations of the regulation. This bias has tended to materially increase the level of prudence and burden of Solvency II over time, at the detriment of the balance sought by the legislators in terms of proportionality. </w:t>
      </w:r>
    </w:p>
    <w:p w14:paraId="60C4BA34" w14:textId="77777777" w:rsidR="00BC65A1" w:rsidRPr="00722521" w:rsidRDefault="00BC65A1" w:rsidP="00A903E6">
      <w:pPr>
        <w:mirrorIndents/>
        <w:rPr>
          <w:sz w:val="17"/>
          <w:szCs w:val="17"/>
        </w:rPr>
      </w:pPr>
    </w:p>
    <w:p w14:paraId="054DDF86" w14:textId="77777777" w:rsidR="00BA160A" w:rsidRPr="00722521" w:rsidRDefault="00BA160A" w:rsidP="00A903E6">
      <w:pPr>
        <w:pStyle w:val="Textkrper"/>
        <w:ind w:left="0"/>
        <w:mirrorIndents/>
        <w:rPr>
          <w:rFonts w:ascii="Verdana" w:hAnsi="Verdana"/>
          <w:sz w:val="17"/>
          <w:szCs w:val="17"/>
        </w:rPr>
      </w:pPr>
      <w:r w:rsidRPr="00722521">
        <w:rPr>
          <w:rFonts w:ascii="Verdana" w:hAnsi="Verdana"/>
          <w:sz w:val="17"/>
          <w:szCs w:val="17"/>
          <w:highlight w:val="lightGray"/>
        </w:rPr>
        <w:t>Question 1.1.2 EIOPA: To what extent the following tasks undertaken by EIOPA have effectively contributed to building a common supervisory culture and consistent supervisory practices in the EU?</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2060"/>
        <w:gridCol w:w="1276"/>
        <w:gridCol w:w="1353"/>
        <w:gridCol w:w="1012"/>
        <w:gridCol w:w="1353"/>
        <w:gridCol w:w="1353"/>
        <w:gridCol w:w="1104"/>
      </w:tblGrid>
      <w:tr w:rsidR="00BA160A" w:rsidRPr="00722521" w14:paraId="5608C713" w14:textId="77777777" w:rsidTr="00AA4E82">
        <w:trPr>
          <w:trHeight w:val="567"/>
        </w:trPr>
        <w:tc>
          <w:tcPr>
            <w:tcW w:w="1147" w:type="pct"/>
            <w:tcBorders>
              <w:top w:val="single" w:sz="8" w:space="0" w:color="BABABA"/>
              <w:left w:val="single" w:sz="8" w:space="0" w:color="BABABA"/>
              <w:bottom w:val="single" w:sz="8" w:space="0" w:color="BABABA"/>
              <w:right w:val="single" w:sz="8" w:space="0" w:color="BABABA"/>
            </w:tcBorders>
          </w:tcPr>
          <w:p w14:paraId="1784C3BE" w14:textId="77777777" w:rsidR="00BA160A" w:rsidRPr="00722521" w:rsidRDefault="00BA160A" w:rsidP="00A903E6">
            <w:pPr>
              <w:mirrorIndents/>
              <w:rPr>
                <w:sz w:val="17"/>
                <w:szCs w:val="17"/>
              </w:rPr>
            </w:pPr>
          </w:p>
        </w:tc>
        <w:tc>
          <w:tcPr>
            <w:tcW w:w="663" w:type="pct"/>
            <w:tcBorders>
              <w:top w:val="single" w:sz="8" w:space="0" w:color="BABABA"/>
              <w:left w:val="single" w:sz="8" w:space="0" w:color="BABABA"/>
              <w:bottom w:val="single" w:sz="8" w:space="0" w:color="BABABA"/>
              <w:right w:val="single" w:sz="8" w:space="0" w:color="BABABA"/>
            </w:tcBorders>
            <w:hideMark/>
          </w:tcPr>
          <w:p w14:paraId="5B55FC01" w14:textId="77777777" w:rsidR="00BA160A" w:rsidRPr="00722521" w:rsidRDefault="00BA160A" w:rsidP="00A903E6">
            <w:pPr>
              <w:pStyle w:val="TableParagraph"/>
              <w:mirrorIndents/>
              <w:rPr>
                <w:szCs w:val="17"/>
              </w:rPr>
            </w:pPr>
            <w:r w:rsidRPr="00722521">
              <w:rPr>
                <w:w w:val="99"/>
                <w:szCs w:val="17"/>
              </w:rPr>
              <w:t>1</w:t>
            </w:r>
          </w:p>
          <w:p w14:paraId="0CB1A41C" w14:textId="77777777" w:rsidR="00BA160A" w:rsidRPr="00722521" w:rsidRDefault="00BA160A" w:rsidP="00A903E6">
            <w:pPr>
              <w:pStyle w:val="TableParagraph"/>
              <w:ind w:hanging="56"/>
              <w:mirrorIndents/>
              <w:rPr>
                <w:szCs w:val="17"/>
              </w:rPr>
            </w:pPr>
            <w:r w:rsidRPr="00722521">
              <w:rPr>
                <w:szCs w:val="17"/>
              </w:rPr>
              <w:t>(less significant contribution</w:t>
            </w:r>
          </w:p>
        </w:tc>
        <w:tc>
          <w:tcPr>
            <w:tcW w:w="709" w:type="pct"/>
            <w:tcBorders>
              <w:top w:val="single" w:sz="8" w:space="0" w:color="BABABA"/>
              <w:left w:val="single" w:sz="8" w:space="0" w:color="BABABA"/>
              <w:bottom w:val="single" w:sz="8" w:space="0" w:color="BABABA"/>
              <w:right w:val="single" w:sz="8" w:space="0" w:color="BABABA"/>
            </w:tcBorders>
            <w:hideMark/>
          </w:tcPr>
          <w:p w14:paraId="15F16F4F" w14:textId="77777777" w:rsidR="00BA160A" w:rsidRPr="00722521" w:rsidRDefault="00BA160A" w:rsidP="00A903E6">
            <w:pPr>
              <w:pStyle w:val="TableParagraph"/>
              <w:mirrorIndents/>
              <w:rPr>
                <w:szCs w:val="17"/>
              </w:rPr>
            </w:pPr>
            <w:r w:rsidRPr="00722521">
              <w:rPr>
                <w:w w:val="99"/>
                <w:szCs w:val="17"/>
              </w:rPr>
              <w:t>2</w:t>
            </w:r>
          </w:p>
          <w:p w14:paraId="6A47F8D2" w14:textId="77777777" w:rsidR="00BA160A" w:rsidRPr="00722521" w:rsidRDefault="00BA160A" w:rsidP="00A903E6">
            <w:pPr>
              <w:pStyle w:val="TableParagraph"/>
              <w:ind w:hanging="56"/>
              <w:mirrorIndents/>
              <w:rPr>
                <w:szCs w:val="17"/>
              </w:rPr>
            </w:pPr>
            <w:r w:rsidRPr="00722521">
              <w:rPr>
                <w:szCs w:val="17"/>
              </w:rPr>
              <w:t>(not so significant contribution)</w:t>
            </w:r>
          </w:p>
        </w:tc>
        <w:tc>
          <w:tcPr>
            <w:tcW w:w="477" w:type="pct"/>
            <w:tcBorders>
              <w:top w:val="single" w:sz="8" w:space="0" w:color="BABABA"/>
              <w:left w:val="single" w:sz="8" w:space="0" w:color="BABABA"/>
              <w:bottom w:val="single" w:sz="8" w:space="0" w:color="BABABA"/>
              <w:right w:val="single" w:sz="8" w:space="0" w:color="BABABA"/>
            </w:tcBorders>
            <w:hideMark/>
          </w:tcPr>
          <w:p w14:paraId="6621894C" w14:textId="77777777" w:rsidR="00BA160A" w:rsidRPr="00722521" w:rsidRDefault="00BA160A" w:rsidP="00A903E6">
            <w:pPr>
              <w:pStyle w:val="TableParagraph"/>
              <w:mirrorIndents/>
              <w:rPr>
                <w:szCs w:val="17"/>
              </w:rPr>
            </w:pPr>
            <w:r w:rsidRPr="00722521">
              <w:rPr>
                <w:w w:val="99"/>
                <w:szCs w:val="17"/>
              </w:rPr>
              <w:t>3</w:t>
            </w:r>
          </w:p>
          <w:p w14:paraId="2F9D0FDD" w14:textId="77777777" w:rsidR="00BA160A" w:rsidRPr="00722521" w:rsidRDefault="00BA160A" w:rsidP="00A903E6">
            <w:pPr>
              <w:pStyle w:val="TableParagraph"/>
              <w:mirrorIndents/>
              <w:rPr>
                <w:szCs w:val="17"/>
              </w:rPr>
            </w:pPr>
            <w:r w:rsidRPr="00722521">
              <w:rPr>
                <w:szCs w:val="17"/>
              </w:rPr>
              <w:t>(neutral)</w:t>
            </w:r>
          </w:p>
        </w:tc>
        <w:tc>
          <w:tcPr>
            <w:tcW w:w="681" w:type="pct"/>
            <w:tcBorders>
              <w:top w:val="single" w:sz="8" w:space="0" w:color="BABABA"/>
              <w:left w:val="single" w:sz="8" w:space="0" w:color="BABABA"/>
              <w:bottom w:val="single" w:sz="8" w:space="0" w:color="BABABA"/>
              <w:right w:val="single" w:sz="8" w:space="0" w:color="BABABA"/>
            </w:tcBorders>
            <w:hideMark/>
          </w:tcPr>
          <w:p w14:paraId="3776504D" w14:textId="77777777" w:rsidR="00BA160A" w:rsidRPr="00722521" w:rsidRDefault="00BA160A" w:rsidP="00A903E6">
            <w:pPr>
              <w:pStyle w:val="TableParagraph"/>
              <w:mirrorIndents/>
              <w:rPr>
                <w:szCs w:val="17"/>
              </w:rPr>
            </w:pPr>
            <w:r w:rsidRPr="00722521">
              <w:rPr>
                <w:w w:val="99"/>
                <w:szCs w:val="17"/>
              </w:rPr>
              <w:t>4</w:t>
            </w:r>
          </w:p>
          <w:p w14:paraId="50F36A98" w14:textId="77777777" w:rsidR="00BA160A" w:rsidRPr="00722521" w:rsidRDefault="00BA160A" w:rsidP="00A903E6">
            <w:pPr>
              <w:pStyle w:val="TableParagraph"/>
              <w:ind w:hanging="54"/>
              <w:mirrorIndents/>
              <w:rPr>
                <w:szCs w:val="17"/>
              </w:rPr>
            </w:pPr>
            <w:r w:rsidRPr="00722521">
              <w:rPr>
                <w:szCs w:val="17"/>
              </w:rPr>
              <w:t>(significant contribution)</w:t>
            </w:r>
          </w:p>
        </w:tc>
        <w:tc>
          <w:tcPr>
            <w:tcW w:w="704" w:type="pct"/>
            <w:tcBorders>
              <w:top w:val="single" w:sz="8" w:space="0" w:color="BABABA"/>
              <w:left w:val="single" w:sz="8" w:space="0" w:color="BABABA"/>
              <w:bottom w:val="single" w:sz="8" w:space="0" w:color="BABABA"/>
              <w:right w:val="single" w:sz="8" w:space="0" w:color="BABABA"/>
            </w:tcBorders>
            <w:hideMark/>
          </w:tcPr>
          <w:p w14:paraId="254D3425" w14:textId="77777777" w:rsidR="00BA160A" w:rsidRPr="00722521" w:rsidRDefault="00BA160A" w:rsidP="00A903E6">
            <w:pPr>
              <w:pStyle w:val="TableParagraph"/>
              <w:mirrorIndents/>
              <w:rPr>
                <w:szCs w:val="17"/>
              </w:rPr>
            </w:pPr>
            <w:r w:rsidRPr="00722521">
              <w:rPr>
                <w:w w:val="99"/>
                <w:szCs w:val="17"/>
              </w:rPr>
              <w:t>5</w:t>
            </w:r>
          </w:p>
          <w:p w14:paraId="1DD62AA3" w14:textId="77777777" w:rsidR="00BA160A" w:rsidRPr="00722521" w:rsidRDefault="00BA160A" w:rsidP="00A903E6">
            <w:pPr>
              <w:pStyle w:val="TableParagraph"/>
              <w:ind w:hanging="55"/>
              <w:mirrorIndents/>
              <w:rPr>
                <w:szCs w:val="17"/>
              </w:rPr>
            </w:pPr>
            <w:r w:rsidRPr="00722521">
              <w:rPr>
                <w:szCs w:val="17"/>
              </w:rPr>
              <w:t>(most significant contribution)</w:t>
            </w:r>
          </w:p>
        </w:tc>
        <w:tc>
          <w:tcPr>
            <w:tcW w:w="585" w:type="pct"/>
            <w:tcBorders>
              <w:top w:val="single" w:sz="8" w:space="0" w:color="BABABA"/>
              <w:left w:val="single" w:sz="8" w:space="0" w:color="BABABA"/>
              <w:bottom w:val="single" w:sz="8" w:space="0" w:color="BABABA"/>
              <w:right w:val="single" w:sz="8" w:space="0" w:color="BABABA"/>
            </w:tcBorders>
            <w:hideMark/>
          </w:tcPr>
          <w:p w14:paraId="3C2E75B9"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5D67111F" w14:textId="77777777" w:rsidR="00BA160A" w:rsidRPr="00722521" w:rsidRDefault="00BA160A" w:rsidP="00A903E6">
            <w:pPr>
              <w:pStyle w:val="TableParagraph"/>
              <w:ind w:hanging="1"/>
              <w:mirrorIndents/>
              <w:rPr>
                <w:szCs w:val="17"/>
              </w:rPr>
            </w:pPr>
            <w:r w:rsidRPr="00722521">
              <w:rPr>
                <w:szCs w:val="17"/>
              </w:rPr>
              <w:t>Not applicable</w:t>
            </w:r>
          </w:p>
        </w:tc>
      </w:tr>
      <w:tr w:rsidR="00BA160A" w:rsidRPr="00722521" w14:paraId="1BAE6833"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29CA0490" w14:textId="1B70DFE4" w:rsidR="00BA160A" w:rsidRPr="00722521" w:rsidRDefault="00BA160A" w:rsidP="00A903E6">
            <w:pPr>
              <w:pStyle w:val="TableParagraph"/>
              <w:mirrorIndents/>
              <w:rPr>
                <w:szCs w:val="17"/>
              </w:rPr>
            </w:pPr>
            <w:r w:rsidRPr="00722521">
              <w:rPr>
                <w:szCs w:val="17"/>
              </w:rPr>
              <w:t>Providing opinions to competent authorities</w:t>
            </w:r>
          </w:p>
        </w:tc>
        <w:tc>
          <w:tcPr>
            <w:tcW w:w="663" w:type="pct"/>
            <w:tcBorders>
              <w:top w:val="single" w:sz="8" w:space="0" w:color="BABABA"/>
              <w:left w:val="single" w:sz="8" w:space="0" w:color="BABABA"/>
              <w:bottom w:val="single" w:sz="8" w:space="0" w:color="BABABA"/>
              <w:right w:val="single" w:sz="8" w:space="0" w:color="BABABA"/>
            </w:tcBorders>
          </w:tcPr>
          <w:p w14:paraId="461DC7ED"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7F8BB11A" w14:textId="0C0A9482"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2D1622C4"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45407778" w14:textId="5E2335B7" w:rsidR="00BA160A" w:rsidRPr="00722521" w:rsidRDefault="001C681C" w:rsidP="00A903E6">
            <w:pPr>
              <w:pStyle w:val="TableParagraph"/>
              <w:mirrorIndents/>
              <w:rPr>
                <w:b/>
                <w:szCs w:val="17"/>
              </w:rPr>
            </w:pPr>
            <w:r w:rsidRPr="00722521">
              <w:rPr>
                <w:b/>
                <w:szCs w:val="17"/>
              </w:rPr>
              <w:t>x</w:t>
            </w:r>
          </w:p>
        </w:tc>
        <w:tc>
          <w:tcPr>
            <w:tcW w:w="704" w:type="pct"/>
            <w:tcBorders>
              <w:top w:val="single" w:sz="8" w:space="0" w:color="BABABA"/>
              <w:left w:val="single" w:sz="8" w:space="0" w:color="BABABA"/>
              <w:bottom w:val="single" w:sz="8" w:space="0" w:color="BABABA"/>
              <w:right w:val="single" w:sz="8" w:space="0" w:color="BABABA"/>
            </w:tcBorders>
          </w:tcPr>
          <w:p w14:paraId="55340E42" w14:textId="77777777" w:rsidR="00BA160A" w:rsidRPr="00722521" w:rsidRDefault="00BA160A" w:rsidP="00A903E6">
            <w:pPr>
              <w:pStyle w:val="TableParagraph"/>
              <w:mirrorIndents/>
              <w:rPr>
                <w:b/>
                <w:szCs w:val="17"/>
              </w:rPr>
            </w:pPr>
          </w:p>
        </w:tc>
        <w:tc>
          <w:tcPr>
            <w:tcW w:w="585" w:type="pct"/>
            <w:tcBorders>
              <w:top w:val="single" w:sz="8" w:space="0" w:color="BABABA"/>
              <w:left w:val="single" w:sz="8" w:space="0" w:color="BABABA"/>
              <w:bottom w:val="single" w:sz="8" w:space="0" w:color="BABABA"/>
              <w:right w:val="single" w:sz="8" w:space="0" w:color="BABABA"/>
            </w:tcBorders>
          </w:tcPr>
          <w:p w14:paraId="4913E7BF" w14:textId="77777777" w:rsidR="00BA160A" w:rsidRPr="00722521" w:rsidRDefault="00BA160A" w:rsidP="00A903E6">
            <w:pPr>
              <w:pStyle w:val="TableParagraph"/>
              <w:mirrorIndents/>
              <w:rPr>
                <w:b/>
                <w:szCs w:val="17"/>
              </w:rPr>
            </w:pPr>
          </w:p>
        </w:tc>
      </w:tr>
      <w:tr w:rsidR="00BA160A" w:rsidRPr="00722521" w14:paraId="64AE502F"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0CE02FE4" w14:textId="77777777" w:rsidR="00BA160A" w:rsidRPr="00722521" w:rsidRDefault="00BA160A" w:rsidP="00A903E6">
            <w:pPr>
              <w:pStyle w:val="TableParagraph"/>
              <w:mirrorIndents/>
              <w:rPr>
                <w:szCs w:val="17"/>
              </w:rPr>
            </w:pPr>
            <w:r w:rsidRPr="00722521">
              <w:rPr>
                <w:szCs w:val="17"/>
              </w:rPr>
              <w:t>Promoting bilateral and multilateral exchanges of information between competent authorities</w:t>
            </w:r>
          </w:p>
        </w:tc>
        <w:tc>
          <w:tcPr>
            <w:tcW w:w="663" w:type="pct"/>
            <w:tcBorders>
              <w:top w:val="single" w:sz="8" w:space="0" w:color="BABABA"/>
              <w:left w:val="single" w:sz="8" w:space="0" w:color="BABABA"/>
              <w:bottom w:val="single" w:sz="8" w:space="0" w:color="BABABA"/>
              <w:right w:val="single" w:sz="8" w:space="0" w:color="BABABA"/>
            </w:tcBorders>
          </w:tcPr>
          <w:p w14:paraId="0F99FC9F"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217D1B7B"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57940E9B"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660130BD"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56B7BA18" w14:textId="4DB65F73" w:rsidR="00BA160A" w:rsidRPr="00722521" w:rsidRDefault="00BC65A1" w:rsidP="00A903E6">
            <w:pPr>
              <w:pStyle w:val="TableParagraph"/>
              <w:mirrorIndents/>
              <w:rPr>
                <w:b/>
                <w:szCs w:val="17"/>
              </w:rPr>
            </w:pPr>
            <w:r w:rsidRPr="00722521">
              <w:rPr>
                <w:b/>
                <w:szCs w:val="17"/>
              </w:rPr>
              <w:t>x</w:t>
            </w:r>
          </w:p>
        </w:tc>
        <w:tc>
          <w:tcPr>
            <w:tcW w:w="585" w:type="pct"/>
            <w:tcBorders>
              <w:top w:val="single" w:sz="8" w:space="0" w:color="BABABA"/>
              <w:left w:val="single" w:sz="8" w:space="0" w:color="BABABA"/>
              <w:bottom w:val="single" w:sz="8" w:space="0" w:color="BABABA"/>
              <w:right w:val="single" w:sz="8" w:space="0" w:color="BABABA"/>
            </w:tcBorders>
          </w:tcPr>
          <w:p w14:paraId="616B1916" w14:textId="77777777" w:rsidR="00BA160A" w:rsidRPr="00722521" w:rsidRDefault="00BA160A" w:rsidP="00A903E6">
            <w:pPr>
              <w:pStyle w:val="TableParagraph"/>
              <w:mirrorIndents/>
              <w:rPr>
                <w:b/>
                <w:szCs w:val="17"/>
              </w:rPr>
            </w:pPr>
          </w:p>
        </w:tc>
      </w:tr>
      <w:tr w:rsidR="00BA160A" w:rsidRPr="00722521" w14:paraId="1FBA50C4"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0E470A32" w14:textId="77777777" w:rsidR="00BA160A" w:rsidRPr="00722521" w:rsidRDefault="00BA160A" w:rsidP="00A903E6">
            <w:pPr>
              <w:pStyle w:val="TableParagraph"/>
              <w:mirrorIndents/>
              <w:rPr>
                <w:szCs w:val="17"/>
              </w:rPr>
            </w:pPr>
            <w:r w:rsidRPr="00722521">
              <w:rPr>
                <w:szCs w:val="17"/>
              </w:rPr>
              <w:t>Contributing to developing high quality and uniform supervisory standards</w:t>
            </w:r>
          </w:p>
        </w:tc>
        <w:tc>
          <w:tcPr>
            <w:tcW w:w="663" w:type="pct"/>
            <w:tcBorders>
              <w:top w:val="single" w:sz="8" w:space="0" w:color="BABABA"/>
              <w:left w:val="single" w:sz="8" w:space="0" w:color="BABABA"/>
              <w:bottom w:val="single" w:sz="8" w:space="0" w:color="BABABA"/>
              <w:right w:val="single" w:sz="8" w:space="0" w:color="BABABA"/>
            </w:tcBorders>
          </w:tcPr>
          <w:p w14:paraId="565EE1F3"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110F138D"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0A6DCDC2"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317B5488"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6366C311" w14:textId="0E018F0C" w:rsidR="00BA160A" w:rsidRPr="00722521" w:rsidRDefault="00BC65A1" w:rsidP="00A903E6">
            <w:pPr>
              <w:pStyle w:val="TableParagraph"/>
              <w:mirrorIndents/>
              <w:rPr>
                <w:b/>
                <w:szCs w:val="17"/>
              </w:rPr>
            </w:pPr>
            <w:r w:rsidRPr="00722521">
              <w:rPr>
                <w:b/>
                <w:szCs w:val="17"/>
              </w:rPr>
              <w:t>x</w:t>
            </w:r>
          </w:p>
        </w:tc>
        <w:tc>
          <w:tcPr>
            <w:tcW w:w="585" w:type="pct"/>
            <w:tcBorders>
              <w:top w:val="single" w:sz="8" w:space="0" w:color="BABABA"/>
              <w:left w:val="single" w:sz="8" w:space="0" w:color="BABABA"/>
              <w:bottom w:val="single" w:sz="8" w:space="0" w:color="BABABA"/>
              <w:right w:val="single" w:sz="8" w:space="0" w:color="BABABA"/>
            </w:tcBorders>
          </w:tcPr>
          <w:p w14:paraId="78563EF6" w14:textId="77777777" w:rsidR="00BA160A" w:rsidRPr="00722521" w:rsidRDefault="00BA160A" w:rsidP="00A903E6">
            <w:pPr>
              <w:pStyle w:val="TableParagraph"/>
              <w:mirrorIndents/>
              <w:rPr>
                <w:b/>
                <w:szCs w:val="17"/>
              </w:rPr>
            </w:pPr>
          </w:p>
        </w:tc>
      </w:tr>
      <w:tr w:rsidR="00BA160A" w:rsidRPr="00722521" w14:paraId="7D39ADE0"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49B92A2C" w14:textId="77777777" w:rsidR="00BA160A" w:rsidRPr="00722521" w:rsidRDefault="00BA160A" w:rsidP="00A903E6">
            <w:pPr>
              <w:pStyle w:val="TableParagraph"/>
              <w:mirrorIndents/>
              <w:rPr>
                <w:szCs w:val="17"/>
              </w:rPr>
            </w:pPr>
            <w:r w:rsidRPr="00722521">
              <w:rPr>
                <w:szCs w:val="17"/>
              </w:rPr>
              <w:lastRenderedPageBreak/>
              <w:t>Contributing to developing high quality and uniform reporting standards</w:t>
            </w:r>
          </w:p>
        </w:tc>
        <w:tc>
          <w:tcPr>
            <w:tcW w:w="663" w:type="pct"/>
            <w:tcBorders>
              <w:top w:val="single" w:sz="8" w:space="0" w:color="BABABA"/>
              <w:left w:val="single" w:sz="8" w:space="0" w:color="BABABA"/>
              <w:bottom w:val="single" w:sz="8" w:space="0" w:color="BABABA"/>
              <w:right w:val="single" w:sz="8" w:space="0" w:color="BABABA"/>
            </w:tcBorders>
          </w:tcPr>
          <w:p w14:paraId="5F93B1F3"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401E9A8F"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711C2D46"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6101C1A6" w14:textId="6934788B" w:rsidR="00BA160A" w:rsidRPr="00722521" w:rsidRDefault="00BC65A1" w:rsidP="00A903E6">
            <w:pPr>
              <w:pStyle w:val="TableParagraph"/>
              <w:mirrorIndents/>
              <w:rPr>
                <w:b/>
                <w:szCs w:val="17"/>
              </w:rPr>
            </w:pPr>
            <w:r w:rsidRPr="00722521">
              <w:rPr>
                <w:b/>
                <w:szCs w:val="17"/>
              </w:rPr>
              <w:t>x</w:t>
            </w:r>
          </w:p>
        </w:tc>
        <w:tc>
          <w:tcPr>
            <w:tcW w:w="704" w:type="pct"/>
            <w:tcBorders>
              <w:top w:val="single" w:sz="8" w:space="0" w:color="BABABA"/>
              <w:left w:val="single" w:sz="8" w:space="0" w:color="BABABA"/>
              <w:bottom w:val="single" w:sz="8" w:space="0" w:color="BABABA"/>
              <w:right w:val="single" w:sz="8" w:space="0" w:color="BABABA"/>
            </w:tcBorders>
          </w:tcPr>
          <w:p w14:paraId="1B6EFAD0" w14:textId="77777777" w:rsidR="00BA160A" w:rsidRPr="00722521" w:rsidRDefault="00BA160A" w:rsidP="00A903E6">
            <w:pPr>
              <w:pStyle w:val="TableParagraph"/>
              <w:mirrorIndents/>
              <w:rPr>
                <w:b/>
                <w:szCs w:val="17"/>
              </w:rPr>
            </w:pPr>
          </w:p>
        </w:tc>
        <w:tc>
          <w:tcPr>
            <w:tcW w:w="585" w:type="pct"/>
            <w:tcBorders>
              <w:top w:val="single" w:sz="8" w:space="0" w:color="BABABA"/>
              <w:left w:val="single" w:sz="8" w:space="0" w:color="BABABA"/>
              <w:bottom w:val="single" w:sz="8" w:space="0" w:color="BABABA"/>
              <w:right w:val="single" w:sz="8" w:space="0" w:color="BABABA"/>
            </w:tcBorders>
          </w:tcPr>
          <w:p w14:paraId="0B98BA8F" w14:textId="77777777" w:rsidR="00BA160A" w:rsidRPr="00722521" w:rsidRDefault="00BA160A" w:rsidP="00A903E6">
            <w:pPr>
              <w:pStyle w:val="TableParagraph"/>
              <w:mirrorIndents/>
              <w:rPr>
                <w:b/>
                <w:szCs w:val="17"/>
              </w:rPr>
            </w:pPr>
          </w:p>
        </w:tc>
      </w:tr>
      <w:tr w:rsidR="00BA160A" w:rsidRPr="00722521" w14:paraId="67C326EF"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28D077D7" w14:textId="77777777" w:rsidR="00BA160A" w:rsidRPr="00722521" w:rsidRDefault="00BA160A" w:rsidP="00A903E6">
            <w:pPr>
              <w:pStyle w:val="TableParagraph"/>
              <w:mirrorIndents/>
              <w:rPr>
                <w:szCs w:val="17"/>
              </w:rPr>
            </w:pPr>
            <w:r w:rsidRPr="00722521">
              <w:rPr>
                <w:szCs w:val="17"/>
              </w:rPr>
              <w:t>Developing and reviewing the application of technical standards</w:t>
            </w:r>
          </w:p>
        </w:tc>
        <w:tc>
          <w:tcPr>
            <w:tcW w:w="663" w:type="pct"/>
            <w:tcBorders>
              <w:top w:val="single" w:sz="8" w:space="0" w:color="BABABA"/>
              <w:left w:val="single" w:sz="8" w:space="0" w:color="BABABA"/>
              <w:bottom w:val="single" w:sz="8" w:space="0" w:color="BABABA"/>
              <w:right w:val="single" w:sz="8" w:space="0" w:color="BABABA"/>
            </w:tcBorders>
          </w:tcPr>
          <w:p w14:paraId="60924A8C"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6742B5B9"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05426462"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5F11C5D6" w14:textId="5FE003A0"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47DF9276" w14:textId="2B568935" w:rsidR="00BA160A" w:rsidRPr="00722521" w:rsidRDefault="005A7198" w:rsidP="00A903E6">
            <w:pPr>
              <w:pStyle w:val="TableParagraph"/>
              <w:mirrorIndents/>
              <w:rPr>
                <w:b/>
                <w:szCs w:val="17"/>
              </w:rPr>
            </w:pPr>
            <w:r w:rsidRPr="00722521">
              <w:rPr>
                <w:b/>
                <w:szCs w:val="17"/>
              </w:rPr>
              <w:t>x</w:t>
            </w:r>
          </w:p>
        </w:tc>
        <w:tc>
          <w:tcPr>
            <w:tcW w:w="585" w:type="pct"/>
            <w:tcBorders>
              <w:top w:val="single" w:sz="8" w:space="0" w:color="BABABA"/>
              <w:left w:val="single" w:sz="8" w:space="0" w:color="BABABA"/>
              <w:bottom w:val="single" w:sz="8" w:space="0" w:color="BABABA"/>
              <w:right w:val="single" w:sz="8" w:space="0" w:color="BABABA"/>
            </w:tcBorders>
          </w:tcPr>
          <w:p w14:paraId="67028C09" w14:textId="77777777" w:rsidR="00BA160A" w:rsidRPr="00722521" w:rsidRDefault="00BA160A" w:rsidP="00A903E6">
            <w:pPr>
              <w:pStyle w:val="TableParagraph"/>
              <w:mirrorIndents/>
              <w:rPr>
                <w:b/>
                <w:szCs w:val="17"/>
              </w:rPr>
            </w:pPr>
          </w:p>
        </w:tc>
      </w:tr>
      <w:tr w:rsidR="00BA160A" w:rsidRPr="00722521" w14:paraId="2C9B389E"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44B98DB8" w14:textId="77777777" w:rsidR="00BA160A" w:rsidRPr="00722521" w:rsidRDefault="00BA160A" w:rsidP="00A903E6">
            <w:pPr>
              <w:pStyle w:val="TableParagraph"/>
              <w:mirrorIndents/>
              <w:rPr>
                <w:szCs w:val="17"/>
              </w:rPr>
            </w:pPr>
            <w:r w:rsidRPr="00722521">
              <w:rPr>
                <w:szCs w:val="17"/>
              </w:rPr>
              <w:t>Contributing to the development of sectoral legislation by providing advice to the Commission</w:t>
            </w:r>
          </w:p>
        </w:tc>
        <w:tc>
          <w:tcPr>
            <w:tcW w:w="663" w:type="pct"/>
            <w:tcBorders>
              <w:top w:val="single" w:sz="8" w:space="0" w:color="BABABA"/>
              <w:left w:val="single" w:sz="8" w:space="0" w:color="BABABA"/>
              <w:bottom w:val="single" w:sz="8" w:space="0" w:color="BABABA"/>
              <w:right w:val="single" w:sz="8" w:space="0" w:color="BABABA"/>
            </w:tcBorders>
          </w:tcPr>
          <w:p w14:paraId="1D7E9F17"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1DAA07A1" w14:textId="0CEFF9D3"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1EF36FE6" w14:textId="7AD40189"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7C189E2C" w14:textId="612D1866" w:rsidR="00BA160A" w:rsidRPr="00722521" w:rsidRDefault="001C681C" w:rsidP="00A903E6">
            <w:pPr>
              <w:pStyle w:val="TableParagraph"/>
              <w:mirrorIndents/>
              <w:rPr>
                <w:b/>
                <w:szCs w:val="17"/>
              </w:rPr>
            </w:pPr>
            <w:r w:rsidRPr="00722521">
              <w:rPr>
                <w:b/>
                <w:szCs w:val="17"/>
              </w:rPr>
              <w:t>x</w:t>
            </w:r>
          </w:p>
        </w:tc>
        <w:tc>
          <w:tcPr>
            <w:tcW w:w="704" w:type="pct"/>
            <w:tcBorders>
              <w:top w:val="single" w:sz="8" w:space="0" w:color="BABABA"/>
              <w:left w:val="single" w:sz="8" w:space="0" w:color="BABABA"/>
              <w:bottom w:val="single" w:sz="8" w:space="0" w:color="BABABA"/>
              <w:right w:val="single" w:sz="8" w:space="0" w:color="BABABA"/>
            </w:tcBorders>
          </w:tcPr>
          <w:p w14:paraId="5778F319" w14:textId="6D4FC8C6" w:rsidR="00BA160A" w:rsidRPr="00722521" w:rsidRDefault="00BA160A" w:rsidP="00A903E6">
            <w:pPr>
              <w:pStyle w:val="TableParagraph"/>
              <w:mirrorIndents/>
              <w:rPr>
                <w:b/>
                <w:szCs w:val="17"/>
              </w:rPr>
            </w:pPr>
          </w:p>
        </w:tc>
        <w:tc>
          <w:tcPr>
            <w:tcW w:w="585" w:type="pct"/>
            <w:tcBorders>
              <w:top w:val="single" w:sz="8" w:space="0" w:color="BABABA"/>
              <w:left w:val="single" w:sz="8" w:space="0" w:color="BABABA"/>
              <w:bottom w:val="single" w:sz="8" w:space="0" w:color="BABABA"/>
              <w:right w:val="single" w:sz="8" w:space="0" w:color="BABABA"/>
            </w:tcBorders>
          </w:tcPr>
          <w:p w14:paraId="5612DC53" w14:textId="77777777" w:rsidR="00BA160A" w:rsidRPr="00722521" w:rsidRDefault="00BA160A" w:rsidP="00A903E6">
            <w:pPr>
              <w:pStyle w:val="TableParagraph"/>
              <w:mirrorIndents/>
              <w:rPr>
                <w:b/>
                <w:szCs w:val="17"/>
              </w:rPr>
            </w:pPr>
          </w:p>
        </w:tc>
      </w:tr>
      <w:tr w:rsidR="00BA160A" w:rsidRPr="00722521" w14:paraId="3B7DDDFB"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59D7BE6B" w14:textId="77777777" w:rsidR="00BA160A" w:rsidRPr="00722521" w:rsidRDefault="00BA160A" w:rsidP="00A903E6">
            <w:pPr>
              <w:pStyle w:val="TableParagraph"/>
              <w:mirrorIndents/>
              <w:rPr>
                <w:szCs w:val="17"/>
              </w:rPr>
            </w:pPr>
            <w:r w:rsidRPr="00722521">
              <w:rPr>
                <w:szCs w:val="17"/>
              </w:rPr>
              <w:t xml:space="preserve">Establishing (cross)sectoral training </w:t>
            </w:r>
            <w:proofErr w:type="spellStart"/>
            <w:r w:rsidRPr="00722521">
              <w:rPr>
                <w:szCs w:val="17"/>
              </w:rPr>
              <w:t>programmes</w:t>
            </w:r>
            <w:proofErr w:type="spellEnd"/>
          </w:p>
        </w:tc>
        <w:tc>
          <w:tcPr>
            <w:tcW w:w="663" w:type="pct"/>
            <w:tcBorders>
              <w:top w:val="single" w:sz="8" w:space="0" w:color="BABABA"/>
              <w:left w:val="single" w:sz="8" w:space="0" w:color="BABABA"/>
              <w:bottom w:val="single" w:sz="8" w:space="0" w:color="BABABA"/>
              <w:right w:val="single" w:sz="8" w:space="0" w:color="BABABA"/>
            </w:tcBorders>
          </w:tcPr>
          <w:p w14:paraId="44B0F17A"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532CB0A8"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748206FA"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3B529EE1"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6BA5F387" w14:textId="77777777" w:rsidR="00BA160A" w:rsidRPr="00722521" w:rsidRDefault="00BA160A" w:rsidP="00A903E6">
            <w:pPr>
              <w:pStyle w:val="TableParagraph"/>
              <w:mirrorIndents/>
              <w:rPr>
                <w:b/>
                <w:szCs w:val="17"/>
              </w:rPr>
            </w:pPr>
          </w:p>
        </w:tc>
        <w:tc>
          <w:tcPr>
            <w:tcW w:w="585" w:type="pct"/>
            <w:tcBorders>
              <w:top w:val="single" w:sz="8" w:space="0" w:color="BABABA"/>
              <w:left w:val="single" w:sz="8" w:space="0" w:color="BABABA"/>
              <w:bottom w:val="single" w:sz="8" w:space="0" w:color="BABABA"/>
              <w:right w:val="single" w:sz="8" w:space="0" w:color="BABABA"/>
            </w:tcBorders>
          </w:tcPr>
          <w:p w14:paraId="587C816B" w14:textId="286F42E1" w:rsidR="00BA160A" w:rsidRPr="00722521" w:rsidRDefault="00F7429D" w:rsidP="00A903E6">
            <w:pPr>
              <w:pStyle w:val="TableParagraph"/>
              <w:mirrorIndents/>
              <w:rPr>
                <w:b/>
                <w:szCs w:val="17"/>
              </w:rPr>
            </w:pPr>
            <w:r w:rsidRPr="00722521">
              <w:rPr>
                <w:b/>
                <w:szCs w:val="17"/>
              </w:rPr>
              <w:t>x</w:t>
            </w:r>
          </w:p>
        </w:tc>
      </w:tr>
      <w:tr w:rsidR="00BA160A" w:rsidRPr="00722521" w14:paraId="76E881B7"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66B9C68A" w14:textId="77777777" w:rsidR="00BA160A" w:rsidRPr="00722521" w:rsidRDefault="00BA160A" w:rsidP="00A903E6">
            <w:pPr>
              <w:pStyle w:val="TableParagraph"/>
              <w:mirrorIndents/>
              <w:rPr>
                <w:szCs w:val="17"/>
              </w:rPr>
            </w:pPr>
            <w:r w:rsidRPr="00722521">
              <w:rPr>
                <w:szCs w:val="17"/>
              </w:rPr>
              <w:t>Producing reports relating to their field of activities</w:t>
            </w:r>
          </w:p>
        </w:tc>
        <w:tc>
          <w:tcPr>
            <w:tcW w:w="663" w:type="pct"/>
            <w:tcBorders>
              <w:top w:val="single" w:sz="8" w:space="0" w:color="BABABA"/>
              <w:left w:val="single" w:sz="8" w:space="0" w:color="BABABA"/>
              <w:bottom w:val="single" w:sz="8" w:space="0" w:color="BABABA"/>
              <w:right w:val="single" w:sz="8" w:space="0" w:color="BABABA"/>
            </w:tcBorders>
          </w:tcPr>
          <w:p w14:paraId="00028C9B"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7CD8BC12"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21B3ED5D" w14:textId="2CA2F99D" w:rsidR="00BA160A" w:rsidRPr="00722521" w:rsidRDefault="00BC65A1" w:rsidP="00A903E6">
            <w:pPr>
              <w:pStyle w:val="TableParagraph"/>
              <w:mirrorIndents/>
              <w:rPr>
                <w:b/>
                <w:szCs w:val="17"/>
              </w:rPr>
            </w:pPr>
            <w:r w:rsidRPr="00722521">
              <w:rPr>
                <w:b/>
                <w:szCs w:val="17"/>
              </w:rPr>
              <w:t>x</w:t>
            </w:r>
          </w:p>
        </w:tc>
        <w:tc>
          <w:tcPr>
            <w:tcW w:w="681" w:type="pct"/>
            <w:tcBorders>
              <w:top w:val="single" w:sz="8" w:space="0" w:color="BABABA"/>
              <w:left w:val="single" w:sz="8" w:space="0" w:color="BABABA"/>
              <w:bottom w:val="single" w:sz="8" w:space="0" w:color="BABABA"/>
              <w:right w:val="single" w:sz="8" w:space="0" w:color="BABABA"/>
            </w:tcBorders>
          </w:tcPr>
          <w:p w14:paraId="0EA5BC90"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073FA780" w14:textId="77777777" w:rsidR="00BA160A" w:rsidRPr="00722521" w:rsidRDefault="00BA160A" w:rsidP="00A903E6">
            <w:pPr>
              <w:pStyle w:val="TableParagraph"/>
              <w:mirrorIndents/>
              <w:rPr>
                <w:b/>
                <w:szCs w:val="17"/>
              </w:rPr>
            </w:pPr>
          </w:p>
        </w:tc>
        <w:tc>
          <w:tcPr>
            <w:tcW w:w="585" w:type="pct"/>
            <w:tcBorders>
              <w:top w:val="single" w:sz="8" w:space="0" w:color="BABABA"/>
              <w:left w:val="single" w:sz="8" w:space="0" w:color="BABABA"/>
              <w:bottom w:val="single" w:sz="8" w:space="0" w:color="BABABA"/>
              <w:right w:val="single" w:sz="8" w:space="0" w:color="BABABA"/>
            </w:tcBorders>
          </w:tcPr>
          <w:p w14:paraId="30097C0B" w14:textId="77777777" w:rsidR="00BA160A" w:rsidRPr="00722521" w:rsidRDefault="00BA160A" w:rsidP="00A903E6">
            <w:pPr>
              <w:pStyle w:val="TableParagraph"/>
              <w:mirrorIndents/>
              <w:rPr>
                <w:b/>
                <w:szCs w:val="17"/>
              </w:rPr>
            </w:pPr>
          </w:p>
        </w:tc>
      </w:tr>
      <w:tr w:rsidR="00BA160A" w:rsidRPr="00722521" w14:paraId="15C7B755"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50C553DF" w14:textId="77777777" w:rsidR="00BA160A" w:rsidRPr="00722521" w:rsidRDefault="00BA160A" w:rsidP="00A903E6">
            <w:pPr>
              <w:pStyle w:val="TableParagraph"/>
              <w:mirrorIndents/>
              <w:rPr>
                <w:szCs w:val="17"/>
              </w:rPr>
            </w:pPr>
            <w:r w:rsidRPr="00722521">
              <w:rPr>
                <w:w w:val="105"/>
                <w:szCs w:val="17"/>
              </w:rPr>
              <w:t>Conducting peer reviews between</w:t>
            </w:r>
            <w:r w:rsidRPr="00722521">
              <w:rPr>
                <w:w w:val="102"/>
                <w:szCs w:val="17"/>
              </w:rPr>
              <w:t xml:space="preserve"> </w:t>
            </w:r>
            <w:r w:rsidRPr="00722521">
              <w:rPr>
                <w:w w:val="105"/>
                <w:szCs w:val="17"/>
              </w:rPr>
              <w:t>competent authorities</w:t>
            </w:r>
          </w:p>
        </w:tc>
        <w:tc>
          <w:tcPr>
            <w:tcW w:w="663" w:type="pct"/>
            <w:tcBorders>
              <w:top w:val="single" w:sz="8" w:space="0" w:color="BABABA"/>
              <w:left w:val="single" w:sz="8" w:space="0" w:color="BABABA"/>
              <w:bottom w:val="single" w:sz="8" w:space="0" w:color="BABABA"/>
              <w:right w:val="single" w:sz="8" w:space="0" w:color="BABABA"/>
            </w:tcBorders>
          </w:tcPr>
          <w:p w14:paraId="3D2F7EBC"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621DBB46"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29A6697D"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702999F4" w14:textId="7D1664B9" w:rsidR="00BA160A" w:rsidRPr="00722521" w:rsidRDefault="00BC65A1" w:rsidP="00A903E6">
            <w:pPr>
              <w:pStyle w:val="TableParagraph"/>
              <w:mirrorIndents/>
              <w:rPr>
                <w:b/>
                <w:szCs w:val="17"/>
              </w:rPr>
            </w:pPr>
            <w:r w:rsidRPr="00722521">
              <w:rPr>
                <w:b/>
                <w:szCs w:val="17"/>
              </w:rPr>
              <w:t>x</w:t>
            </w:r>
          </w:p>
        </w:tc>
        <w:tc>
          <w:tcPr>
            <w:tcW w:w="704" w:type="pct"/>
            <w:tcBorders>
              <w:top w:val="single" w:sz="8" w:space="0" w:color="BABABA"/>
              <w:left w:val="single" w:sz="8" w:space="0" w:color="BABABA"/>
              <w:bottom w:val="single" w:sz="8" w:space="0" w:color="BABABA"/>
              <w:right w:val="single" w:sz="8" w:space="0" w:color="BABABA"/>
            </w:tcBorders>
          </w:tcPr>
          <w:p w14:paraId="070412AA"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424CC253" w14:textId="77777777" w:rsidR="00BA160A" w:rsidRPr="00722521" w:rsidRDefault="00BA160A" w:rsidP="00A903E6">
            <w:pPr>
              <w:pStyle w:val="TableParagraph"/>
              <w:mirrorIndents/>
              <w:rPr>
                <w:b/>
                <w:szCs w:val="17"/>
              </w:rPr>
            </w:pPr>
          </w:p>
        </w:tc>
      </w:tr>
      <w:tr w:rsidR="00BA160A" w:rsidRPr="00722521" w14:paraId="7E05A354"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29D0EECE" w14:textId="77777777" w:rsidR="00BA160A" w:rsidRPr="00722521" w:rsidRDefault="00BA160A" w:rsidP="00A903E6">
            <w:pPr>
              <w:pStyle w:val="TableParagraph"/>
              <w:mirrorIndents/>
              <w:rPr>
                <w:szCs w:val="17"/>
              </w:rPr>
            </w:pPr>
            <w:r w:rsidRPr="00722521">
              <w:rPr>
                <w:szCs w:val="17"/>
              </w:rPr>
              <w:t>Determining new Union strategic supervisory priorities</w:t>
            </w:r>
          </w:p>
        </w:tc>
        <w:tc>
          <w:tcPr>
            <w:tcW w:w="663" w:type="pct"/>
            <w:tcBorders>
              <w:top w:val="single" w:sz="8" w:space="0" w:color="BABABA"/>
              <w:left w:val="single" w:sz="8" w:space="0" w:color="BABABA"/>
              <w:bottom w:val="single" w:sz="8" w:space="0" w:color="BABABA"/>
              <w:right w:val="single" w:sz="8" w:space="0" w:color="BABABA"/>
            </w:tcBorders>
          </w:tcPr>
          <w:p w14:paraId="4F660DC8"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192B8D4C"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36D855B5"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245CC3F7" w14:textId="2ECD3CB0" w:rsidR="00BA160A" w:rsidRPr="00722521" w:rsidRDefault="00BC65A1" w:rsidP="00A903E6">
            <w:pPr>
              <w:pStyle w:val="TableParagraph"/>
              <w:mirrorIndents/>
              <w:rPr>
                <w:b/>
                <w:szCs w:val="17"/>
              </w:rPr>
            </w:pPr>
            <w:r w:rsidRPr="00722521">
              <w:rPr>
                <w:b/>
                <w:szCs w:val="17"/>
              </w:rPr>
              <w:t>x</w:t>
            </w:r>
          </w:p>
        </w:tc>
        <w:tc>
          <w:tcPr>
            <w:tcW w:w="704" w:type="pct"/>
            <w:tcBorders>
              <w:top w:val="single" w:sz="8" w:space="0" w:color="BABABA"/>
              <w:left w:val="single" w:sz="8" w:space="0" w:color="BABABA"/>
              <w:bottom w:val="single" w:sz="8" w:space="0" w:color="BABABA"/>
              <w:right w:val="single" w:sz="8" w:space="0" w:color="BABABA"/>
            </w:tcBorders>
          </w:tcPr>
          <w:p w14:paraId="15D6B1F3"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68757B3C" w14:textId="77777777" w:rsidR="00BA160A" w:rsidRPr="00722521" w:rsidRDefault="00BA160A" w:rsidP="00A903E6">
            <w:pPr>
              <w:pStyle w:val="TableParagraph"/>
              <w:mirrorIndents/>
              <w:rPr>
                <w:b/>
                <w:szCs w:val="17"/>
              </w:rPr>
            </w:pPr>
          </w:p>
        </w:tc>
      </w:tr>
      <w:tr w:rsidR="00BA160A" w:rsidRPr="00722521" w14:paraId="564BFE08"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3957DB5B" w14:textId="77777777" w:rsidR="00BA160A" w:rsidRPr="00722521" w:rsidRDefault="00BA160A" w:rsidP="00A903E6">
            <w:pPr>
              <w:pStyle w:val="TableParagraph"/>
              <w:mirrorIndents/>
              <w:rPr>
                <w:szCs w:val="17"/>
              </w:rPr>
            </w:pPr>
            <w:r w:rsidRPr="00722521">
              <w:rPr>
                <w:szCs w:val="17"/>
              </w:rPr>
              <w:t>Establishing coordination groups</w:t>
            </w:r>
          </w:p>
        </w:tc>
        <w:tc>
          <w:tcPr>
            <w:tcW w:w="663" w:type="pct"/>
            <w:tcBorders>
              <w:top w:val="single" w:sz="8" w:space="0" w:color="BABABA"/>
              <w:left w:val="single" w:sz="8" w:space="0" w:color="BABABA"/>
              <w:bottom w:val="single" w:sz="8" w:space="0" w:color="BABABA"/>
              <w:right w:val="single" w:sz="8" w:space="0" w:color="BABABA"/>
            </w:tcBorders>
          </w:tcPr>
          <w:p w14:paraId="7A87060D"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29001251"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02CB6EFE"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516DB747"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791CF0B0" w14:textId="6EDEF592" w:rsidR="00BA160A" w:rsidRPr="00722521" w:rsidRDefault="00BC65A1" w:rsidP="00A903E6">
            <w:pPr>
              <w:pStyle w:val="TableParagraph"/>
              <w:mirrorIndents/>
              <w:rPr>
                <w:b/>
                <w:szCs w:val="17"/>
              </w:rPr>
            </w:pPr>
            <w:r w:rsidRPr="00722521">
              <w:rPr>
                <w:b/>
                <w:szCs w:val="17"/>
              </w:rPr>
              <w:t>x</w:t>
            </w:r>
          </w:p>
        </w:tc>
        <w:tc>
          <w:tcPr>
            <w:tcW w:w="619" w:type="pct"/>
            <w:tcBorders>
              <w:top w:val="single" w:sz="8" w:space="0" w:color="BABABA"/>
              <w:left w:val="single" w:sz="8" w:space="0" w:color="BABABA"/>
              <w:bottom w:val="single" w:sz="8" w:space="0" w:color="BABABA"/>
              <w:right w:val="single" w:sz="8" w:space="0" w:color="BABABA"/>
            </w:tcBorders>
          </w:tcPr>
          <w:p w14:paraId="664A953C" w14:textId="77777777" w:rsidR="00BA160A" w:rsidRPr="00722521" w:rsidRDefault="00BA160A" w:rsidP="00A903E6">
            <w:pPr>
              <w:pStyle w:val="TableParagraph"/>
              <w:mirrorIndents/>
              <w:rPr>
                <w:b/>
                <w:szCs w:val="17"/>
              </w:rPr>
            </w:pPr>
          </w:p>
        </w:tc>
      </w:tr>
      <w:tr w:rsidR="00BA160A" w:rsidRPr="00722521" w14:paraId="55674C62" w14:textId="77777777" w:rsidTr="00A903E6">
        <w:trPr>
          <w:trHeight w:hRule="exact" w:val="1522"/>
        </w:trPr>
        <w:tc>
          <w:tcPr>
            <w:tcW w:w="1147" w:type="pct"/>
            <w:tcBorders>
              <w:top w:val="single" w:sz="8" w:space="0" w:color="BABABA"/>
              <w:left w:val="single" w:sz="8" w:space="0" w:color="BABABA"/>
              <w:bottom w:val="single" w:sz="8" w:space="0" w:color="BABABA"/>
              <w:right w:val="single" w:sz="8" w:space="0" w:color="BABABA"/>
            </w:tcBorders>
            <w:hideMark/>
          </w:tcPr>
          <w:p w14:paraId="3C5D4D93" w14:textId="77777777" w:rsidR="00BA160A" w:rsidRPr="00722521" w:rsidRDefault="00BA160A" w:rsidP="00A903E6">
            <w:pPr>
              <w:pStyle w:val="TableParagraph"/>
              <w:mirrorIndents/>
              <w:rPr>
                <w:szCs w:val="17"/>
              </w:rPr>
            </w:pPr>
            <w:r w:rsidRPr="00722521">
              <w:rPr>
                <w:szCs w:val="17"/>
              </w:rPr>
              <w:t>Developing Union supervisory handbooks</w:t>
            </w:r>
          </w:p>
        </w:tc>
        <w:tc>
          <w:tcPr>
            <w:tcW w:w="663" w:type="pct"/>
            <w:tcBorders>
              <w:top w:val="single" w:sz="8" w:space="0" w:color="BABABA"/>
              <w:left w:val="single" w:sz="8" w:space="0" w:color="BABABA"/>
              <w:bottom w:val="single" w:sz="8" w:space="0" w:color="BABABA"/>
              <w:right w:val="single" w:sz="8" w:space="0" w:color="BABABA"/>
            </w:tcBorders>
          </w:tcPr>
          <w:p w14:paraId="6275E3FB"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5FB7FD62"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30807357"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4AD5A92C"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01C7CB4A" w14:textId="76607EAA" w:rsidR="00BA160A" w:rsidRPr="00722521" w:rsidRDefault="00BC65A1" w:rsidP="00A903E6">
            <w:pPr>
              <w:pStyle w:val="TableParagraph"/>
              <w:mirrorIndents/>
              <w:rPr>
                <w:b/>
                <w:szCs w:val="17"/>
              </w:rPr>
            </w:pPr>
            <w:r w:rsidRPr="00722521">
              <w:rPr>
                <w:b/>
                <w:szCs w:val="17"/>
              </w:rPr>
              <w:t>x</w:t>
            </w:r>
          </w:p>
        </w:tc>
        <w:tc>
          <w:tcPr>
            <w:tcW w:w="619" w:type="pct"/>
            <w:tcBorders>
              <w:top w:val="single" w:sz="8" w:space="0" w:color="BABABA"/>
              <w:left w:val="single" w:sz="8" w:space="0" w:color="BABABA"/>
              <w:bottom w:val="single" w:sz="8" w:space="0" w:color="BABABA"/>
              <w:right w:val="single" w:sz="8" w:space="0" w:color="BABABA"/>
            </w:tcBorders>
          </w:tcPr>
          <w:p w14:paraId="68CE823D" w14:textId="77777777" w:rsidR="00BA160A" w:rsidRPr="00722521" w:rsidRDefault="00BA160A" w:rsidP="00A903E6">
            <w:pPr>
              <w:pStyle w:val="TableParagraph"/>
              <w:mirrorIndents/>
              <w:rPr>
                <w:b/>
                <w:szCs w:val="17"/>
              </w:rPr>
            </w:pPr>
          </w:p>
        </w:tc>
      </w:tr>
      <w:tr w:rsidR="00BA160A" w:rsidRPr="00722521" w14:paraId="19B584D4" w14:textId="77777777" w:rsidTr="00A903E6">
        <w:trPr>
          <w:trHeight w:hRule="exact" w:val="2114"/>
        </w:trPr>
        <w:tc>
          <w:tcPr>
            <w:tcW w:w="1147" w:type="pct"/>
            <w:tcBorders>
              <w:top w:val="single" w:sz="8" w:space="0" w:color="BABABA"/>
              <w:left w:val="single" w:sz="8" w:space="0" w:color="BABABA"/>
              <w:bottom w:val="single" w:sz="8" w:space="0" w:color="BABABA"/>
              <w:right w:val="single" w:sz="8" w:space="0" w:color="BABABA"/>
            </w:tcBorders>
            <w:hideMark/>
          </w:tcPr>
          <w:p w14:paraId="76EA1D7F" w14:textId="77777777" w:rsidR="00BA160A" w:rsidRPr="00722521" w:rsidRDefault="00BA160A" w:rsidP="00A903E6">
            <w:pPr>
              <w:pStyle w:val="TableParagraph"/>
              <w:mirrorIndents/>
              <w:rPr>
                <w:szCs w:val="17"/>
              </w:rPr>
            </w:pPr>
            <w:r w:rsidRPr="00722521">
              <w:rPr>
                <w:szCs w:val="17"/>
              </w:rPr>
              <w:t>Monitoring and assessing environmental, social and governance- related risks</w:t>
            </w:r>
          </w:p>
        </w:tc>
        <w:tc>
          <w:tcPr>
            <w:tcW w:w="663" w:type="pct"/>
            <w:tcBorders>
              <w:top w:val="single" w:sz="8" w:space="0" w:color="BABABA"/>
              <w:left w:val="single" w:sz="8" w:space="0" w:color="BABABA"/>
              <w:bottom w:val="single" w:sz="8" w:space="0" w:color="BABABA"/>
              <w:right w:val="single" w:sz="8" w:space="0" w:color="BABABA"/>
            </w:tcBorders>
          </w:tcPr>
          <w:p w14:paraId="0E7A7F6F" w14:textId="6DCAEC22" w:rsidR="00BA160A" w:rsidRPr="00722521" w:rsidRDefault="00BC65A1" w:rsidP="00A903E6">
            <w:pPr>
              <w:pStyle w:val="TableParagraph"/>
              <w:mirrorIndents/>
              <w:rPr>
                <w:b/>
                <w:szCs w:val="17"/>
              </w:rPr>
            </w:pPr>
            <w:r w:rsidRPr="00722521">
              <w:rPr>
                <w:b/>
                <w:szCs w:val="17"/>
              </w:rPr>
              <w:t>x</w:t>
            </w:r>
          </w:p>
        </w:tc>
        <w:tc>
          <w:tcPr>
            <w:tcW w:w="709" w:type="pct"/>
            <w:tcBorders>
              <w:top w:val="single" w:sz="8" w:space="0" w:color="BABABA"/>
              <w:left w:val="single" w:sz="8" w:space="0" w:color="BABABA"/>
              <w:bottom w:val="single" w:sz="8" w:space="0" w:color="BABABA"/>
              <w:right w:val="single" w:sz="8" w:space="0" w:color="BABABA"/>
            </w:tcBorders>
          </w:tcPr>
          <w:p w14:paraId="0C778731"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608A0950"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2A9429D7"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1115E68A"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1039EFE9" w14:textId="77777777" w:rsidR="00BA160A" w:rsidRPr="00722521" w:rsidRDefault="00BA160A" w:rsidP="00A903E6">
            <w:pPr>
              <w:pStyle w:val="TableParagraph"/>
              <w:mirrorIndents/>
              <w:rPr>
                <w:b/>
                <w:szCs w:val="17"/>
              </w:rPr>
            </w:pPr>
          </w:p>
        </w:tc>
      </w:tr>
      <w:tr w:rsidR="00BA160A" w:rsidRPr="00722521" w14:paraId="4CD025C0" w14:textId="77777777" w:rsidTr="00A903E6">
        <w:trPr>
          <w:trHeight w:hRule="exact" w:val="1522"/>
        </w:trPr>
        <w:tc>
          <w:tcPr>
            <w:tcW w:w="1147" w:type="pct"/>
            <w:tcBorders>
              <w:top w:val="single" w:sz="8" w:space="0" w:color="BABABA"/>
              <w:left w:val="single" w:sz="8" w:space="0" w:color="BABABA"/>
              <w:bottom w:val="single" w:sz="8" w:space="0" w:color="BABABA"/>
              <w:right w:val="single" w:sz="8" w:space="0" w:color="BABABA"/>
            </w:tcBorders>
            <w:hideMark/>
          </w:tcPr>
          <w:p w14:paraId="63B581EB" w14:textId="77777777" w:rsidR="00BA160A" w:rsidRPr="00722521" w:rsidRDefault="00BA160A" w:rsidP="00A903E6">
            <w:pPr>
              <w:pStyle w:val="TableParagraph"/>
              <w:mirrorIndents/>
              <w:rPr>
                <w:szCs w:val="17"/>
              </w:rPr>
            </w:pPr>
            <w:r w:rsidRPr="00722521">
              <w:rPr>
                <w:w w:val="105"/>
                <w:szCs w:val="17"/>
              </w:rPr>
              <w:lastRenderedPageBreak/>
              <w:t>Adopting measures using</w:t>
            </w:r>
            <w:r w:rsidRPr="00722521">
              <w:rPr>
                <w:w w:val="102"/>
                <w:szCs w:val="17"/>
              </w:rPr>
              <w:t xml:space="preserve"> </w:t>
            </w:r>
            <w:r w:rsidRPr="00722521">
              <w:rPr>
                <w:w w:val="105"/>
                <w:szCs w:val="17"/>
              </w:rPr>
              <w:t>emergency powers</w:t>
            </w:r>
          </w:p>
        </w:tc>
        <w:tc>
          <w:tcPr>
            <w:tcW w:w="663" w:type="pct"/>
            <w:tcBorders>
              <w:top w:val="single" w:sz="8" w:space="0" w:color="BABABA"/>
              <w:left w:val="single" w:sz="8" w:space="0" w:color="BABABA"/>
              <w:bottom w:val="single" w:sz="8" w:space="0" w:color="BABABA"/>
              <w:right w:val="single" w:sz="8" w:space="0" w:color="BABABA"/>
            </w:tcBorders>
          </w:tcPr>
          <w:p w14:paraId="45460A75" w14:textId="4C12F691" w:rsidR="00BA160A" w:rsidRPr="00722521" w:rsidRDefault="00BC65A1" w:rsidP="00A903E6">
            <w:pPr>
              <w:pStyle w:val="TableParagraph"/>
              <w:mirrorIndents/>
              <w:rPr>
                <w:b/>
                <w:szCs w:val="17"/>
              </w:rPr>
            </w:pPr>
            <w:r w:rsidRPr="00722521">
              <w:rPr>
                <w:b/>
                <w:szCs w:val="17"/>
              </w:rPr>
              <w:t>x</w:t>
            </w:r>
          </w:p>
        </w:tc>
        <w:tc>
          <w:tcPr>
            <w:tcW w:w="709" w:type="pct"/>
            <w:tcBorders>
              <w:top w:val="single" w:sz="8" w:space="0" w:color="BABABA"/>
              <w:left w:val="single" w:sz="8" w:space="0" w:color="BABABA"/>
              <w:bottom w:val="single" w:sz="8" w:space="0" w:color="BABABA"/>
              <w:right w:val="single" w:sz="8" w:space="0" w:color="BABABA"/>
            </w:tcBorders>
          </w:tcPr>
          <w:p w14:paraId="2B0C0E89"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0896640E"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0C892F1A"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05E0ACE6"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1755ACBA" w14:textId="77777777" w:rsidR="00BA160A" w:rsidRPr="00722521" w:rsidRDefault="00BA160A" w:rsidP="00A903E6">
            <w:pPr>
              <w:pStyle w:val="TableParagraph"/>
              <w:mirrorIndents/>
              <w:rPr>
                <w:b/>
                <w:szCs w:val="17"/>
              </w:rPr>
            </w:pPr>
          </w:p>
        </w:tc>
      </w:tr>
      <w:tr w:rsidR="00BA160A" w:rsidRPr="00722521" w14:paraId="3CFCC19B" w14:textId="77777777" w:rsidTr="00A903E6">
        <w:trPr>
          <w:trHeight w:hRule="exact" w:val="1225"/>
        </w:trPr>
        <w:tc>
          <w:tcPr>
            <w:tcW w:w="1147" w:type="pct"/>
            <w:tcBorders>
              <w:top w:val="single" w:sz="8" w:space="0" w:color="BABABA"/>
              <w:left w:val="single" w:sz="8" w:space="0" w:color="BABABA"/>
              <w:bottom w:val="single" w:sz="8" w:space="0" w:color="BABABA"/>
              <w:right w:val="single" w:sz="8" w:space="0" w:color="BABABA"/>
            </w:tcBorders>
            <w:hideMark/>
          </w:tcPr>
          <w:p w14:paraId="684509D8" w14:textId="77777777" w:rsidR="00BA160A" w:rsidRPr="00722521" w:rsidRDefault="00BA160A" w:rsidP="00A903E6">
            <w:pPr>
              <w:pStyle w:val="TableParagraph"/>
              <w:mirrorIndents/>
              <w:rPr>
                <w:szCs w:val="17"/>
              </w:rPr>
            </w:pPr>
            <w:r w:rsidRPr="00722521">
              <w:rPr>
                <w:szCs w:val="17"/>
              </w:rPr>
              <w:t>Investigating breaches of Union law</w:t>
            </w:r>
          </w:p>
        </w:tc>
        <w:tc>
          <w:tcPr>
            <w:tcW w:w="663" w:type="pct"/>
            <w:tcBorders>
              <w:top w:val="single" w:sz="8" w:space="0" w:color="BABABA"/>
              <w:left w:val="single" w:sz="8" w:space="0" w:color="BABABA"/>
              <w:bottom w:val="single" w:sz="8" w:space="0" w:color="BABABA"/>
              <w:right w:val="single" w:sz="8" w:space="0" w:color="BABABA"/>
            </w:tcBorders>
          </w:tcPr>
          <w:p w14:paraId="3B978E2B"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4035D446"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6C1D544C"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3C37E3C4"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4729AF4B"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2536A8F7" w14:textId="0E89FB0F" w:rsidR="00BA160A" w:rsidRPr="00722521" w:rsidRDefault="00F7429D" w:rsidP="00A903E6">
            <w:pPr>
              <w:pStyle w:val="TableParagraph"/>
              <w:mirrorIndents/>
              <w:rPr>
                <w:b/>
                <w:szCs w:val="17"/>
              </w:rPr>
            </w:pPr>
            <w:r w:rsidRPr="00722521">
              <w:rPr>
                <w:b/>
                <w:szCs w:val="17"/>
              </w:rPr>
              <w:t>x</w:t>
            </w:r>
          </w:p>
        </w:tc>
      </w:tr>
      <w:tr w:rsidR="00BA160A" w:rsidRPr="00722521" w14:paraId="7DA9C690"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479C21CA" w14:textId="77777777" w:rsidR="00BA160A" w:rsidRPr="00722521" w:rsidRDefault="00BA160A" w:rsidP="00A903E6">
            <w:pPr>
              <w:pStyle w:val="TableParagraph"/>
              <w:mirrorIndents/>
              <w:rPr>
                <w:szCs w:val="17"/>
              </w:rPr>
            </w:pPr>
            <w:r w:rsidRPr="00722521">
              <w:rPr>
                <w:szCs w:val="17"/>
              </w:rPr>
              <w:t>Coordinating actions of competent authorities in emergency situations (e.g. Covid-19 crisis)</w:t>
            </w:r>
          </w:p>
        </w:tc>
        <w:tc>
          <w:tcPr>
            <w:tcW w:w="663" w:type="pct"/>
            <w:tcBorders>
              <w:top w:val="single" w:sz="8" w:space="0" w:color="BABABA"/>
              <w:left w:val="single" w:sz="8" w:space="0" w:color="BABABA"/>
              <w:bottom w:val="single" w:sz="8" w:space="0" w:color="BABABA"/>
              <w:right w:val="single" w:sz="8" w:space="0" w:color="BABABA"/>
            </w:tcBorders>
          </w:tcPr>
          <w:p w14:paraId="4BC90AFD" w14:textId="29405292"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7AB7661F" w14:textId="7ACD2D65" w:rsidR="00BA160A" w:rsidRPr="00722521" w:rsidRDefault="00F7429D" w:rsidP="00A903E6">
            <w:pPr>
              <w:pStyle w:val="TableParagraph"/>
              <w:mirrorIndents/>
              <w:rPr>
                <w:b/>
                <w:szCs w:val="17"/>
              </w:rPr>
            </w:pPr>
            <w:r w:rsidRPr="00722521">
              <w:rPr>
                <w:b/>
                <w:szCs w:val="17"/>
              </w:rPr>
              <w:t>x</w:t>
            </w:r>
          </w:p>
        </w:tc>
        <w:tc>
          <w:tcPr>
            <w:tcW w:w="477" w:type="pct"/>
            <w:tcBorders>
              <w:top w:val="single" w:sz="8" w:space="0" w:color="BABABA"/>
              <w:left w:val="single" w:sz="8" w:space="0" w:color="BABABA"/>
              <w:bottom w:val="single" w:sz="8" w:space="0" w:color="BABABA"/>
              <w:right w:val="single" w:sz="8" w:space="0" w:color="BABABA"/>
            </w:tcBorders>
          </w:tcPr>
          <w:p w14:paraId="68D5A7C6"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67924226"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7100A93B"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41693F2F" w14:textId="77777777" w:rsidR="00BA160A" w:rsidRPr="00722521" w:rsidRDefault="00BA160A" w:rsidP="00A903E6">
            <w:pPr>
              <w:pStyle w:val="TableParagraph"/>
              <w:mirrorIndents/>
              <w:rPr>
                <w:b/>
                <w:szCs w:val="17"/>
              </w:rPr>
            </w:pPr>
          </w:p>
        </w:tc>
      </w:tr>
      <w:tr w:rsidR="00BA160A" w:rsidRPr="00722521" w14:paraId="1396136F"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75337001" w14:textId="77777777" w:rsidR="00BA160A" w:rsidRPr="00722521" w:rsidRDefault="00BA160A" w:rsidP="00A903E6">
            <w:pPr>
              <w:pStyle w:val="TableParagraph"/>
              <w:mirrorIndents/>
              <w:rPr>
                <w:szCs w:val="17"/>
              </w:rPr>
            </w:pPr>
            <w:r w:rsidRPr="00722521">
              <w:rPr>
                <w:szCs w:val="17"/>
              </w:rPr>
              <w:t>Mediating between competent authorities</w:t>
            </w:r>
          </w:p>
        </w:tc>
        <w:tc>
          <w:tcPr>
            <w:tcW w:w="663" w:type="pct"/>
            <w:tcBorders>
              <w:top w:val="single" w:sz="8" w:space="0" w:color="BABABA"/>
              <w:left w:val="single" w:sz="8" w:space="0" w:color="BABABA"/>
              <w:bottom w:val="single" w:sz="8" w:space="0" w:color="BABABA"/>
              <w:right w:val="single" w:sz="8" w:space="0" w:color="BABABA"/>
            </w:tcBorders>
          </w:tcPr>
          <w:p w14:paraId="515CD391"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712D4F98"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725365F7"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047B965E"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14443B57"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18A52C02" w14:textId="2A2B689E" w:rsidR="00BA160A" w:rsidRPr="00722521" w:rsidRDefault="00F7429D" w:rsidP="00A903E6">
            <w:pPr>
              <w:pStyle w:val="TableParagraph"/>
              <w:mirrorIndents/>
              <w:rPr>
                <w:b/>
                <w:szCs w:val="17"/>
              </w:rPr>
            </w:pPr>
            <w:r w:rsidRPr="00722521">
              <w:rPr>
                <w:b/>
                <w:szCs w:val="17"/>
              </w:rPr>
              <w:t>x</w:t>
            </w:r>
          </w:p>
        </w:tc>
      </w:tr>
      <w:tr w:rsidR="00BA160A" w:rsidRPr="00722521" w14:paraId="7D69333F"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7F744078" w14:textId="77777777" w:rsidR="00BA160A" w:rsidRPr="00722521" w:rsidRDefault="00BA160A" w:rsidP="00A903E6">
            <w:pPr>
              <w:pStyle w:val="TableParagraph"/>
              <w:mirrorIndents/>
              <w:rPr>
                <w:szCs w:val="17"/>
              </w:rPr>
            </w:pPr>
            <w:r w:rsidRPr="00722521">
              <w:rPr>
                <w:szCs w:val="17"/>
              </w:rPr>
              <w:t>Monitoring the work of supervisory and resolution colleges</w:t>
            </w:r>
          </w:p>
        </w:tc>
        <w:tc>
          <w:tcPr>
            <w:tcW w:w="663" w:type="pct"/>
            <w:tcBorders>
              <w:top w:val="single" w:sz="8" w:space="0" w:color="BABABA"/>
              <w:left w:val="single" w:sz="8" w:space="0" w:color="BABABA"/>
              <w:bottom w:val="single" w:sz="8" w:space="0" w:color="BABABA"/>
              <w:right w:val="single" w:sz="8" w:space="0" w:color="BABABA"/>
            </w:tcBorders>
          </w:tcPr>
          <w:p w14:paraId="29DA2FCF"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3268E78D"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7D87CD68"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5DE01008" w14:textId="60A604B1" w:rsidR="00BA160A" w:rsidRPr="00722521" w:rsidRDefault="00BC65A1" w:rsidP="00A903E6">
            <w:pPr>
              <w:pStyle w:val="TableParagraph"/>
              <w:mirrorIndents/>
              <w:rPr>
                <w:b/>
                <w:szCs w:val="17"/>
              </w:rPr>
            </w:pPr>
            <w:r w:rsidRPr="00722521">
              <w:rPr>
                <w:b/>
                <w:szCs w:val="17"/>
              </w:rPr>
              <w:t>x</w:t>
            </w:r>
          </w:p>
        </w:tc>
        <w:tc>
          <w:tcPr>
            <w:tcW w:w="704" w:type="pct"/>
            <w:tcBorders>
              <w:top w:val="single" w:sz="8" w:space="0" w:color="BABABA"/>
              <w:left w:val="single" w:sz="8" w:space="0" w:color="BABABA"/>
              <w:bottom w:val="single" w:sz="8" w:space="0" w:color="BABABA"/>
              <w:right w:val="single" w:sz="8" w:space="0" w:color="BABABA"/>
            </w:tcBorders>
          </w:tcPr>
          <w:p w14:paraId="77D3E97B"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17B10713" w14:textId="77777777" w:rsidR="00BA160A" w:rsidRPr="00722521" w:rsidRDefault="00BA160A" w:rsidP="00A903E6">
            <w:pPr>
              <w:pStyle w:val="TableParagraph"/>
              <w:mirrorIndents/>
              <w:rPr>
                <w:b/>
                <w:szCs w:val="17"/>
              </w:rPr>
            </w:pPr>
          </w:p>
        </w:tc>
      </w:tr>
      <w:tr w:rsidR="00BA160A" w:rsidRPr="00722521" w14:paraId="3491265D"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47E005CD" w14:textId="77777777" w:rsidR="00BA160A" w:rsidRPr="00722521" w:rsidRDefault="00BA160A" w:rsidP="00A903E6">
            <w:pPr>
              <w:pStyle w:val="TableParagraph"/>
              <w:mirrorIndents/>
              <w:rPr>
                <w:szCs w:val="17"/>
              </w:rPr>
            </w:pPr>
            <w:r w:rsidRPr="00722521">
              <w:rPr>
                <w:szCs w:val="17"/>
              </w:rPr>
              <w:t>Publishing on their website information relating to their field of activities</w:t>
            </w:r>
          </w:p>
        </w:tc>
        <w:tc>
          <w:tcPr>
            <w:tcW w:w="663" w:type="pct"/>
            <w:tcBorders>
              <w:top w:val="single" w:sz="8" w:space="0" w:color="BABABA"/>
              <w:left w:val="single" w:sz="8" w:space="0" w:color="BABABA"/>
              <w:bottom w:val="single" w:sz="8" w:space="0" w:color="BABABA"/>
              <w:right w:val="single" w:sz="8" w:space="0" w:color="BABABA"/>
            </w:tcBorders>
          </w:tcPr>
          <w:p w14:paraId="784B6482"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7F5BC3A9"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7E6E3515" w14:textId="100CCBCD" w:rsidR="00BA160A" w:rsidRPr="00722521" w:rsidRDefault="00BC65A1" w:rsidP="00A903E6">
            <w:pPr>
              <w:pStyle w:val="TableParagraph"/>
              <w:mirrorIndents/>
              <w:rPr>
                <w:b/>
                <w:szCs w:val="17"/>
              </w:rPr>
            </w:pPr>
            <w:r w:rsidRPr="00722521">
              <w:rPr>
                <w:b/>
                <w:szCs w:val="17"/>
              </w:rPr>
              <w:t>x</w:t>
            </w:r>
          </w:p>
        </w:tc>
        <w:tc>
          <w:tcPr>
            <w:tcW w:w="681" w:type="pct"/>
            <w:tcBorders>
              <w:top w:val="single" w:sz="8" w:space="0" w:color="BABABA"/>
              <w:left w:val="single" w:sz="8" w:space="0" w:color="BABABA"/>
              <w:bottom w:val="single" w:sz="8" w:space="0" w:color="BABABA"/>
              <w:right w:val="single" w:sz="8" w:space="0" w:color="BABABA"/>
            </w:tcBorders>
          </w:tcPr>
          <w:p w14:paraId="64F76F39"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0372BCA5"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63BBBEBC" w14:textId="77777777" w:rsidR="00BA160A" w:rsidRPr="00722521" w:rsidRDefault="00BA160A" w:rsidP="00A903E6">
            <w:pPr>
              <w:pStyle w:val="TableParagraph"/>
              <w:mirrorIndents/>
              <w:rPr>
                <w:b/>
                <w:szCs w:val="17"/>
              </w:rPr>
            </w:pPr>
          </w:p>
        </w:tc>
      </w:tr>
      <w:tr w:rsidR="00BA160A" w:rsidRPr="00722521" w14:paraId="23AE1BAE"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3F797F1F" w14:textId="77777777" w:rsidR="00BA160A" w:rsidRPr="00722521" w:rsidRDefault="00BA160A" w:rsidP="00A903E6">
            <w:pPr>
              <w:pStyle w:val="TableParagraph"/>
              <w:mirrorIndents/>
              <w:rPr>
                <w:szCs w:val="17"/>
              </w:rPr>
            </w:pPr>
            <w:r w:rsidRPr="00722521">
              <w:rPr>
                <w:szCs w:val="17"/>
              </w:rPr>
              <w:t>Monitoring market developments</w:t>
            </w:r>
          </w:p>
        </w:tc>
        <w:tc>
          <w:tcPr>
            <w:tcW w:w="663" w:type="pct"/>
            <w:tcBorders>
              <w:top w:val="single" w:sz="8" w:space="0" w:color="BABABA"/>
              <w:left w:val="single" w:sz="8" w:space="0" w:color="BABABA"/>
              <w:bottom w:val="single" w:sz="8" w:space="0" w:color="BABABA"/>
              <w:right w:val="single" w:sz="8" w:space="0" w:color="BABABA"/>
            </w:tcBorders>
          </w:tcPr>
          <w:p w14:paraId="330EB116"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55AC7740"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5467BF6B"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2B275EAA" w14:textId="444FF4D2" w:rsidR="00BA160A" w:rsidRPr="00722521" w:rsidRDefault="00BC65A1" w:rsidP="00A903E6">
            <w:pPr>
              <w:pStyle w:val="TableParagraph"/>
              <w:mirrorIndents/>
              <w:rPr>
                <w:b/>
                <w:szCs w:val="17"/>
              </w:rPr>
            </w:pPr>
            <w:r w:rsidRPr="00722521">
              <w:rPr>
                <w:b/>
                <w:szCs w:val="17"/>
              </w:rPr>
              <w:t>x</w:t>
            </w:r>
          </w:p>
        </w:tc>
        <w:tc>
          <w:tcPr>
            <w:tcW w:w="704" w:type="pct"/>
            <w:tcBorders>
              <w:top w:val="single" w:sz="8" w:space="0" w:color="BABABA"/>
              <w:left w:val="single" w:sz="8" w:space="0" w:color="BABABA"/>
              <w:bottom w:val="single" w:sz="8" w:space="0" w:color="BABABA"/>
              <w:right w:val="single" w:sz="8" w:space="0" w:color="BABABA"/>
            </w:tcBorders>
          </w:tcPr>
          <w:p w14:paraId="20675DBA"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3883645D" w14:textId="77777777" w:rsidR="00BA160A" w:rsidRPr="00722521" w:rsidRDefault="00BA160A" w:rsidP="00A903E6">
            <w:pPr>
              <w:pStyle w:val="TableParagraph"/>
              <w:mirrorIndents/>
              <w:rPr>
                <w:b/>
                <w:szCs w:val="17"/>
              </w:rPr>
            </w:pPr>
          </w:p>
        </w:tc>
      </w:tr>
      <w:tr w:rsidR="00BA160A" w:rsidRPr="00722521" w14:paraId="07FCBE0C"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69689828" w14:textId="77777777" w:rsidR="00BA160A" w:rsidRPr="00722521" w:rsidRDefault="00BA160A" w:rsidP="00A903E6">
            <w:pPr>
              <w:pStyle w:val="TableParagraph"/>
              <w:mirrorIndents/>
              <w:rPr>
                <w:szCs w:val="17"/>
              </w:rPr>
            </w:pPr>
            <w:r w:rsidRPr="00722521">
              <w:rPr>
                <w:szCs w:val="17"/>
              </w:rPr>
              <w:t>Initiating and coordinating Union-wide stress tests of financial institutions</w:t>
            </w:r>
          </w:p>
        </w:tc>
        <w:tc>
          <w:tcPr>
            <w:tcW w:w="663" w:type="pct"/>
            <w:tcBorders>
              <w:top w:val="single" w:sz="8" w:space="0" w:color="BABABA"/>
              <w:left w:val="single" w:sz="8" w:space="0" w:color="BABABA"/>
              <w:bottom w:val="single" w:sz="8" w:space="0" w:color="BABABA"/>
              <w:right w:val="single" w:sz="8" w:space="0" w:color="BABABA"/>
            </w:tcBorders>
          </w:tcPr>
          <w:p w14:paraId="6CA22E57"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24D8AA75"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270FFEE1" w14:textId="1647A76B" w:rsidR="00BA160A" w:rsidRPr="00722521" w:rsidRDefault="00BC65A1" w:rsidP="00A903E6">
            <w:pPr>
              <w:pStyle w:val="TableParagraph"/>
              <w:mirrorIndents/>
              <w:rPr>
                <w:b/>
                <w:szCs w:val="17"/>
              </w:rPr>
            </w:pPr>
            <w:r w:rsidRPr="00722521">
              <w:rPr>
                <w:b/>
                <w:szCs w:val="17"/>
              </w:rPr>
              <w:t>x</w:t>
            </w:r>
          </w:p>
        </w:tc>
        <w:tc>
          <w:tcPr>
            <w:tcW w:w="681" w:type="pct"/>
            <w:tcBorders>
              <w:top w:val="single" w:sz="8" w:space="0" w:color="BABABA"/>
              <w:left w:val="single" w:sz="8" w:space="0" w:color="BABABA"/>
              <w:bottom w:val="single" w:sz="8" w:space="0" w:color="BABABA"/>
              <w:right w:val="single" w:sz="8" w:space="0" w:color="BABABA"/>
            </w:tcBorders>
          </w:tcPr>
          <w:p w14:paraId="2BB1D64E"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60773CA2"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595E0BEF" w14:textId="77777777" w:rsidR="00BA160A" w:rsidRPr="00722521" w:rsidRDefault="00BA160A" w:rsidP="00A903E6">
            <w:pPr>
              <w:pStyle w:val="TableParagraph"/>
              <w:mirrorIndents/>
              <w:rPr>
                <w:b/>
                <w:szCs w:val="17"/>
              </w:rPr>
            </w:pPr>
          </w:p>
        </w:tc>
      </w:tr>
      <w:tr w:rsidR="00BA160A" w:rsidRPr="00722521" w14:paraId="17E7115A"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06138D42" w14:textId="77777777" w:rsidR="00BA160A" w:rsidRPr="00722521" w:rsidRDefault="00BA160A" w:rsidP="00A903E6">
            <w:pPr>
              <w:pStyle w:val="TableParagraph"/>
              <w:mirrorIndents/>
              <w:rPr>
                <w:szCs w:val="17"/>
              </w:rPr>
            </w:pPr>
            <w:r w:rsidRPr="00722521">
              <w:rPr>
                <w:szCs w:val="17"/>
              </w:rPr>
              <w:t>Developing guidelines and recommendations</w:t>
            </w:r>
          </w:p>
        </w:tc>
        <w:tc>
          <w:tcPr>
            <w:tcW w:w="663" w:type="pct"/>
            <w:tcBorders>
              <w:top w:val="single" w:sz="8" w:space="0" w:color="BABABA"/>
              <w:left w:val="single" w:sz="8" w:space="0" w:color="BABABA"/>
              <w:bottom w:val="single" w:sz="8" w:space="0" w:color="BABABA"/>
              <w:right w:val="single" w:sz="8" w:space="0" w:color="BABABA"/>
            </w:tcBorders>
          </w:tcPr>
          <w:p w14:paraId="371EC79D"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32DC9313" w14:textId="54AD3AB6" w:rsidR="00BA160A" w:rsidRPr="00722521" w:rsidRDefault="00993A7C" w:rsidP="00A903E6">
            <w:pPr>
              <w:pStyle w:val="TableParagraph"/>
              <w:mirrorIndents/>
              <w:rPr>
                <w:b/>
                <w:szCs w:val="17"/>
              </w:rPr>
            </w:pPr>
            <w:r w:rsidRPr="00722521">
              <w:rPr>
                <w:b/>
                <w:szCs w:val="17"/>
              </w:rPr>
              <w:t>x</w:t>
            </w:r>
          </w:p>
        </w:tc>
        <w:tc>
          <w:tcPr>
            <w:tcW w:w="477" w:type="pct"/>
            <w:tcBorders>
              <w:top w:val="single" w:sz="8" w:space="0" w:color="BABABA"/>
              <w:left w:val="single" w:sz="8" w:space="0" w:color="BABABA"/>
              <w:bottom w:val="single" w:sz="8" w:space="0" w:color="BABABA"/>
              <w:right w:val="single" w:sz="8" w:space="0" w:color="BABABA"/>
            </w:tcBorders>
          </w:tcPr>
          <w:p w14:paraId="53030CDA"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3710F5F1" w14:textId="54CCF99A"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20B7E3DD"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49AD496F" w14:textId="77777777" w:rsidR="00BA160A" w:rsidRPr="00722521" w:rsidRDefault="00BA160A" w:rsidP="00A903E6">
            <w:pPr>
              <w:pStyle w:val="TableParagraph"/>
              <w:mirrorIndents/>
              <w:rPr>
                <w:b/>
                <w:szCs w:val="17"/>
              </w:rPr>
            </w:pPr>
          </w:p>
        </w:tc>
      </w:tr>
      <w:tr w:rsidR="00BA160A" w:rsidRPr="00722521" w14:paraId="6E96245F"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16915E00" w14:textId="77777777" w:rsidR="00BA160A" w:rsidRPr="00722521" w:rsidRDefault="00BA160A" w:rsidP="00A903E6">
            <w:pPr>
              <w:pStyle w:val="TableParagraph"/>
              <w:mirrorIndents/>
              <w:rPr>
                <w:szCs w:val="17"/>
              </w:rPr>
            </w:pPr>
            <w:r w:rsidRPr="00722521">
              <w:rPr>
                <w:szCs w:val="17"/>
              </w:rPr>
              <w:t>Developing Q&amp;As</w:t>
            </w:r>
          </w:p>
        </w:tc>
        <w:tc>
          <w:tcPr>
            <w:tcW w:w="663" w:type="pct"/>
            <w:tcBorders>
              <w:top w:val="single" w:sz="8" w:space="0" w:color="BABABA"/>
              <w:left w:val="single" w:sz="8" w:space="0" w:color="BABABA"/>
              <w:bottom w:val="single" w:sz="8" w:space="0" w:color="BABABA"/>
              <w:right w:val="single" w:sz="8" w:space="0" w:color="BABABA"/>
            </w:tcBorders>
          </w:tcPr>
          <w:p w14:paraId="61CFD13B"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7C9ABD37"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5759DFB0"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2DE754C1" w14:textId="43903537" w:rsidR="00BA160A" w:rsidRPr="00722521" w:rsidRDefault="00BC65A1" w:rsidP="00A903E6">
            <w:pPr>
              <w:pStyle w:val="TableParagraph"/>
              <w:mirrorIndents/>
              <w:rPr>
                <w:b/>
                <w:szCs w:val="17"/>
              </w:rPr>
            </w:pPr>
            <w:r w:rsidRPr="00722521">
              <w:rPr>
                <w:b/>
                <w:szCs w:val="17"/>
              </w:rPr>
              <w:t>x</w:t>
            </w:r>
          </w:p>
        </w:tc>
        <w:tc>
          <w:tcPr>
            <w:tcW w:w="704" w:type="pct"/>
            <w:tcBorders>
              <w:top w:val="single" w:sz="8" w:space="0" w:color="BABABA"/>
              <w:left w:val="single" w:sz="8" w:space="0" w:color="BABABA"/>
              <w:bottom w:val="single" w:sz="8" w:space="0" w:color="BABABA"/>
              <w:right w:val="single" w:sz="8" w:space="0" w:color="BABABA"/>
            </w:tcBorders>
          </w:tcPr>
          <w:p w14:paraId="1EAB4695"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2BBF8D22" w14:textId="77777777" w:rsidR="00BA160A" w:rsidRPr="00722521" w:rsidRDefault="00BA160A" w:rsidP="00A903E6">
            <w:pPr>
              <w:pStyle w:val="TableParagraph"/>
              <w:mirrorIndents/>
              <w:rPr>
                <w:b/>
                <w:szCs w:val="17"/>
              </w:rPr>
            </w:pPr>
          </w:p>
        </w:tc>
      </w:tr>
      <w:tr w:rsidR="00BA160A" w:rsidRPr="00722521" w14:paraId="5D0BFD32"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10FE343F" w14:textId="77777777" w:rsidR="00BA160A" w:rsidRPr="00722521" w:rsidRDefault="00BA160A" w:rsidP="00A903E6">
            <w:pPr>
              <w:pStyle w:val="TableParagraph"/>
              <w:mirrorIndents/>
              <w:rPr>
                <w:szCs w:val="17"/>
              </w:rPr>
            </w:pPr>
            <w:r w:rsidRPr="00722521">
              <w:rPr>
                <w:w w:val="105"/>
                <w:szCs w:val="17"/>
              </w:rPr>
              <w:lastRenderedPageBreak/>
              <w:t>Contributing to the establishment of a common Union financial data strategy</w:t>
            </w:r>
          </w:p>
        </w:tc>
        <w:tc>
          <w:tcPr>
            <w:tcW w:w="663" w:type="pct"/>
            <w:tcBorders>
              <w:top w:val="single" w:sz="8" w:space="0" w:color="BABABA"/>
              <w:left w:val="single" w:sz="8" w:space="0" w:color="BABABA"/>
              <w:bottom w:val="single" w:sz="8" w:space="0" w:color="BABABA"/>
              <w:right w:val="single" w:sz="8" w:space="0" w:color="BABABA"/>
            </w:tcBorders>
          </w:tcPr>
          <w:p w14:paraId="0326FF60"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0A1FB8FB" w14:textId="4BE5266C" w:rsidR="00BA160A" w:rsidRPr="00722521" w:rsidRDefault="00BC65A1" w:rsidP="00A903E6">
            <w:pPr>
              <w:pStyle w:val="TableParagraph"/>
              <w:mirrorIndents/>
              <w:rPr>
                <w:b/>
                <w:szCs w:val="17"/>
              </w:rPr>
            </w:pPr>
            <w:r w:rsidRPr="00722521">
              <w:rPr>
                <w:b/>
                <w:szCs w:val="17"/>
              </w:rPr>
              <w:t>x</w:t>
            </w:r>
          </w:p>
        </w:tc>
        <w:tc>
          <w:tcPr>
            <w:tcW w:w="477" w:type="pct"/>
            <w:tcBorders>
              <w:top w:val="single" w:sz="8" w:space="0" w:color="BABABA"/>
              <w:left w:val="single" w:sz="8" w:space="0" w:color="BABABA"/>
              <w:bottom w:val="single" w:sz="8" w:space="0" w:color="BABABA"/>
              <w:right w:val="single" w:sz="8" w:space="0" w:color="BABABA"/>
            </w:tcBorders>
          </w:tcPr>
          <w:p w14:paraId="7E082403"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195A8C15"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41BCB5B4"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7F939D71" w14:textId="77777777" w:rsidR="00BA160A" w:rsidRPr="00722521" w:rsidRDefault="00BA160A" w:rsidP="00A903E6">
            <w:pPr>
              <w:pStyle w:val="TableParagraph"/>
              <w:mirrorIndents/>
              <w:rPr>
                <w:b/>
                <w:szCs w:val="17"/>
              </w:rPr>
            </w:pPr>
          </w:p>
        </w:tc>
      </w:tr>
      <w:tr w:rsidR="00BA160A" w:rsidRPr="00722521" w14:paraId="533D494A"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2FFD5ED3" w14:textId="77777777" w:rsidR="00BA160A" w:rsidRPr="00722521" w:rsidRDefault="00BA160A" w:rsidP="00A903E6">
            <w:pPr>
              <w:pStyle w:val="TableParagraph"/>
              <w:mirrorIndents/>
              <w:rPr>
                <w:szCs w:val="17"/>
              </w:rPr>
            </w:pPr>
            <w:r w:rsidRPr="00722521">
              <w:rPr>
                <w:szCs w:val="17"/>
              </w:rPr>
              <w:t>Providing supervisory statements</w:t>
            </w:r>
          </w:p>
        </w:tc>
        <w:tc>
          <w:tcPr>
            <w:tcW w:w="663" w:type="pct"/>
            <w:tcBorders>
              <w:top w:val="single" w:sz="8" w:space="0" w:color="BABABA"/>
              <w:left w:val="single" w:sz="8" w:space="0" w:color="BABABA"/>
              <w:bottom w:val="single" w:sz="8" w:space="0" w:color="BABABA"/>
              <w:right w:val="single" w:sz="8" w:space="0" w:color="BABABA"/>
            </w:tcBorders>
          </w:tcPr>
          <w:p w14:paraId="262BA191" w14:textId="49C3021A" w:rsidR="00BA160A" w:rsidRPr="00722521" w:rsidRDefault="00BC65A1" w:rsidP="00A903E6">
            <w:pPr>
              <w:pStyle w:val="TableParagraph"/>
              <w:mirrorIndents/>
              <w:rPr>
                <w:b/>
                <w:szCs w:val="17"/>
              </w:rPr>
            </w:pPr>
            <w:r w:rsidRPr="00722521">
              <w:rPr>
                <w:b/>
                <w:szCs w:val="17"/>
              </w:rPr>
              <w:t>x</w:t>
            </w:r>
          </w:p>
        </w:tc>
        <w:tc>
          <w:tcPr>
            <w:tcW w:w="709" w:type="pct"/>
            <w:tcBorders>
              <w:top w:val="single" w:sz="8" w:space="0" w:color="BABABA"/>
              <w:left w:val="single" w:sz="8" w:space="0" w:color="BABABA"/>
              <w:bottom w:val="single" w:sz="8" w:space="0" w:color="BABABA"/>
              <w:right w:val="single" w:sz="8" w:space="0" w:color="BABABA"/>
            </w:tcBorders>
          </w:tcPr>
          <w:p w14:paraId="72E1F424"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615FF952" w14:textId="77777777" w:rsidR="00BA160A" w:rsidRPr="00722521" w:rsidRDefault="00BA160A" w:rsidP="00A903E6">
            <w:pPr>
              <w:pStyle w:val="TableParagraph"/>
              <w:mirrorIndents/>
              <w:rPr>
                <w:b/>
                <w:szCs w:val="17"/>
              </w:rPr>
            </w:pPr>
          </w:p>
        </w:tc>
        <w:tc>
          <w:tcPr>
            <w:tcW w:w="681" w:type="pct"/>
            <w:tcBorders>
              <w:top w:val="single" w:sz="8" w:space="0" w:color="BABABA"/>
              <w:left w:val="single" w:sz="8" w:space="0" w:color="BABABA"/>
              <w:bottom w:val="single" w:sz="8" w:space="0" w:color="BABABA"/>
              <w:right w:val="single" w:sz="8" w:space="0" w:color="BABABA"/>
            </w:tcBorders>
          </w:tcPr>
          <w:p w14:paraId="39EC9C86"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453DA36F"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68B3C299" w14:textId="77777777" w:rsidR="00BA160A" w:rsidRPr="00722521" w:rsidRDefault="00BA160A" w:rsidP="00A903E6">
            <w:pPr>
              <w:pStyle w:val="TableParagraph"/>
              <w:mirrorIndents/>
              <w:rPr>
                <w:b/>
                <w:szCs w:val="17"/>
              </w:rPr>
            </w:pPr>
          </w:p>
        </w:tc>
      </w:tr>
      <w:tr w:rsidR="00BA160A" w:rsidRPr="00722521" w14:paraId="467D39D2" w14:textId="77777777" w:rsidTr="00AA4E82">
        <w:trPr>
          <w:trHeight w:val="1134"/>
        </w:trPr>
        <w:tc>
          <w:tcPr>
            <w:tcW w:w="1147" w:type="pct"/>
            <w:tcBorders>
              <w:top w:val="single" w:sz="8" w:space="0" w:color="BABABA"/>
              <w:left w:val="single" w:sz="8" w:space="0" w:color="BABABA"/>
              <w:bottom w:val="single" w:sz="8" w:space="0" w:color="BABABA"/>
              <w:right w:val="single" w:sz="8" w:space="0" w:color="BABABA"/>
            </w:tcBorders>
            <w:hideMark/>
          </w:tcPr>
          <w:p w14:paraId="71317053" w14:textId="77777777" w:rsidR="00BA160A" w:rsidRPr="00722521" w:rsidRDefault="00BA160A" w:rsidP="00A903E6">
            <w:pPr>
              <w:pStyle w:val="TableParagraph"/>
              <w:mirrorIndents/>
              <w:rPr>
                <w:szCs w:val="17"/>
              </w:rPr>
            </w:pPr>
            <w:r w:rsidRPr="00722521">
              <w:rPr>
                <w:w w:val="105"/>
                <w:szCs w:val="17"/>
              </w:rPr>
              <w:t>Other instruments and tools to promote supervisory convergence</w:t>
            </w:r>
          </w:p>
        </w:tc>
        <w:tc>
          <w:tcPr>
            <w:tcW w:w="663" w:type="pct"/>
            <w:tcBorders>
              <w:top w:val="single" w:sz="8" w:space="0" w:color="BABABA"/>
              <w:left w:val="single" w:sz="8" w:space="0" w:color="BABABA"/>
              <w:bottom w:val="single" w:sz="8" w:space="0" w:color="BABABA"/>
              <w:right w:val="single" w:sz="8" w:space="0" w:color="BABABA"/>
            </w:tcBorders>
          </w:tcPr>
          <w:p w14:paraId="10AF1532" w14:textId="77777777" w:rsidR="00BA160A" w:rsidRPr="00722521" w:rsidRDefault="00BA160A" w:rsidP="00A903E6">
            <w:pPr>
              <w:pStyle w:val="TableParagraph"/>
              <w:mirrorIndents/>
              <w:rPr>
                <w:b/>
                <w:szCs w:val="17"/>
              </w:rPr>
            </w:pPr>
          </w:p>
        </w:tc>
        <w:tc>
          <w:tcPr>
            <w:tcW w:w="709" w:type="pct"/>
            <w:tcBorders>
              <w:top w:val="single" w:sz="8" w:space="0" w:color="BABABA"/>
              <w:left w:val="single" w:sz="8" w:space="0" w:color="BABABA"/>
              <w:bottom w:val="single" w:sz="8" w:space="0" w:color="BABABA"/>
              <w:right w:val="single" w:sz="8" w:space="0" w:color="BABABA"/>
            </w:tcBorders>
          </w:tcPr>
          <w:p w14:paraId="27CCC827" w14:textId="77777777" w:rsidR="00BA160A" w:rsidRPr="00722521" w:rsidRDefault="00BA160A" w:rsidP="00A903E6">
            <w:pPr>
              <w:pStyle w:val="TableParagraph"/>
              <w:mirrorIndents/>
              <w:rPr>
                <w:b/>
                <w:szCs w:val="17"/>
              </w:rPr>
            </w:pPr>
          </w:p>
        </w:tc>
        <w:tc>
          <w:tcPr>
            <w:tcW w:w="477" w:type="pct"/>
            <w:tcBorders>
              <w:top w:val="single" w:sz="8" w:space="0" w:color="BABABA"/>
              <w:left w:val="single" w:sz="8" w:space="0" w:color="BABABA"/>
              <w:bottom w:val="single" w:sz="8" w:space="0" w:color="BABABA"/>
              <w:right w:val="single" w:sz="8" w:space="0" w:color="BABABA"/>
            </w:tcBorders>
          </w:tcPr>
          <w:p w14:paraId="7627415A" w14:textId="1FB628B5" w:rsidR="00BA160A" w:rsidRPr="00722521" w:rsidRDefault="00BC65A1" w:rsidP="00A903E6">
            <w:pPr>
              <w:pStyle w:val="TableParagraph"/>
              <w:mirrorIndents/>
              <w:rPr>
                <w:b/>
                <w:szCs w:val="17"/>
              </w:rPr>
            </w:pPr>
            <w:r w:rsidRPr="00722521">
              <w:rPr>
                <w:b/>
                <w:szCs w:val="17"/>
              </w:rPr>
              <w:t>x</w:t>
            </w:r>
          </w:p>
        </w:tc>
        <w:tc>
          <w:tcPr>
            <w:tcW w:w="681" w:type="pct"/>
            <w:tcBorders>
              <w:top w:val="single" w:sz="8" w:space="0" w:color="BABABA"/>
              <w:left w:val="single" w:sz="8" w:space="0" w:color="BABABA"/>
              <w:bottom w:val="single" w:sz="8" w:space="0" w:color="BABABA"/>
              <w:right w:val="single" w:sz="8" w:space="0" w:color="BABABA"/>
            </w:tcBorders>
          </w:tcPr>
          <w:p w14:paraId="5B031AF2" w14:textId="77777777" w:rsidR="00BA160A" w:rsidRPr="00722521" w:rsidRDefault="00BA160A" w:rsidP="00A903E6">
            <w:pPr>
              <w:pStyle w:val="TableParagraph"/>
              <w:mirrorIndents/>
              <w:rPr>
                <w:b/>
                <w:szCs w:val="17"/>
              </w:rPr>
            </w:pPr>
          </w:p>
        </w:tc>
        <w:tc>
          <w:tcPr>
            <w:tcW w:w="704" w:type="pct"/>
            <w:tcBorders>
              <w:top w:val="single" w:sz="8" w:space="0" w:color="BABABA"/>
              <w:left w:val="single" w:sz="8" w:space="0" w:color="BABABA"/>
              <w:bottom w:val="single" w:sz="8" w:space="0" w:color="BABABA"/>
              <w:right w:val="single" w:sz="8" w:space="0" w:color="BABABA"/>
            </w:tcBorders>
          </w:tcPr>
          <w:p w14:paraId="212D9C7E" w14:textId="77777777" w:rsidR="00BA160A" w:rsidRPr="00722521" w:rsidRDefault="00BA160A" w:rsidP="00A903E6">
            <w:pPr>
              <w:pStyle w:val="TableParagraph"/>
              <w:mirrorIndents/>
              <w:rPr>
                <w:b/>
                <w:szCs w:val="17"/>
              </w:rPr>
            </w:pPr>
          </w:p>
        </w:tc>
        <w:tc>
          <w:tcPr>
            <w:tcW w:w="619" w:type="pct"/>
            <w:tcBorders>
              <w:top w:val="single" w:sz="8" w:space="0" w:color="BABABA"/>
              <w:left w:val="single" w:sz="8" w:space="0" w:color="BABABA"/>
              <w:bottom w:val="single" w:sz="8" w:space="0" w:color="BABABA"/>
              <w:right w:val="single" w:sz="8" w:space="0" w:color="BABABA"/>
            </w:tcBorders>
          </w:tcPr>
          <w:p w14:paraId="6DD95ACC" w14:textId="77777777" w:rsidR="00BA160A" w:rsidRPr="00722521" w:rsidRDefault="00BA160A" w:rsidP="00A903E6">
            <w:pPr>
              <w:pStyle w:val="TableParagraph"/>
              <w:mirrorIndents/>
              <w:rPr>
                <w:b/>
                <w:szCs w:val="17"/>
              </w:rPr>
            </w:pPr>
          </w:p>
        </w:tc>
      </w:tr>
    </w:tbl>
    <w:p w14:paraId="4D2014EA" w14:textId="77777777" w:rsidR="00BA160A" w:rsidRPr="00722521" w:rsidRDefault="00BA160A" w:rsidP="00A903E6">
      <w:pPr>
        <w:pStyle w:val="Textkrper"/>
        <w:mirrorIndents/>
        <w:rPr>
          <w:rFonts w:ascii="Verdana" w:hAnsi="Verdana"/>
          <w:sz w:val="17"/>
          <w:szCs w:val="17"/>
        </w:rPr>
      </w:pPr>
    </w:p>
    <w:p w14:paraId="62CF36DD" w14:textId="77777777" w:rsidR="00BA160A" w:rsidRPr="00722521" w:rsidRDefault="00BA160A" w:rsidP="00A903E6">
      <w:pPr>
        <w:pStyle w:val="Textkrper"/>
        <w:ind w:left="0"/>
        <w:mirrorIndents/>
        <w:rPr>
          <w:rFonts w:ascii="Verdana" w:hAnsi="Verdana"/>
          <w:sz w:val="17"/>
          <w:szCs w:val="17"/>
        </w:rPr>
      </w:pPr>
      <w:r w:rsidRPr="00722521">
        <w:rPr>
          <w:rFonts w:ascii="Verdana" w:hAnsi="Verdana"/>
          <w:sz w:val="17"/>
          <w:szCs w:val="17"/>
          <w:highlight w:val="lightGray"/>
        </w:rPr>
        <w:t>Please specify to what other instruments and tools to promote supervisory convergence you refer:</w:t>
      </w:r>
    </w:p>
    <w:p w14:paraId="286BCC8E" w14:textId="77777777" w:rsidR="00BA160A" w:rsidRPr="00722521" w:rsidRDefault="00BA160A" w:rsidP="00A903E6">
      <w:pPr>
        <w:mirrorIndents/>
        <w:rPr>
          <w:sz w:val="17"/>
          <w:szCs w:val="17"/>
        </w:rPr>
      </w:pPr>
    </w:p>
    <w:p w14:paraId="4A933389" w14:textId="11BC8938" w:rsidR="00BA160A" w:rsidRPr="00722521" w:rsidRDefault="00F7429D" w:rsidP="00A903E6">
      <w:pPr>
        <w:mirrorIndents/>
        <w:rPr>
          <w:sz w:val="17"/>
          <w:szCs w:val="17"/>
        </w:rPr>
      </w:pPr>
      <w:r w:rsidRPr="00722521">
        <w:rPr>
          <w:sz w:val="17"/>
          <w:szCs w:val="17"/>
        </w:rPr>
        <w:t>Other tools include “statements” and</w:t>
      </w:r>
      <w:r w:rsidR="00C80631" w:rsidRPr="00722521">
        <w:rPr>
          <w:sz w:val="17"/>
          <w:szCs w:val="17"/>
        </w:rPr>
        <w:t xml:space="preserve"> “recommendations”</w:t>
      </w:r>
      <w:r w:rsidRPr="00722521">
        <w:rPr>
          <w:sz w:val="17"/>
          <w:szCs w:val="17"/>
        </w:rPr>
        <w:t xml:space="preserve"> developed by EIOPA with respect to Article </w:t>
      </w:r>
      <w:r w:rsidR="00C80631" w:rsidRPr="00722521">
        <w:rPr>
          <w:sz w:val="17"/>
          <w:szCs w:val="17"/>
        </w:rPr>
        <w:t>29(2) of EIOPA regulation.</w:t>
      </w:r>
    </w:p>
    <w:p w14:paraId="0C2CE158" w14:textId="77777777" w:rsidR="00BA160A" w:rsidRPr="00722521" w:rsidRDefault="00BA160A" w:rsidP="00A903E6">
      <w:pPr>
        <w:mirrorIndents/>
        <w:rPr>
          <w:sz w:val="17"/>
          <w:szCs w:val="17"/>
        </w:rPr>
      </w:pPr>
    </w:p>
    <w:p w14:paraId="30CDA6E4" w14:textId="77777777" w:rsidR="00BA160A" w:rsidRPr="00722521" w:rsidRDefault="00BA160A" w:rsidP="00A903E6">
      <w:pPr>
        <w:pStyle w:val="Textkrper"/>
        <w:ind w:left="0"/>
        <w:mirrorIndents/>
        <w:rPr>
          <w:rFonts w:ascii="Verdana" w:hAnsi="Verdana"/>
          <w:sz w:val="17"/>
          <w:szCs w:val="17"/>
        </w:rPr>
      </w:pPr>
      <w:r w:rsidRPr="00722521">
        <w:rPr>
          <w:rFonts w:ascii="Verdana" w:hAnsi="Verdana"/>
          <w:sz w:val="17"/>
          <w:szCs w:val="17"/>
          <w:highlight w:val="lightGray"/>
        </w:rPr>
        <w:t>Please add any qualitative comments you may wish to explain your reasoning when answering question 1.1.2 on EIOPA:</w:t>
      </w:r>
    </w:p>
    <w:p w14:paraId="79FB3525" w14:textId="77777777" w:rsidR="00353F67" w:rsidRPr="00722521" w:rsidRDefault="00353F67" w:rsidP="00637792">
      <w:pPr>
        <w:mirrorIndents/>
        <w:rPr>
          <w:sz w:val="17"/>
          <w:szCs w:val="17"/>
        </w:rPr>
      </w:pPr>
    </w:p>
    <w:p w14:paraId="069375E8" w14:textId="45AF87D8" w:rsidR="00637792" w:rsidRPr="00722521" w:rsidRDefault="00637792" w:rsidP="00637792">
      <w:pPr>
        <w:mirrorIndents/>
        <w:rPr>
          <w:sz w:val="17"/>
          <w:szCs w:val="17"/>
        </w:rPr>
      </w:pPr>
      <w:r w:rsidRPr="00722521">
        <w:rPr>
          <w:sz w:val="17"/>
          <w:szCs w:val="17"/>
        </w:rPr>
        <w:t xml:space="preserve">Convergence and consistency are key factors for the success of the </w:t>
      </w:r>
      <w:r w:rsidR="00F7429D" w:rsidRPr="00722521">
        <w:rPr>
          <w:sz w:val="17"/>
          <w:szCs w:val="17"/>
        </w:rPr>
        <w:t>CMU</w:t>
      </w:r>
      <w:r w:rsidRPr="00722521">
        <w:rPr>
          <w:sz w:val="17"/>
          <w:szCs w:val="17"/>
        </w:rPr>
        <w:t>. Nonetheless, the provision of services across the EU is not only beneficial for insurance providers, but for customers. The availability of insurance products, increased competition and consumer choice are key advantages of an integrated EU insurance markets.</w:t>
      </w:r>
    </w:p>
    <w:p w14:paraId="621F0113" w14:textId="77777777" w:rsidR="00637792" w:rsidRPr="00722521" w:rsidRDefault="00637792" w:rsidP="00637792">
      <w:pPr>
        <w:mirrorIndents/>
        <w:rPr>
          <w:sz w:val="17"/>
          <w:szCs w:val="17"/>
        </w:rPr>
      </w:pPr>
    </w:p>
    <w:p w14:paraId="5A790DCB" w14:textId="07E7B98D" w:rsidR="00637792" w:rsidRPr="00722521" w:rsidRDefault="00637792" w:rsidP="00637792">
      <w:pPr>
        <w:mirrorIndents/>
        <w:rPr>
          <w:sz w:val="17"/>
          <w:szCs w:val="17"/>
        </w:rPr>
      </w:pPr>
      <w:r w:rsidRPr="00722521">
        <w:rPr>
          <w:sz w:val="17"/>
          <w:szCs w:val="17"/>
        </w:rPr>
        <w:t xml:space="preserve">In </w:t>
      </w:r>
      <w:r w:rsidR="00722521">
        <w:rPr>
          <w:sz w:val="17"/>
          <w:szCs w:val="17"/>
        </w:rPr>
        <w:t>VVO</w:t>
      </w:r>
      <w:r w:rsidRPr="00722521">
        <w:rPr>
          <w:sz w:val="17"/>
          <w:szCs w:val="17"/>
        </w:rPr>
        <w:t>’s opinion, EIOPA has two essential roles to play in these regards:</w:t>
      </w:r>
    </w:p>
    <w:p w14:paraId="7113010E" w14:textId="77777777" w:rsidR="00637792" w:rsidRPr="00722521" w:rsidRDefault="00637792" w:rsidP="00637792">
      <w:pPr>
        <w:numPr>
          <w:ilvl w:val="0"/>
          <w:numId w:val="27"/>
        </w:numPr>
        <w:mirrorIndents/>
        <w:rPr>
          <w:sz w:val="17"/>
          <w:szCs w:val="17"/>
        </w:rPr>
      </w:pPr>
      <w:r w:rsidRPr="00722521">
        <w:rPr>
          <w:sz w:val="17"/>
          <w:szCs w:val="17"/>
        </w:rPr>
        <w:t>Facilitating consistent supervision across the Union;</w:t>
      </w:r>
    </w:p>
    <w:p w14:paraId="011C6DE7" w14:textId="77777777" w:rsidR="00637792" w:rsidRPr="00722521" w:rsidRDefault="00637792" w:rsidP="00637792">
      <w:pPr>
        <w:numPr>
          <w:ilvl w:val="0"/>
          <w:numId w:val="27"/>
        </w:numPr>
        <w:mirrorIndents/>
        <w:rPr>
          <w:sz w:val="17"/>
          <w:szCs w:val="17"/>
        </w:rPr>
      </w:pPr>
      <w:r w:rsidRPr="00722521">
        <w:rPr>
          <w:sz w:val="17"/>
          <w:szCs w:val="17"/>
        </w:rPr>
        <w:t>Supporting the development of a convergent and sound regulatory regime.</w:t>
      </w:r>
    </w:p>
    <w:p w14:paraId="3AB0D51D" w14:textId="4D49345C" w:rsidR="00637792" w:rsidRPr="00722521" w:rsidRDefault="00722521" w:rsidP="00637792">
      <w:pPr>
        <w:mirrorIndents/>
        <w:rPr>
          <w:sz w:val="17"/>
          <w:szCs w:val="17"/>
        </w:rPr>
      </w:pPr>
      <w:r>
        <w:rPr>
          <w:sz w:val="17"/>
          <w:szCs w:val="17"/>
        </w:rPr>
        <w:t>VVO</w:t>
      </w:r>
      <w:r w:rsidR="00993A7C" w:rsidRPr="00722521">
        <w:rPr>
          <w:sz w:val="17"/>
          <w:szCs w:val="17"/>
        </w:rPr>
        <w:t xml:space="preserve"> would like to insist on the fact that the number and </w:t>
      </w:r>
      <w:r w:rsidR="00365940" w:rsidRPr="00722521">
        <w:rPr>
          <w:sz w:val="17"/>
          <w:szCs w:val="17"/>
        </w:rPr>
        <w:t>variety of</w:t>
      </w:r>
      <w:r w:rsidR="00993A7C" w:rsidRPr="00722521">
        <w:rPr>
          <w:sz w:val="17"/>
          <w:szCs w:val="17"/>
        </w:rPr>
        <w:t xml:space="preserve"> tools used by EIOPA (</w:t>
      </w:r>
      <w:r w:rsidR="00365940" w:rsidRPr="00722521">
        <w:rPr>
          <w:sz w:val="17"/>
          <w:szCs w:val="17"/>
        </w:rPr>
        <w:t xml:space="preserve">as highlighted in the table </w:t>
      </w:r>
      <w:r w:rsidR="00993A7C" w:rsidRPr="00722521">
        <w:rPr>
          <w:sz w:val="17"/>
          <w:szCs w:val="17"/>
        </w:rPr>
        <w:t>above</w:t>
      </w:r>
      <w:r w:rsidR="00365940" w:rsidRPr="00722521">
        <w:rPr>
          <w:sz w:val="17"/>
          <w:szCs w:val="17"/>
        </w:rPr>
        <w:t>)</w:t>
      </w:r>
      <w:r w:rsidR="00993A7C" w:rsidRPr="00722521">
        <w:rPr>
          <w:sz w:val="17"/>
          <w:szCs w:val="17"/>
        </w:rPr>
        <w:t xml:space="preserve"> is confusing for insurance undertakings and further complicate the legal framework applicable to insurance activities. </w:t>
      </w:r>
      <w:r w:rsidR="00365940" w:rsidRPr="00722521">
        <w:rPr>
          <w:sz w:val="17"/>
          <w:szCs w:val="17"/>
        </w:rPr>
        <w:t>A streamlining o</w:t>
      </w:r>
      <w:r w:rsidR="00993A7C" w:rsidRPr="00722521">
        <w:rPr>
          <w:sz w:val="17"/>
          <w:szCs w:val="17"/>
        </w:rPr>
        <w:t>f all the tools, especially opinion, guidelines, recommendations, at EIOPA’s disposal</w:t>
      </w:r>
      <w:r w:rsidR="00365940" w:rsidRPr="00722521">
        <w:rPr>
          <w:sz w:val="17"/>
          <w:szCs w:val="17"/>
        </w:rPr>
        <w:t xml:space="preserve"> is needed</w:t>
      </w:r>
      <w:r w:rsidR="00993A7C" w:rsidRPr="00722521">
        <w:rPr>
          <w:sz w:val="17"/>
          <w:szCs w:val="17"/>
        </w:rPr>
        <w:t xml:space="preserve"> to increase </w:t>
      </w:r>
      <w:r w:rsidR="00365940" w:rsidRPr="00722521">
        <w:rPr>
          <w:sz w:val="17"/>
          <w:szCs w:val="17"/>
        </w:rPr>
        <w:t xml:space="preserve">the </w:t>
      </w:r>
      <w:r w:rsidR="00993A7C" w:rsidRPr="00722521">
        <w:rPr>
          <w:sz w:val="17"/>
          <w:szCs w:val="17"/>
        </w:rPr>
        <w:t xml:space="preserve">efficiency </w:t>
      </w:r>
      <w:r w:rsidR="00365940" w:rsidRPr="00722521">
        <w:rPr>
          <w:sz w:val="17"/>
          <w:szCs w:val="17"/>
        </w:rPr>
        <w:t xml:space="preserve">and transparency </w:t>
      </w:r>
      <w:r w:rsidR="00993A7C" w:rsidRPr="00722521">
        <w:rPr>
          <w:sz w:val="17"/>
          <w:szCs w:val="17"/>
        </w:rPr>
        <w:t>of EIOPA’s action.</w:t>
      </w:r>
      <w:r w:rsidR="002435AE" w:rsidRPr="00722521">
        <w:rPr>
          <w:sz w:val="17"/>
          <w:szCs w:val="17"/>
        </w:rPr>
        <w:t xml:space="preserve"> </w:t>
      </w:r>
      <w:r w:rsidR="00D62810" w:rsidRPr="00722521">
        <w:rPr>
          <w:sz w:val="17"/>
          <w:szCs w:val="17"/>
        </w:rPr>
        <w:t>Moreover, guidelines are at</w:t>
      </w:r>
      <w:r w:rsidR="002435AE" w:rsidRPr="00722521">
        <w:rPr>
          <w:sz w:val="17"/>
          <w:szCs w:val="17"/>
        </w:rPr>
        <w:t xml:space="preserve"> level </w:t>
      </w:r>
      <w:r w:rsidR="00D62810" w:rsidRPr="00722521">
        <w:rPr>
          <w:sz w:val="17"/>
          <w:szCs w:val="17"/>
        </w:rPr>
        <w:t>3</w:t>
      </w:r>
      <w:r w:rsidR="002435AE" w:rsidRPr="00722521">
        <w:rPr>
          <w:sz w:val="17"/>
          <w:szCs w:val="17"/>
        </w:rPr>
        <w:t xml:space="preserve"> regarding the hierarchy of EU legal norms. </w:t>
      </w:r>
      <w:r w:rsidR="00D62810" w:rsidRPr="00722521">
        <w:rPr>
          <w:sz w:val="17"/>
          <w:szCs w:val="17"/>
        </w:rPr>
        <w:t xml:space="preserve">Therefore, these </w:t>
      </w:r>
      <w:r w:rsidR="002435AE" w:rsidRPr="00722521">
        <w:rPr>
          <w:sz w:val="17"/>
          <w:szCs w:val="17"/>
        </w:rPr>
        <w:t xml:space="preserve">should not anticipate a delegated </w:t>
      </w:r>
      <w:r w:rsidR="00D62810" w:rsidRPr="00722521">
        <w:rPr>
          <w:sz w:val="17"/>
          <w:szCs w:val="17"/>
        </w:rPr>
        <w:t>a</w:t>
      </w:r>
      <w:r w:rsidR="002435AE" w:rsidRPr="00722521">
        <w:rPr>
          <w:sz w:val="17"/>
          <w:szCs w:val="17"/>
        </w:rPr>
        <w:t xml:space="preserve">ct or a legislative </w:t>
      </w:r>
      <w:r w:rsidR="00D62810" w:rsidRPr="00722521">
        <w:rPr>
          <w:sz w:val="17"/>
          <w:szCs w:val="17"/>
        </w:rPr>
        <w:t>a</w:t>
      </w:r>
      <w:r w:rsidR="002435AE" w:rsidRPr="00722521">
        <w:rPr>
          <w:sz w:val="17"/>
          <w:szCs w:val="17"/>
        </w:rPr>
        <w:t xml:space="preserve">ct which are under discussion at EU level or which </w:t>
      </w:r>
      <w:r w:rsidR="00D62810" w:rsidRPr="00722521">
        <w:rPr>
          <w:sz w:val="17"/>
          <w:szCs w:val="17"/>
        </w:rPr>
        <w:t>have</w:t>
      </w:r>
      <w:r w:rsidR="002435AE" w:rsidRPr="00722521">
        <w:rPr>
          <w:sz w:val="17"/>
          <w:szCs w:val="17"/>
        </w:rPr>
        <w:t xml:space="preserve"> not even been published by the EC. In this respect, EIOPA’s Guidelines on ICT or </w:t>
      </w:r>
      <w:r w:rsidR="00D62810" w:rsidRPr="00722521">
        <w:rPr>
          <w:sz w:val="17"/>
          <w:szCs w:val="17"/>
        </w:rPr>
        <w:t>c</w:t>
      </w:r>
      <w:r w:rsidR="002435AE" w:rsidRPr="00722521">
        <w:rPr>
          <w:sz w:val="17"/>
          <w:szCs w:val="17"/>
        </w:rPr>
        <w:t xml:space="preserve">loud have been adopted without any text at level </w:t>
      </w:r>
      <w:r w:rsidR="00D62810" w:rsidRPr="00722521">
        <w:rPr>
          <w:sz w:val="17"/>
          <w:szCs w:val="17"/>
        </w:rPr>
        <w:t>1</w:t>
      </w:r>
      <w:r w:rsidR="002435AE" w:rsidRPr="00722521">
        <w:rPr>
          <w:sz w:val="17"/>
          <w:szCs w:val="17"/>
        </w:rPr>
        <w:t xml:space="preserve"> or </w:t>
      </w:r>
      <w:r w:rsidR="00D62810" w:rsidRPr="00722521">
        <w:rPr>
          <w:sz w:val="17"/>
          <w:szCs w:val="17"/>
        </w:rPr>
        <w:t>2</w:t>
      </w:r>
      <w:r w:rsidR="002435AE" w:rsidRPr="00722521">
        <w:rPr>
          <w:sz w:val="17"/>
          <w:szCs w:val="17"/>
        </w:rPr>
        <w:t xml:space="preserve">. Furthermore, EIOPA’s Guidelines on ICT have been published </w:t>
      </w:r>
      <w:r w:rsidR="00D62810" w:rsidRPr="00722521">
        <w:rPr>
          <w:sz w:val="17"/>
          <w:szCs w:val="17"/>
        </w:rPr>
        <w:t>while</w:t>
      </w:r>
      <w:r w:rsidR="002435AE" w:rsidRPr="00722521">
        <w:rPr>
          <w:sz w:val="17"/>
          <w:szCs w:val="17"/>
        </w:rPr>
        <w:t xml:space="preserve"> DORA is </w:t>
      </w:r>
      <w:r w:rsidR="00D62810" w:rsidRPr="00722521">
        <w:rPr>
          <w:sz w:val="17"/>
          <w:szCs w:val="17"/>
        </w:rPr>
        <w:t xml:space="preserve">still </w:t>
      </w:r>
      <w:r w:rsidR="002435AE" w:rsidRPr="00722521">
        <w:rPr>
          <w:sz w:val="17"/>
          <w:szCs w:val="17"/>
        </w:rPr>
        <w:t xml:space="preserve">under discussion and provide </w:t>
      </w:r>
      <w:r w:rsidR="00D62810" w:rsidRPr="00722521">
        <w:rPr>
          <w:sz w:val="17"/>
          <w:szCs w:val="17"/>
        </w:rPr>
        <w:t xml:space="preserve">that </w:t>
      </w:r>
      <w:r w:rsidR="002435AE" w:rsidRPr="00722521">
        <w:rPr>
          <w:sz w:val="17"/>
          <w:szCs w:val="17"/>
        </w:rPr>
        <w:t xml:space="preserve">RTS </w:t>
      </w:r>
      <w:r w:rsidR="00D62810" w:rsidRPr="00722521">
        <w:rPr>
          <w:sz w:val="17"/>
          <w:szCs w:val="17"/>
        </w:rPr>
        <w:t>will be developed</w:t>
      </w:r>
      <w:r w:rsidR="002435AE" w:rsidRPr="00722521">
        <w:rPr>
          <w:sz w:val="17"/>
          <w:szCs w:val="17"/>
        </w:rPr>
        <w:t xml:space="preserve"> by EIOPA. It is essential that the hierarchy of measures is ensured and that the measures are build-upon each other and not developed in parallel</w:t>
      </w:r>
    </w:p>
    <w:p w14:paraId="462F637A" w14:textId="77777777" w:rsidR="00993A7C" w:rsidRPr="00722521" w:rsidRDefault="00993A7C" w:rsidP="00637792">
      <w:pPr>
        <w:mirrorIndents/>
        <w:rPr>
          <w:sz w:val="17"/>
          <w:szCs w:val="17"/>
        </w:rPr>
      </w:pPr>
    </w:p>
    <w:p w14:paraId="2CEC9B18" w14:textId="6F57F58D" w:rsidR="00637792" w:rsidRPr="00722521" w:rsidRDefault="00637792" w:rsidP="00637792">
      <w:pPr>
        <w:mirrorIndents/>
        <w:rPr>
          <w:sz w:val="17"/>
          <w:szCs w:val="17"/>
        </w:rPr>
      </w:pPr>
      <w:r w:rsidRPr="00722521">
        <w:rPr>
          <w:sz w:val="17"/>
          <w:szCs w:val="17"/>
        </w:rPr>
        <w:t xml:space="preserve">With regards to the consistent supervision across the Union, </w:t>
      </w:r>
      <w:r w:rsidR="00722521">
        <w:rPr>
          <w:sz w:val="17"/>
          <w:szCs w:val="17"/>
        </w:rPr>
        <w:t>VVO</w:t>
      </w:r>
      <w:r w:rsidRPr="00722521">
        <w:rPr>
          <w:sz w:val="17"/>
          <w:szCs w:val="17"/>
        </w:rPr>
        <w:t xml:space="preserve"> believes that there is a particular role for EIOPA in ensuring supervisory cooperation and a consistent application of the common EU supervisory framework. From the issues mentioned in the table above, the following items should be focus areas for EIOPA activities: </w:t>
      </w:r>
    </w:p>
    <w:p w14:paraId="0C06B9B2" w14:textId="1F90BCF2" w:rsidR="00637792" w:rsidRPr="00722521" w:rsidRDefault="00637792" w:rsidP="00F7429D">
      <w:pPr>
        <w:pStyle w:val="CEABullet-Level1"/>
        <w:rPr>
          <w:color w:val="auto"/>
        </w:rPr>
      </w:pPr>
      <w:r w:rsidRPr="00722521">
        <w:rPr>
          <w:color w:val="auto"/>
        </w:rPr>
        <w:t xml:space="preserve">Promoting bilateral and multilateral exchanges of information between </w:t>
      </w:r>
      <w:r w:rsidR="00F7429D" w:rsidRPr="00722521">
        <w:rPr>
          <w:color w:val="auto"/>
        </w:rPr>
        <w:t>NSAs</w:t>
      </w:r>
    </w:p>
    <w:p w14:paraId="790E8A32" w14:textId="6CEF54E7" w:rsidR="00637792" w:rsidRPr="00722521" w:rsidRDefault="00637792" w:rsidP="00F7429D">
      <w:pPr>
        <w:pStyle w:val="CEABullet-Level1"/>
        <w:rPr>
          <w:color w:val="auto"/>
        </w:rPr>
      </w:pPr>
      <w:r w:rsidRPr="00722521">
        <w:rPr>
          <w:color w:val="auto"/>
        </w:rPr>
        <w:t xml:space="preserve">Conducting peer reviews between </w:t>
      </w:r>
      <w:r w:rsidR="0093046A" w:rsidRPr="00722521">
        <w:rPr>
          <w:color w:val="auto"/>
        </w:rPr>
        <w:t>NSAs</w:t>
      </w:r>
    </w:p>
    <w:p w14:paraId="3DD8AAA2" w14:textId="77777777" w:rsidR="00637792" w:rsidRPr="00722521" w:rsidRDefault="00637792" w:rsidP="00F7429D">
      <w:pPr>
        <w:pStyle w:val="CEABullet-Level1"/>
        <w:rPr>
          <w:color w:val="auto"/>
          <w:szCs w:val="17"/>
        </w:rPr>
      </w:pPr>
      <w:r w:rsidRPr="00722521">
        <w:rPr>
          <w:color w:val="auto"/>
        </w:rPr>
        <w:t>Determin</w:t>
      </w:r>
      <w:r w:rsidRPr="00722521">
        <w:rPr>
          <w:color w:val="auto"/>
          <w:szCs w:val="17"/>
        </w:rPr>
        <w:t>ing new Union strategic supervisory priorities</w:t>
      </w:r>
    </w:p>
    <w:p w14:paraId="3C16D61A" w14:textId="77777777" w:rsidR="00637792" w:rsidRPr="00722521" w:rsidRDefault="00637792" w:rsidP="00F7429D">
      <w:pPr>
        <w:pStyle w:val="CEABullet-Level1"/>
        <w:rPr>
          <w:color w:val="auto"/>
          <w:szCs w:val="17"/>
        </w:rPr>
      </w:pPr>
      <w:r w:rsidRPr="00722521">
        <w:rPr>
          <w:color w:val="auto"/>
        </w:rPr>
        <w:t>Establishing coordination groups</w:t>
      </w:r>
    </w:p>
    <w:p w14:paraId="532087B3" w14:textId="77777777" w:rsidR="00637792" w:rsidRPr="00722521" w:rsidRDefault="00637792" w:rsidP="00F7429D">
      <w:pPr>
        <w:pStyle w:val="CEABullet-Level1"/>
        <w:rPr>
          <w:color w:val="auto"/>
          <w:szCs w:val="17"/>
        </w:rPr>
      </w:pPr>
      <w:r w:rsidRPr="00722521">
        <w:rPr>
          <w:color w:val="auto"/>
        </w:rPr>
        <w:t>Developing Union supervisory handbooks</w:t>
      </w:r>
    </w:p>
    <w:p w14:paraId="2202B938" w14:textId="77777777" w:rsidR="00637792" w:rsidRPr="00722521" w:rsidRDefault="00637792" w:rsidP="00F7429D">
      <w:pPr>
        <w:pStyle w:val="CEABullet-Level1"/>
        <w:rPr>
          <w:color w:val="auto"/>
          <w:szCs w:val="17"/>
        </w:rPr>
      </w:pPr>
      <w:r w:rsidRPr="00722521">
        <w:rPr>
          <w:color w:val="auto"/>
        </w:rPr>
        <w:t>Contributin</w:t>
      </w:r>
      <w:r w:rsidRPr="00722521">
        <w:rPr>
          <w:color w:val="auto"/>
          <w:szCs w:val="17"/>
        </w:rPr>
        <w:t>g to developing high quality and uniform supervisory standards</w:t>
      </w:r>
    </w:p>
    <w:p w14:paraId="5D884EFE" w14:textId="77777777" w:rsidR="00637792" w:rsidRPr="00722521" w:rsidRDefault="00637792" w:rsidP="00637792">
      <w:pPr>
        <w:mirrorIndents/>
        <w:rPr>
          <w:sz w:val="17"/>
          <w:szCs w:val="17"/>
        </w:rPr>
      </w:pPr>
    </w:p>
    <w:p w14:paraId="514B4236" w14:textId="2B658349" w:rsidR="00637792" w:rsidRPr="00722521" w:rsidRDefault="00637792" w:rsidP="00637792">
      <w:pPr>
        <w:mirrorIndents/>
        <w:rPr>
          <w:sz w:val="17"/>
          <w:szCs w:val="17"/>
        </w:rPr>
      </w:pPr>
      <w:r w:rsidRPr="00722521">
        <w:rPr>
          <w:sz w:val="17"/>
          <w:szCs w:val="17"/>
        </w:rPr>
        <w:lastRenderedPageBreak/>
        <w:t xml:space="preserve">In addition, </w:t>
      </w:r>
      <w:r w:rsidR="00722521">
        <w:rPr>
          <w:sz w:val="17"/>
          <w:szCs w:val="17"/>
        </w:rPr>
        <w:t>VVO</w:t>
      </w:r>
      <w:r w:rsidRPr="00722521">
        <w:rPr>
          <w:sz w:val="17"/>
          <w:szCs w:val="17"/>
        </w:rPr>
        <w:t xml:space="preserve"> also considers that EIOPA has a role to play in the development and interpretation of the common regulatory framework. </w:t>
      </w:r>
      <w:r w:rsidR="00F7429D" w:rsidRPr="00722521">
        <w:rPr>
          <w:sz w:val="17"/>
          <w:szCs w:val="17"/>
        </w:rPr>
        <w:t>T</w:t>
      </w:r>
      <w:r w:rsidRPr="00722521">
        <w:rPr>
          <w:sz w:val="17"/>
          <w:szCs w:val="17"/>
        </w:rPr>
        <w:t>he following activities of EIOPA are essential for EIOPA in fulfilling its mandate:</w:t>
      </w:r>
    </w:p>
    <w:p w14:paraId="4F37E696" w14:textId="77777777" w:rsidR="00637792" w:rsidRPr="00722521" w:rsidRDefault="00637792" w:rsidP="00F7429D">
      <w:pPr>
        <w:pStyle w:val="CEABullet-Level1"/>
        <w:rPr>
          <w:color w:val="auto"/>
          <w:szCs w:val="17"/>
        </w:rPr>
      </w:pPr>
      <w:r w:rsidRPr="00722521">
        <w:rPr>
          <w:color w:val="auto"/>
        </w:rPr>
        <w:t>Contributing to developing high quality and unifo</w:t>
      </w:r>
      <w:r w:rsidRPr="00722521">
        <w:rPr>
          <w:color w:val="auto"/>
          <w:szCs w:val="17"/>
        </w:rPr>
        <w:t>rm reporting standards</w:t>
      </w:r>
    </w:p>
    <w:p w14:paraId="2E95E195" w14:textId="189CD781" w:rsidR="00637792" w:rsidRPr="00722521" w:rsidRDefault="00637792" w:rsidP="00F7429D">
      <w:pPr>
        <w:pStyle w:val="CEABullet-Level1"/>
        <w:rPr>
          <w:color w:val="auto"/>
          <w:szCs w:val="17"/>
        </w:rPr>
      </w:pPr>
      <w:r w:rsidRPr="00722521">
        <w:rPr>
          <w:color w:val="auto"/>
        </w:rPr>
        <w:t>Developing and reviewing the application of technical standards</w:t>
      </w:r>
    </w:p>
    <w:p w14:paraId="46FBE9D8" w14:textId="77777777" w:rsidR="00637792" w:rsidRPr="00722521" w:rsidRDefault="00637792" w:rsidP="00F7429D">
      <w:pPr>
        <w:pStyle w:val="CEABullet-Level1"/>
        <w:rPr>
          <w:color w:val="auto"/>
          <w:szCs w:val="17"/>
        </w:rPr>
      </w:pPr>
      <w:r w:rsidRPr="00722521">
        <w:rPr>
          <w:color w:val="auto"/>
        </w:rPr>
        <w:t>Contributing to the development of sectoral legislation by providing advice</w:t>
      </w:r>
      <w:r w:rsidRPr="00722521">
        <w:rPr>
          <w:color w:val="auto"/>
          <w:szCs w:val="17"/>
        </w:rPr>
        <w:t xml:space="preserve"> to the Commission</w:t>
      </w:r>
    </w:p>
    <w:p w14:paraId="4946DFB5" w14:textId="77777777" w:rsidR="00637792" w:rsidRPr="00722521" w:rsidRDefault="00637792" w:rsidP="00F7429D">
      <w:pPr>
        <w:pStyle w:val="CEABullet-Level1"/>
        <w:rPr>
          <w:color w:val="auto"/>
          <w:szCs w:val="17"/>
        </w:rPr>
      </w:pPr>
      <w:r w:rsidRPr="00722521">
        <w:rPr>
          <w:color w:val="auto"/>
        </w:rPr>
        <w:t>Developing guidelines and recommendations</w:t>
      </w:r>
    </w:p>
    <w:p w14:paraId="3F00ED3C" w14:textId="77777777" w:rsidR="00637792" w:rsidRPr="00722521" w:rsidRDefault="00637792" w:rsidP="00F7429D">
      <w:pPr>
        <w:pStyle w:val="CEABullet-Level1"/>
        <w:rPr>
          <w:color w:val="auto"/>
          <w:szCs w:val="17"/>
        </w:rPr>
      </w:pPr>
      <w:r w:rsidRPr="00722521">
        <w:rPr>
          <w:color w:val="auto"/>
        </w:rPr>
        <w:t>Developing Q&amp;As</w:t>
      </w:r>
    </w:p>
    <w:p w14:paraId="2199DF68" w14:textId="77777777" w:rsidR="00637792" w:rsidRPr="00722521" w:rsidRDefault="00637792" w:rsidP="00637792">
      <w:pPr>
        <w:mirrorIndents/>
        <w:rPr>
          <w:sz w:val="17"/>
          <w:szCs w:val="17"/>
          <w:highlight w:val="yellow"/>
        </w:rPr>
      </w:pPr>
    </w:p>
    <w:p w14:paraId="271C4CA2" w14:textId="541265B8" w:rsidR="00637792" w:rsidRPr="00722521" w:rsidRDefault="00637792" w:rsidP="00637792">
      <w:pPr>
        <w:mirrorIndents/>
        <w:rPr>
          <w:sz w:val="17"/>
          <w:szCs w:val="17"/>
          <w:lang w:val="en-US"/>
        </w:rPr>
      </w:pPr>
      <w:r w:rsidRPr="00722521">
        <w:rPr>
          <w:sz w:val="17"/>
          <w:szCs w:val="17"/>
          <w:lang w:val="en-US"/>
        </w:rPr>
        <w:t>With regards to the Q&amp;As and the guidelines, the recent ESA</w:t>
      </w:r>
      <w:r w:rsidR="00F7429D" w:rsidRPr="00722521">
        <w:rPr>
          <w:sz w:val="17"/>
          <w:szCs w:val="17"/>
          <w:lang w:val="en-US"/>
        </w:rPr>
        <w:t>s r</w:t>
      </w:r>
      <w:r w:rsidRPr="00722521">
        <w:rPr>
          <w:sz w:val="17"/>
          <w:szCs w:val="17"/>
          <w:lang w:val="en-US"/>
        </w:rPr>
        <w:t xml:space="preserve">eview brought improvements with regards to the mandate and the governance process around these tools. It will have to be awaited how effective the amendments are in practice. Nonetheless, a proper governance process and a clearly defined mandate are a step in the right direction. </w:t>
      </w:r>
      <w:r w:rsidR="005A7198" w:rsidRPr="00722521">
        <w:rPr>
          <w:sz w:val="17"/>
          <w:szCs w:val="17"/>
          <w:lang w:val="en-US"/>
        </w:rPr>
        <w:t>The need for a sufficiently clear mandate is also underlined by the ECJ Advocate General in his Opinion on Case C-911/19.</w:t>
      </w:r>
    </w:p>
    <w:p w14:paraId="03B4B101" w14:textId="77777777" w:rsidR="00637792" w:rsidRPr="00722521" w:rsidRDefault="00637792" w:rsidP="00637792">
      <w:pPr>
        <w:mirrorIndents/>
        <w:rPr>
          <w:sz w:val="17"/>
          <w:szCs w:val="17"/>
          <w:lang w:val="en-US"/>
        </w:rPr>
      </w:pPr>
    </w:p>
    <w:p w14:paraId="285D1F79" w14:textId="37C7AA67" w:rsidR="001C681C" w:rsidRPr="00722521" w:rsidRDefault="00637792" w:rsidP="00A903E6">
      <w:pPr>
        <w:mirrorIndents/>
        <w:rPr>
          <w:sz w:val="17"/>
          <w:szCs w:val="17"/>
          <w:lang w:val="en-US"/>
        </w:rPr>
      </w:pPr>
      <w:r w:rsidRPr="00722521">
        <w:rPr>
          <w:sz w:val="17"/>
          <w:szCs w:val="17"/>
          <w:lang w:val="en-US"/>
        </w:rPr>
        <w:t xml:space="preserve">With regards to the role which EIOPA played in the current crisis and the use of supervisory statements, </w:t>
      </w:r>
      <w:r w:rsidR="00722521">
        <w:rPr>
          <w:sz w:val="17"/>
          <w:szCs w:val="17"/>
          <w:lang w:val="en-US"/>
        </w:rPr>
        <w:t>VVO</w:t>
      </w:r>
      <w:r w:rsidRPr="00722521">
        <w:rPr>
          <w:sz w:val="17"/>
          <w:szCs w:val="17"/>
          <w:lang w:val="en-US"/>
        </w:rPr>
        <w:t xml:space="preserve"> is more critical. EIOPA</w:t>
      </w:r>
      <w:r w:rsidR="0093046A" w:rsidRPr="00722521">
        <w:rPr>
          <w:sz w:val="17"/>
          <w:szCs w:val="17"/>
          <w:lang w:val="en-US"/>
        </w:rPr>
        <w:t>’s recommendations of 20 March 2020 on annual and quarterly reporting and publication deadlines</w:t>
      </w:r>
      <w:r w:rsidRPr="00722521">
        <w:rPr>
          <w:sz w:val="17"/>
          <w:szCs w:val="17"/>
          <w:lang w:val="en-US"/>
        </w:rPr>
        <w:t xml:space="preserve"> </w:t>
      </w:r>
      <w:r w:rsidR="0093046A" w:rsidRPr="00722521">
        <w:rPr>
          <w:sz w:val="17"/>
          <w:szCs w:val="17"/>
          <w:lang w:val="en-US"/>
        </w:rPr>
        <w:t xml:space="preserve">was helpful to provide insurers with the necessary relief to focus on continuity of activities. </w:t>
      </w:r>
      <w:r w:rsidRPr="00722521">
        <w:rPr>
          <w:sz w:val="17"/>
          <w:szCs w:val="17"/>
          <w:lang w:val="en-US"/>
        </w:rPr>
        <w:t xml:space="preserve">However, </w:t>
      </w:r>
      <w:r w:rsidR="00470263" w:rsidRPr="00722521">
        <w:rPr>
          <w:sz w:val="17"/>
          <w:szCs w:val="17"/>
          <w:lang w:val="en-US"/>
        </w:rPr>
        <w:t xml:space="preserve">while EIOPA’s first statement on dividends (20 March 2020) was appropriate and reasonable, </w:t>
      </w:r>
      <w:r w:rsidR="00FF3FE2" w:rsidRPr="00722521">
        <w:rPr>
          <w:sz w:val="17"/>
          <w:szCs w:val="17"/>
          <w:lang w:val="en-US"/>
        </w:rPr>
        <w:t>it issued a</w:t>
      </w:r>
      <w:r w:rsidR="00470263" w:rsidRPr="00722521">
        <w:rPr>
          <w:sz w:val="17"/>
          <w:szCs w:val="17"/>
          <w:lang w:val="en-US"/>
        </w:rPr>
        <w:t xml:space="preserve"> second one (</w:t>
      </w:r>
      <w:r w:rsidR="00FF3FE2" w:rsidRPr="00722521">
        <w:rPr>
          <w:sz w:val="17"/>
          <w:szCs w:val="17"/>
          <w:lang w:val="en-US"/>
        </w:rPr>
        <w:t>2 April 2020</w:t>
      </w:r>
      <w:r w:rsidR="00470263" w:rsidRPr="00722521">
        <w:rPr>
          <w:sz w:val="17"/>
          <w:szCs w:val="17"/>
          <w:lang w:val="en-US"/>
        </w:rPr>
        <w:t>)</w:t>
      </w:r>
      <w:r w:rsidR="00FF3FE2" w:rsidRPr="00722521">
        <w:rPr>
          <w:sz w:val="17"/>
          <w:szCs w:val="17"/>
          <w:lang w:val="en-US"/>
        </w:rPr>
        <w:t>,</w:t>
      </w:r>
      <w:r w:rsidR="00470263" w:rsidRPr="00722521">
        <w:rPr>
          <w:sz w:val="17"/>
          <w:szCs w:val="17"/>
          <w:lang w:val="en-US"/>
        </w:rPr>
        <w:t xml:space="preserve"> introducing a blanket ban which ignored and undermined the</w:t>
      </w:r>
      <w:r w:rsidR="00FF3FE2" w:rsidRPr="00722521">
        <w:rPr>
          <w:sz w:val="17"/>
          <w:szCs w:val="17"/>
          <w:lang w:val="en-US"/>
        </w:rPr>
        <w:t xml:space="preserve"> prudent and risk based provisions in the </w:t>
      </w:r>
      <w:r w:rsidR="00470263" w:rsidRPr="00722521">
        <w:rPr>
          <w:sz w:val="17"/>
          <w:szCs w:val="17"/>
          <w:lang w:val="en-US"/>
        </w:rPr>
        <w:t>S</w:t>
      </w:r>
      <w:r w:rsidR="002358AE" w:rsidRPr="00722521">
        <w:rPr>
          <w:sz w:val="17"/>
          <w:szCs w:val="17"/>
          <w:lang w:val="en-US"/>
        </w:rPr>
        <w:t xml:space="preserve">olvency </w:t>
      </w:r>
      <w:r w:rsidR="00470263" w:rsidRPr="00722521">
        <w:rPr>
          <w:sz w:val="17"/>
          <w:szCs w:val="17"/>
          <w:lang w:val="en-US"/>
        </w:rPr>
        <w:t>II framework</w:t>
      </w:r>
      <w:r w:rsidR="00FF3FE2" w:rsidRPr="00722521">
        <w:rPr>
          <w:sz w:val="17"/>
          <w:szCs w:val="17"/>
          <w:lang w:val="en-US"/>
        </w:rPr>
        <w:t xml:space="preserve"> and</w:t>
      </w:r>
      <w:r w:rsidR="00470263" w:rsidRPr="00722521">
        <w:rPr>
          <w:sz w:val="17"/>
          <w:szCs w:val="17"/>
          <w:lang w:val="en-US"/>
        </w:rPr>
        <w:t xml:space="preserve"> </w:t>
      </w:r>
      <w:r w:rsidRPr="00722521">
        <w:rPr>
          <w:sz w:val="17"/>
          <w:szCs w:val="17"/>
          <w:lang w:val="en-US"/>
        </w:rPr>
        <w:t>se</w:t>
      </w:r>
      <w:r w:rsidR="00FF3FE2" w:rsidRPr="00722521">
        <w:rPr>
          <w:sz w:val="17"/>
          <w:szCs w:val="17"/>
          <w:lang w:val="en-US"/>
        </w:rPr>
        <w:t>n</w:t>
      </w:r>
      <w:r w:rsidRPr="00722521">
        <w:rPr>
          <w:sz w:val="17"/>
          <w:szCs w:val="17"/>
          <w:lang w:val="en-US"/>
        </w:rPr>
        <w:t xml:space="preserve">t misleading signs to capital markets. </w:t>
      </w:r>
      <w:r w:rsidR="00470263" w:rsidRPr="00722521">
        <w:rPr>
          <w:sz w:val="17"/>
          <w:szCs w:val="17"/>
          <w:lang w:val="en-US"/>
        </w:rPr>
        <w:t>Instead</w:t>
      </w:r>
      <w:r w:rsidR="00FF3FE2" w:rsidRPr="00722521">
        <w:rPr>
          <w:sz w:val="17"/>
          <w:szCs w:val="17"/>
          <w:lang w:val="en-US"/>
        </w:rPr>
        <w:t>,</w:t>
      </w:r>
      <w:r w:rsidR="00470263" w:rsidRPr="00722521">
        <w:rPr>
          <w:sz w:val="17"/>
          <w:szCs w:val="17"/>
          <w:lang w:val="en-US"/>
        </w:rPr>
        <w:t xml:space="preserve"> EIOPA should have taken the approach</w:t>
      </w:r>
      <w:r w:rsidR="00FF3FE2" w:rsidRPr="00722521">
        <w:rPr>
          <w:sz w:val="17"/>
          <w:szCs w:val="17"/>
          <w:lang w:val="en-US"/>
        </w:rPr>
        <w:t xml:space="preserve"> now suggested in their </w:t>
      </w:r>
      <w:r w:rsidR="00470263" w:rsidRPr="00722521">
        <w:rPr>
          <w:sz w:val="17"/>
          <w:szCs w:val="17"/>
          <w:lang w:val="en-US"/>
        </w:rPr>
        <w:t>financial stability report (</w:t>
      </w:r>
      <w:r w:rsidR="00FF3FE2" w:rsidRPr="00722521">
        <w:rPr>
          <w:sz w:val="17"/>
          <w:szCs w:val="17"/>
          <w:lang w:val="en-US"/>
        </w:rPr>
        <w:t>18 December 2020</w:t>
      </w:r>
      <w:r w:rsidR="00470263" w:rsidRPr="00722521">
        <w:rPr>
          <w:sz w:val="17"/>
          <w:szCs w:val="17"/>
          <w:lang w:val="en-US"/>
        </w:rPr>
        <w:t>)</w:t>
      </w:r>
      <w:r w:rsidR="00FF3FE2" w:rsidRPr="00722521">
        <w:rPr>
          <w:sz w:val="17"/>
          <w:szCs w:val="17"/>
          <w:lang w:val="en-US"/>
        </w:rPr>
        <w:t>,</w:t>
      </w:r>
      <w:r w:rsidR="00470263" w:rsidRPr="00722521">
        <w:rPr>
          <w:sz w:val="17"/>
          <w:szCs w:val="17"/>
          <w:lang w:val="en-US"/>
        </w:rPr>
        <w:t xml:space="preserve"> </w:t>
      </w:r>
      <w:r w:rsidR="00FF3FE2" w:rsidRPr="00722521">
        <w:rPr>
          <w:sz w:val="17"/>
          <w:szCs w:val="17"/>
          <w:lang w:val="en-US"/>
        </w:rPr>
        <w:t>emphasizing</w:t>
      </w:r>
      <w:r w:rsidR="00470263" w:rsidRPr="00722521">
        <w:rPr>
          <w:sz w:val="17"/>
          <w:szCs w:val="17"/>
          <w:lang w:val="en-US"/>
        </w:rPr>
        <w:t xml:space="preserve"> the need for </w:t>
      </w:r>
      <w:r w:rsidR="00BB74C5" w:rsidRPr="00722521">
        <w:rPr>
          <w:sz w:val="17"/>
          <w:szCs w:val="17"/>
          <w:lang w:val="en-US"/>
        </w:rPr>
        <w:t xml:space="preserve">a </w:t>
      </w:r>
      <w:r w:rsidR="00470263" w:rsidRPr="00722521">
        <w:rPr>
          <w:sz w:val="17"/>
          <w:szCs w:val="17"/>
          <w:lang w:val="en-US"/>
        </w:rPr>
        <w:t>cautio</w:t>
      </w:r>
      <w:r w:rsidR="00BB74C5" w:rsidRPr="00722521">
        <w:rPr>
          <w:sz w:val="17"/>
          <w:szCs w:val="17"/>
          <w:lang w:val="en-US"/>
        </w:rPr>
        <w:t>us</w:t>
      </w:r>
      <w:r w:rsidR="00470263" w:rsidRPr="00722521">
        <w:rPr>
          <w:sz w:val="17"/>
          <w:szCs w:val="17"/>
          <w:lang w:val="en-US"/>
        </w:rPr>
        <w:t xml:space="preserve"> and </w:t>
      </w:r>
      <w:r w:rsidR="002358AE" w:rsidRPr="00722521">
        <w:rPr>
          <w:sz w:val="17"/>
          <w:szCs w:val="17"/>
          <w:lang w:val="en-US"/>
        </w:rPr>
        <w:t>risk-based</w:t>
      </w:r>
      <w:r w:rsidR="00470263" w:rsidRPr="00722521">
        <w:rPr>
          <w:sz w:val="17"/>
          <w:szCs w:val="17"/>
          <w:lang w:val="en-US"/>
        </w:rPr>
        <w:t xml:space="preserve"> approach.</w:t>
      </w:r>
    </w:p>
    <w:p w14:paraId="77A7FFEC" w14:textId="3D7E9D64" w:rsidR="00D62810" w:rsidRPr="00722521" w:rsidRDefault="00D62810" w:rsidP="00A903E6">
      <w:pPr>
        <w:mirrorIndents/>
        <w:rPr>
          <w:sz w:val="17"/>
          <w:szCs w:val="17"/>
          <w:lang w:val="en-US"/>
        </w:rPr>
      </w:pPr>
    </w:p>
    <w:p w14:paraId="7474106D" w14:textId="286F25E7" w:rsidR="00D62810" w:rsidRPr="00722521" w:rsidRDefault="00D62810" w:rsidP="00D62810">
      <w:pPr>
        <w:mirrorIndents/>
        <w:rPr>
          <w:sz w:val="17"/>
          <w:szCs w:val="17"/>
          <w:lang w:val="en-US"/>
        </w:rPr>
      </w:pPr>
      <w:r w:rsidRPr="00722521">
        <w:rPr>
          <w:sz w:val="17"/>
          <w:szCs w:val="17"/>
          <w:lang w:val="en-US"/>
        </w:rPr>
        <w:t>To ensure legal certainty, an exhaustive list of EIOPA supervisory convergence tools pursuant to Article 29 (</w:t>
      </w:r>
      <w:proofErr w:type="spellStart"/>
      <w:r w:rsidRPr="00722521">
        <w:rPr>
          <w:sz w:val="17"/>
          <w:szCs w:val="17"/>
          <w:lang w:val="en-US"/>
        </w:rPr>
        <w:t>eg</w:t>
      </w:r>
      <w:proofErr w:type="spellEnd"/>
      <w:r w:rsidRPr="00722521">
        <w:rPr>
          <w:sz w:val="17"/>
          <w:szCs w:val="17"/>
          <w:lang w:val="en-US"/>
        </w:rPr>
        <w:t xml:space="preserve"> “opinions” or “supervisory statements”) should be available. NSAs should also be more transparent as to whether or not they choose to follow the guidance provided in these non-binding tools.</w:t>
      </w:r>
    </w:p>
    <w:p w14:paraId="46160BC9" w14:textId="56CEE81F" w:rsidR="004A3539" w:rsidRPr="00722521" w:rsidRDefault="004A3539" w:rsidP="00A903E6">
      <w:pPr>
        <w:mirrorIndents/>
        <w:rPr>
          <w:sz w:val="17"/>
          <w:szCs w:val="17"/>
          <w:lang w:val="en-US"/>
        </w:rPr>
      </w:pPr>
    </w:p>
    <w:p w14:paraId="7546E414" w14:textId="30320365" w:rsidR="004A3539" w:rsidRPr="00722521" w:rsidRDefault="004A3539" w:rsidP="004A3539">
      <w:pPr>
        <w:mirrorIndents/>
        <w:rPr>
          <w:sz w:val="17"/>
          <w:szCs w:val="17"/>
        </w:rPr>
      </w:pPr>
      <w:r w:rsidRPr="00722521">
        <w:rPr>
          <w:sz w:val="17"/>
          <w:szCs w:val="17"/>
        </w:rPr>
        <w:t xml:space="preserve">In addition, </w:t>
      </w:r>
      <w:r w:rsidR="00722521">
        <w:rPr>
          <w:sz w:val="17"/>
          <w:szCs w:val="17"/>
        </w:rPr>
        <w:t>VVO</w:t>
      </w:r>
      <w:r w:rsidRPr="00722521">
        <w:rPr>
          <w:sz w:val="17"/>
          <w:szCs w:val="17"/>
        </w:rPr>
        <w:t xml:space="preserve"> believes that the legitimacy and credibility of EIOPA </w:t>
      </w:r>
      <w:r w:rsidR="00704566" w:rsidRPr="00722521">
        <w:rPr>
          <w:sz w:val="17"/>
          <w:szCs w:val="17"/>
        </w:rPr>
        <w:t>lays</w:t>
      </w:r>
      <w:r w:rsidRPr="00722521">
        <w:rPr>
          <w:sz w:val="17"/>
          <w:szCs w:val="17"/>
        </w:rPr>
        <w:t xml:space="preserve"> in its ability to act as a neutral and impartial oversight function with respect to the implementation of the European prudential regulation and national supervisory practices. </w:t>
      </w:r>
    </w:p>
    <w:p w14:paraId="3BA8C096" w14:textId="77777777" w:rsidR="004A3539" w:rsidRPr="00722521" w:rsidRDefault="004A3539" w:rsidP="004A3539">
      <w:pPr>
        <w:mirrorIndents/>
        <w:rPr>
          <w:sz w:val="17"/>
          <w:szCs w:val="17"/>
        </w:rPr>
      </w:pPr>
    </w:p>
    <w:p w14:paraId="6940ADCB" w14:textId="77777777" w:rsidR="0073757E" w:rsidRPr="0073757E" w:rsidRDefault="0073757E" w:rsidP="0073757E">
      <w:pPr>
        <w:mirrorIndents/>
        <w:rPr>
          <w:sz w:val="17"/>
          <w:szCs w:val="17"/>
        </w:rPr>
      </w:pPr>
      <w:r w:rsidRPr="0073757E">
        <w:rPr>
          <w:sz w:val="17"/>
          <w:szCs w:val="17"/>
        </w:rPr>
        <w:t>Finally, EIOPA does not have any political advocacy role to drive and orient market developments and the functioning of the internal market for insurance within its mandate.</w:t>
      </w:r>
    </w:p>
    <w:p w14:paraId="5D2FAD5D" w14:textId="44755204" w:rsidR="00D62810" w:rsidRPr="00722521" w:rsidRDefault="00D62810" w:rsidP="004A3539">
      <w:pPr>
        <w:mirrorIndents/>
        <w:rPr>
          <w:sz w:val="17"/>
          <w:szCs w:val="17"/>
        </w:rPr>
      </w:pPr>
    </w:p>
    <w:p w14:paraId="277595AE" w14:textId="77777777" w:rsidR="00A903E6" w:rsidRPr="00722521" w:rsidRDefault="00A903E6" w:rsidP="00A903E6">
      <w:pPr>
        <w:pStyle w:val="Textkrper"/>
        <w:tabs>
          <w:tab w:val="left" w:pos="671"/>
          <w:tab w:val="left" w:pos="1302"/>
          <w:tab w:val="left" w:pos="1919"/>
          <w:tab w:val="left" w:pos="2625"/>
        </w:tabs>
        <w:mirrorIndents/>
        <w:rPr>
          <w:rFonts w:ascii="Verdana" w:hAnsi="Verdana"/>
          <w:sz w:val="17"/>
          <w:szCs w:val="17"/>
        </w:rPr>
      </w:pPr>
    </w:p>
    <w:p w14:paraId="796267DF" w14:textId="44BD265D" w:rsidR="00BA160A" w:rsidRPr="00722521" w:rsidRDefault="00BA160A" w:rsidP="00A903E6">
      <w:pPr>
        <w:pStyle w:val="Textkrper"/>
        <w:tabs>
          <w:tab w:val="left" w:pos="671"/>
          <w:tab w:val="left" w:pos="1302"/>
          <w:tab w:val="left" w:pos="1919"/>
          <w:tab w:val="left" w:pos="2625"/>
        </w:tabs>
        <w:mirrorIndents/>
        <w:rPr>
          <w:rFonts w:ascii="Verdana" w:hAnsi="Verdana"/>
          <w:sz w:val="17"/>
          <w:szCs w:val="17"/>
        </w:rPr>
      </w:pPr>
      <w:r w:rsidRPr="00722521">
        <w:rPr>
          <w:rFonts w:ascii="Verdana" w:hAnsi="Verdana"/>
          <w:sz w:val="17"/>
          <w:szCs w:val="17"/>
          <w:highlight w:val="lightGray"/>
        </w:rPr>
        <w:t xml:space="preserve">Question 1.1.3 EIOPA: One of the roles of EIOPA is to promote and facilitate the </w:t>
      </w:r>
      <w:r w:rsidRPr="00722521">
        <w:rPr>
          <w:rFonts w:ascii="Verdana" w:hAnsi="Verdana"/>
          <w:spacing w:val="2"/>
          <w:sz w:val="17"/>
          <w:szCs w:val="17"/>
          <w:highlight w:val="lightGray"/>
        </w:rPr>
        <w:t xml:space="preserve">functioning </w:t>
      </w:r>
      <w:r w:rsidRPr="00722521">
        <w:rPr>
          <w:rFonts w:ascii="Verdana" w:hAnsi="Verdana"/>
          <w:sz w:val="17"/>
          <w:szCs w:val="17"/>
          <w:highlight w:val="lightGray"/>
        </w:rPr>
        <w:t xml:space="preserve">of </w:t>
      </w:r>
      <w:r w:rsidRPr="00722521">
        <w:rPr>
          <w:rFonts w:ascii="Verdana" w:hAnsi="Verdana"/>
          <w:spacing w:val="2"/>
          <w:sz w:val="17"/>
          <w:szCs w:val="17"/>
          <w:highlight w:val="lightGray"/>
        </w:rPr>
        <w:t xml:space="preserve">supervisory colleges, where established </w:t>
      </w:r>
      <w:r w:rsidRPr="00722521">
        <w:rPr>
          <w:rFonts w:ascii="Verdana" w:hAnsi="Verdana"/>
          <w:sz w:val="17"/>
          <w:szCs w:val="17"/>
          <w:highlight w:val="lightGray"/>
        </w:rPr>
        <w:t xml:space="preserve">by </w:t>
      </w:r>
      <w:r w:rsidRPr="00722521">
        <w:rPr>
          <w:rFonts w:ascii="Verdana" w:hAnsi="Verdana"/>
          <w:spacing w:val="2"/>
          <w:sz w:val="17"/>
          <w:szCs w:val="17"/>
          <w:highlight w:val="lightGray"/>
        </w:rPr>
        <w:t xml:space="preserve">sector </w:t>
      </w:r>
      <w:r w:rsidRPr="00722521">
        <w:rPr>
          <w:rFonts w:ascii="Verdana" w:hAnsi="Verdana"/>
          <w:sz w:val="17"/>
          <w:szCs w:val="17"/>
          <w:highlight w:val="lightGray"/>
        </w:rPr>
        <w:t>legislation, and foster the consistency of the application of Union law among them.</w:t>
      </w:r>
    </w:p>
    <w:p w14:paraId="4F37D790" w14:textId="77777777" w:rsidR="00BA160A" w:rsidRPr="00722521" w:rsidRDefault="00BA160A" w:rsidP="00A903E6">
      <w:pPr>
        <w:pStyle w:val="Textkrper"/>
        <w:mirrorIndents/>
        <w:rPr>
          <w:rFonts w:ascii="Verdana" w:hAnsi="Verdana"/>
          <w:sz w:val="17"/>
          <w:szCs w:val="17"/>
        </w:rPr>
      </w:pPr>
    </w:p>
    <w:p w14:paraId="2C558B67"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rate EIOPA’s contribution to the objectives below:</w:t>
      </w:r>
    </w:p>
    <w:p w14:paraId="68D1AAF5" w14:textId="77777777" w:rsidR="00BA160A" w:rsidRPr="00722521" w:rsidRDefault="00BA160A" w:rsidP="00A903E6">
      <w:pPr>
        <w:pStyle w:val="Textkrper"/>
        <w:mirrorIndents/>
        <w:rPr>
          <w:rFonts w:ascii="Verdana" w:hAnsi="Verdana"/>
          <w:sz w:val="17"/>
          <w:szCs w:val="17"/>
        </w:rPr>
      </w:pP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884"/>
        <w:gridCol w:w="1316"/>
        <w:gridCol w:w="20"/>
        <w:gridCol w:w="1348"/>
        <w:gridCol w:w="30"/>
        <w:gridCol w:w="957"/>
        <w:gridCol w:w="55"/>
        <w:gridCol w:w="1340"/>
        <w:gridCol w:w="13"/>
        <w:gridCol w:w="1336"/>
        <w:gridCol w:w="49"/>
        <w:gridCol w:w="1163"/>
      </w:tblGrid>
      <w:tr w:rsidR="00436CD5" w:rsidRPr="00722521" w14:paraId="45CDCCC3" w14:textId="77777777" w:rsidTr="00AA4E82">
        <w:trPr>
          <w:trHeight w:val="1134"/>
        </w:trPr>
        <w:tc>
          <w:tcPr>
            <w:tcW w:w="999" w:type="pct"/>
            <w:tcBorders>
              <w:top w:val="single" w:sz="8" w:space="0" w:color="BABABA"/>
              <w:left w:val="single" w:sz="8" w:space="0" w:color="BABABA"/>
              <w:bottom w:val="single" w:sz="8" w:space="0" w:color="BABABA"/>
              <w:right w:val="single" w:sz="8" w:space="0" w:color="BABABA"/>
            </w:tcBorders>
          </w:tcPr>
          <w:p w14:paraId="4E987037" w14:textId="77777777" w:rsidR="00BA160A" w:rsidRPr="00722521" w:rsidRDefault="00BA160A" w:rsidP="00A903E6">
            <w:pPr>
              <w:mirrorIndents/>
              <w:rPr>
                <w:sz w:val="17"/>
                <w:szCs w:val="17"/>
              </w:rPr>
            </w:pPr>
          </w:p>
        </w:tc>
        <w:tc>
          <w:tcPr>
            <w:tcW w:w="700" w:type="pct"/>
            <w:tcBorders>
              <w:top w:val="single" w:sz="8" w:space="0" w:color="BABABA"/>
              <w:left w:val="single" w:sz="8" w:space="0" w:color="BABABA"/>
              <w:bottom w:val="single" w:sz="8" w:space="0" w:color="BABABA"/>
              <w:right w:val="single" w:sz="8" w:space="0" w:color="BABABA"/>
            </w:tcBorders>
            <w:hideMark/>
          </w:tcPr>
          <w:p w14:paraId="4915C772" w14:textId="77777777" w:rsidR="00BA160A" w:rsidRPr="00722521" w:rsidRDefault="00BA160A" w:rsidP="00A903E6">
            <w:pPr>
              <w:pStyle w:val="TableParagraph"/>
              <w:mirrorIndents/>
              <w:rPr>
                <w:szCs w:val="17"/>
              </w:rPr>
            </w:pPr>
            <w:r w:rsidRPr="00722521">
              <w:rPr>
                <w:w w:val="99"/>
                <w:szCs w:val="17"/>
              </w:rPr>
              <w:t>1</w:t>
            </w:r>
          </w:p>
          <w:p w14:paraId="6391359B" w14:textId="77777777" w:rsidR="00BA160A" w:rsidRPr="00722521" w:rsidRDefault="00BA160A" w:rsidP="00A903E6">
            <w:pPr>
              <w:pStyle w:val="TableParagraph"/>
              <w:ind w:hanging="56"/>
              <w:mirrorIndents/>
              <w:rPr>
                <w:szCs w:val="17"/>
              </w:rPr>
            </w:pPr>
            <w:r w:rsidRPr="00722521">
              <w:rPr>
                <w:szCs w:val="17"/>
              </w:rPr>
              <w:t>(less significant contribution</w:t>
            </w:r>
          </w:p>
        </w:tc>
        <w:tc>
          <w:tcPr>
            <w:tcW w:w="753" w:type="pct"/>
            <w:gridSpan w:val="3"/>
            <w:tcBorders>
              <w:top w:val="single" w:sz="8" w:space="0" w:color="BABABA"/>
              <w:left w:val="single" w:sz="8" w:space="0" w:color="BABABA"/>
              <w:bottom w:val="single" w:sz="8" w:space="0" w:color="BABABA"/>
              <w:right w:val="single" w:sz="8" w:space="0" w:color="BABABA"/>
            </w:tcBorders>
            <w:hideMark/>
          </w:tcPr>
          <w:p w14:paraId="54C2694D" w14:textId="77777777" w:rsidR="00BA160A" w:rsidRPr="00722521" w:rsidRDefault="00BA160A" w:rsidP="00A903E6">
            <w:pPr>
              <w:pStyle w:val="TableParagraph"/>
              <w:mirrorIndents/>
              <w:rPr>
                <w:szCs w:val="17"/>
              </w:rPr>
            </w:pPr>
            <w:r w:rsidRPr="00722521">
              <w:rPr>
                <w:w w:val="99"/>
                <w:szCs w:val="17"/>
              </w:rPr>
              <w:t>2</w:t>
            </w:r>
          </w:p>
          <w:p w14:paraId="414EA1B0" w14:textId="77777777" w:rsidR="00BA160A" w:rsidRPr="00722521" w:rsidRDefault="00BA160A" w:rsidP="00A903E6">
            <w:pPr>
              <w:pStyle w:val="TableParagraph"/>
              <w:ind w:hanging="56"/>
              <w:mirrorIndents/>
              <w:rPr>
                <w:szCs w:val="17"/>
              </w:rPr>
            </w:pPr>
            <w:r w:rsidRPr="00722521">
              <w:rPr>
                <w:szCs w:val="17"/>
              </w:rPr>
              <w:t>(not so significant contribution)</w:t>
            </w:r>
          </w:p>
        </w:tc>
        <w:tc>
          <w:tcPr>
            <w:tcW w:w="471" w:type="pct"/>
            <w:gridSpan w:val="2"/>
            <w:tcBorders>
              <w:top w:val="single" w:sz="8" w:space="0" w:color="BABABA"/>
              <w:left w:val="single" w:sz="8" w:space="0" w:color="BABABA"/>
              <w:bottom w:val="single" w:sz="8" w:space="0" w:color="BABABA"/>
              <w:right w:val="single" w:sz="8" w:space="0" w:color="BABABA"/>
            </w:tcBorders>
            <w:hideMark/>
          </w:tcPr>
          <w:p w14:paraId="009DBA4D" w14:textId="77777777" w:rsidR="00BA160A" w:rsidRPr="00722521" w:rsidRDefault="00BA160A" w:rsidP="00A903E6">
            <w:pPr>
              <w:pStyle w:val="TableParagraph"/>
              <w:mirrorIndents/>
              <w:rPr>
                <w:szCs w:val="17"/>
              </w:rPr>
            </w:pPr>
            <w:r w:rsidRPr="00722521">
              <w:rPr>
                <w:w w:val="99"/>
                <w:szCs w:val="17"/>
              </w:rPr>
              <w:t>3</w:t>
            </w:r>
          </w:p>
          <w:p w14:paraId="3E00DBE3" w14:textId="77777777" w:rsidR="00BA160A" w:rsidRPr="00722521" w:rsidRDefault="00BA160A" w:rsidP="00A903E6">
            <w:pPr>
              <w:pStyle w:val="TableParagraph"/>
              <w:mirrorIndents/>
              <w:rPr>
                <w:szCs w:val="17"/>
              </w:rPr>
            </w:pPr>
            <w:r w:rsidRPr="00722521">
              <w:rPr>
                <w:szCs w:val="17"/>
              </w:rPr>
              <w:t>(neutral)</w:t>
            </w:r>
          </w:p>
        </w:tc>
        <w:tc>
          <w:tcPr>
            <w:tcW w:w="706" w:type="pct"/>
            <w:gridSpan w:val="2"/>
            <w:tcBorders>
              <w:top w:val="single" w:sz="8" w:space="0" w:color="BABABA"/>
              <w:left w:val="single" w:sz="8" w:space="0" w:color="BABABA"/>
              <w:bottom w:val="single" w:sz="8" w:space="0" w:color="BABABA"/>
              <w:right w:val="single" w:sz="8" w:space="0" w:color="BABABA"/>
            </w:tcBorders>
            <w:hideMark/>
          </w:tcPr>
          <w:p w14:paraId="42006AFC" w14:textId="77777777" w:rsidR="00BA160A" w:rsidRPr="00722521" w:rsidRDefault="00BA160A" w:rsidP="00A903E6">
            <w:pPr>
              <w:pStyle w:val="TableParagraph"/>
              <w:mirrorIndents/>
              <w:rPr>
                <w:szCs w:val="17"/>
              </w:rPr>
            </w:pPr>
            <w:r w:rsidRPr="00722521">
              <w:rPr>
                <w:w w:val="99"/>
                <w:szCs w:val="17"/>
              </w:rPr>
              <w:t>4</w:t>
            </w:r>
          </w:p>
          <w:p w14:paraId="25150A7C" w14:textId="77777777" w:rsidR="00BA160A" w:rsidRPr="00722521" w:rsidRDefault="00BA160A" w:rsidP="00A903E6">
            <w:pPr>
              <w:pStyle w:val="TableParagraph"/>
              <w:ind w:hanging="54"/>
              <w:mirrorIndents/>
              <w:rPr>
                <w:szCs w:val="17"/>
              </w:rPr>
            </w:pPr>
            <w:r w:rsidRPr="00722521">
              <w:rPr>
                <w:szCs w:val="17"/>
              </w:rPr>
              <w:t>(significant contribution)</w:t>
            </w:r>
          </w:p>
        </w:tc>
        <w:tc>
          <w:tcPr>
            <w:tcW w:w="745" w:type="pct"/>
            <w:gridSpan w:val="2"/>
            <w:tcBorders>
              <w:top w:val="single" w:sz="8" w:space="0" w:color="BABABA"/>
              <w:left w:val="single" w:sz="8" w:space="0" w:color="BABABA"/>
              <w:bottom w:val="single" w:sz="8" w:space="0" w:color="BABABA"/>
              <w:right w:val="single" w:sz="8" w:space="0" w:color="BABABA"/>
            </w:tcBorders>
            <w:hideMark/>
          </w:tcPr>
          <w:p w14:paraId="333FEEB8" w14:textId="77777777" w:rsidR="00BA160A" w:rsidRPr="00722521" w:rsidRDefault="00BA160A" w:rsidP="00A903E6">
            <w:pPr>
              <w:pStyle w:val="TableParagraph"/>
              <w:mirrorIndents/>
              <w:rPr>
                <w:szCs w:val="17"/>
              </w:rPr>
            </w:pPr>
            <w:r w:rsidRPr="00722521">
              <w:rPr>
                <w:w w:val="99"/>
                <w:szCs w:val="17"/>
              </w:rPr>
              <w:t>5</w:t>
            </w:r>
          </w:p>
          <w:p w14:paraId="36B5E11C" w14:textId="77777777" w:rsidR="00BA160A" w:rsidRPr="00722521" w:rsidRDefault="00BA160A" w:rsidP="00A903E6">
            <w:pPr>
              <w:pStyle w:val="TableParagraph"/>
              <w:ind w:hanging="55"/>
              <w:mirrorIndents/>
              <w:rPr>
                <w:szCs w:val="17"/>
              </w:rPr>
            </w:pPr>
            <w:r w:rsidRPr="00722521">
              <w:rPr>
                <w:szCs w:val="17"/>
              </w:rPr>
              <w:t>(most significant contribution)</w:t>
            </w:r>
          </w:p>
        </w:tc>
        <w:tc>
          <w:tcPr>
            <w:tcW w:w="626" w:type="pct"/>
            <w:tcBorders>
              <w:top w:val="single" w:sz="8" w:space="0" w:color="BABABA"/>
              <w:left w:val="single" w:sz="8" w:space="0" w:color="BABABA"/>
              <w:bottom w:val="single" w:sz="8" w:space="0" w:color="BABABA"/>
              <w:right w:val="single" w:sz="8" w:space="0" w:color="BABABA"/>
            </w:tcBorders>
            <w:hideMark/>
          </w:tcPr>
          <w:p w14:paraId="7A89C7F5"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12C90B93" w14:textId="77777777" w:rsidR="00BA160A" w:rsidRPr="00722521" w:rsidRDefault="00BA160A" w:rsidP="00A903E6">
            <w:pPr>
              <w:pStyle w:val="TableParagraph"/>
              <w:ind w:hanging="1"/>
              <w:mirrorIndents/>
              <w:rPr>
                <w:szCs w:val="17"/>
              </w:rPr>
            </w:pPr>
            <w:r w:rsidRPr="00722521">
              <w:rPr>
                <w:szCs w:val="17"/>
              </w:rPr>
              <w:t>Not applicable</w:t>
            </w:r>
          </w:p>
        </w:tc>
      </w:tr>
      <w:tr w:rsidR="00436CD5" w:rsidRPr="00722521" w14:paraId="3C689EAB" w14:textId="77777777" w:rsidTr="00AA4E82">
        <w:trPr>
          <w:trHeight w:val="1134"/>
        </w:trPr>
        <w:tc>
          <w:tcPr>
            <w:tcW w:w="999" w:type="pct"/>
            <w:tcBorders>
              <w:top w:val="single" w:sz="8" w:space="0" w:color="BABABA"/>
              <w:left w:val="single" w:sz="8" w:space="0" w:color="BABABA"/>
              <w:bottom w:val="single" w:sz="8" w:space="0" w:color="BABABA"/>
              <w:right w:val="single" w:sz="8" w:space="0" w:color="BABABA"/>
            </w:tcBorders>
            <w:hideMark/>
          </w:tcPr>
          <w:p w14:paraId="03351DD3" w14:textId="77777777" w:rsidR="00BA160A" w:rsidRPr="00722521" w:rsidRDefault="00BA160A" w:rsidP="00A903E6">
            <w:pPr>
              <w:pStyle w:val="TableParagraph"/>
              <w:mirrorIndents/>
              <w:rPr>
                <w:szCs w:val="17"/>
              </w:rPr>
            </w:pPr>
            <w:r w:rsidRPr="00722521">
              <w:rPr>
                <w:szCs w:val="17"/>
              </w:rPr>
              <w:t>Promote the effective and efficient functioning of  colleges of supervisors</w:t>
            </w:r>
          </w:p>
        </w:tc>
        <w:tc>
          <w:tcPr>
            <w:tcW w:w="700" w:type="pct"/>
            <w:tcBorders>
              <w:top w:val="single" w:sz="8" w:space="0" w:color="BABABA"/>
              <w:left w:val="single" w:sz="8" w:space="0" w:color="BABABA"/>
              <w:bottom w:val="single" w:sz="8" w:space="0" w:color="BABABA"/>
              <w:right w:val="single" w:sz="8" w:space="0" w:color="BABABA"/>
            </w:tcBorders>
          </w:tcPr>
          <w:p w14:paraId="27C5D7FC" w14:textId="77777777" w:rsidR="00BA160A" w:rsidRPr="00722521" w:rsidRDefault="00BA160A" w:rsidP="00A903E6">
            <w:pPr>
              <w:pStyle w:val="TableParagraph"/>
              <w:mirrorIndents/>
              <w:rPr>
                <w:b/>
                <w:szCs w:val="17"/>
              </w:rPr>
            </w:pPr>
          </w:p>
        </w:tc>
        <w:tc>
          <w:tcPr>
            <w:tcW w:w="753" w:type="pct"/>
            <w:gridSpan w:val="3"/>
            <w:tcBorders>
              <w:top w:val="single" w:sz="8" w:space="0" w:color="BABABA"/>
              <w:left w:val="single" w:sz="8" w:space="0" w:color="BABABA"/>
              <w:bottom w:val="single" w:sz="8" w:space="0" w:color="BABABA"/>
              <w:right w:val="single" w:sz="8" w:space="0" w:color="BABABA"/>
            </w:tcBorders>
          </w:tcPr>
          <w:p w14:paraId="6BFB9817" w14:textId="1FDC8873" w:rsidR="00BA160A" w:rsidRPr="00722521" w:rsidRDefault="00BA160A" w:rsidP="00A903E6">
            <w:pPr>
              <w:pStyle w:val="TableParagraph"/>
              <w:mirrorIndents/>
              <w:rPr>
                <w:b/>
                <w:szCs w:val="17"/>
              </w:rPr>
            </w:pPr>
          </w:p>
        </w:tc>
        <w:tc>
          <w:tcPr>
            <w:tcW w:w="471" w:type="pct"/>
            <w:gridSpan w:val="2"/>
            <w:tcBorders>
              <w:top w:val="single" w:sz="8" w:space="0" w:color="BABABA"/>
              <w:left w:val="single" w:sz="8" w:space="0" w:color="BABABA"/>
              <w:bottom w:val="single" w:sz="8" w:space="0" w:color="BABABA"/>
              <w:right w:val="single" w:sz="8" w:space="0" w:color="BABABA"/>
            </w:tcBorders>
          </w:tcPr>
          <w:p w14:paraId="2E06AE61" w14:textId="4312D620" w:rsidR="00BA160A" w:rsidRPr="00722521" w:rsidRDefault="005A2E52" w:rsidP="00A903E6">
            <w:pPr>
              <w:pStyle w:val="TableParagraph"/>
              <w:mirrorIndents/>
              <w:rPr>
                <w:b/>
                <w:szCs w:val="17"/>
              </w:rPr>
            </w:pPr>
            <w:r w:rsidRPr="00722521">
              <w:rPr>
                <w:b/>
                <w:szCs w:val="17"/>
              </w:rPr>
              <w:t>x</w:t>
            </w:r>
          </w:p>
        </w:tc>
        <w:tc>
          <w:tcPr>
            <w:tcW w:w="706" w:type="pct"/>
            <w:gridSpan w:val="2"/>
            <w:tcBorders>
              <w:top w:val="single" w:sz="8" w:space="0" w:color="BABABA"/>
              <w:left w:val="single" w:sz="8" w:space="0" w:color="BABABA"/>
              <w:bottom w:val="single" w:sz="8" w:space="0" w:color="BABABA"/>
              <w:right w:val="single" w:sz="8" w:space="0" w:color="BABABA"/>
            </w:tcBorders>
          </w:tcPr>
          <w:p w14:paraId="515C9B2D" w14:textId="77777777" w:rsidR="00BA160A" w:rsidRPr="00722521" w:rsidRDefault="00BA160A" w:rsidP="00A903E6">
            <w:pPr>
              <w:pStyle w:val="TableParagraph"/>
              <w:mirrorIndents/>
              <w:rPr>
                <w:b/>
                <w:szCs w:val="17"/>
              </w:rPr>
            </w:pPr>
          </w:p>
        </w:tc>
        <w:tc>
          <w:tcPr>
            <w:tcW w:w="745" w:type="pct"/>
            <w:gridSpan w:val="2"/>
            <w:tcBorders>
              <w:top w:val="single" w:sz="8" w:space="0" w:color="BABABA"/>
              <w:left w:val="single" w:sz="8" w:space="0" w:color="BABABA"/>
              <w:bottom w:val="single" w:sz="8" w:space="0" w:color="BABABA"/>
              <w:right w:val="single" w:sz="8" w:space="0" w:color="BABABA"/>
            </w:tcBorders>
          </w:tcPr>
          <w:p w14:paraId="68B9E250" w14:textId="77777777" w:rsidR="00BA160A" w:rsidRPr="00722521" w:rsidRDefault="00BA160A" w:rsidP="00A903E6">
            <w:pPr>
              <w:pStyle w:val="TableParagraph"/>
              <w:mirrorIndents/>
              <w:rPr>
                <w:b/>
                <w:szCs w:val="17"/>
              </w:rPr>
            </w:pPr>
          </w:p>
        </w:tc>
        <w:tc>
          <w:tcPr>
            <w:tcW w:w="626" w:type="pct"/>
            <w:tcBorders>
              <w:top w:val="single" w:sz="8" w:space="0" w:color="BABABA"/>
              <w:left w:val="single" w:sz="8" w:space="0" w:color="BABABA"/>
              <w:bottom w:val="single" w:sz="8" w:space="0" w:color="BABABA"/>
              <w:right w:val="single" w:sz="8" w:space="0" w:color="BABABA"/>
            </w:tcBorders>
          </w:tcPr>
          <w:p w14:paraId="3E2C1684" w14:textId="77777777" w:rsidR="00BA160A" w:rsidRPr="00722521" w:rsidRDefault="00BA160A" w:rsidP="00A903E6">
            <w:pPr>
              <w:pStyle w:val="TableParagraph"/>
              <w:mirrorIndents/>
              <w:rPr>
                <w:b/>
                <w:szCs w:val="17"/>
              </w:rPr>
            </w:pPr>
          </w:p>
        </w:tc>
      </w:tr>
      <w:tr w:rsidR="00436CD5" w:rsidRPr="00722521" w14:paraId="67CC141F" w14:textId="77777777" w:rsidTr="00AA4E82">
        <w:trPr>
          <w:trHeight w:val="1134"/>
        </w:trPr>
        <w:tc>
          <w:tcPr>
            <w:tcW w:w="999" w:type="pct"/>
            <w:tcBorders>
              <w:top w:val="single" w:sz="8" w:space="0" w:color="BABABA"/>
              <w:left w:val="single" w:sz="8" w:space="0" w:color="BABABA"/>
              <w:bottom w:val="single" w:sz="8" w:space="0" w:color="BABABA"/>
              <w:right w:val="single" w:sz="8" w:space="0" w:color="BABABA"/>
            </w:tcBorders>
            <w:hideMark/>
          </w:tcPr>
          <w:p w14:paraId="149BE25C" w14:textId="77777777" w:rsidR="00BA160A" w:rsidRPr="00722521" w:rsidRDefault="00BA160A" w:rsidP="00A903E6">
            <w:pPr>
              <w:pStyle w:val="TableParagraph"/>
              <w:mirrorIndents/>
              <w:rPr>
                <w:szCs w:val="17"/>
              </w:rPr>
            </w:pPr>
            <w:r w:rsidRPr="00722521">
              <w:rPr>
                <w:szCs w:val="17"/>
              </w:rPr>
              <w:lastRenderedPageBreak/>
              <w:t>Foster consistency in the application of Union law among colleges</w:t>
            </w:r>
          </w:p>
        </w:tc>
        <w:tc>
          <w:tcPr>
            <w:tcW w:w="700" w:type="pct"/>
            <w:tcBorders>
              <w:top w:val="single" w:sz="8" w:space="0" w:color="BABABA"/>
              <w:left w:val="single" w:sz="8" w:space="0" w:color="BABABA"/>
              <w:bottom w:val="single" w:sz="8" w:space="0" w:color="BABABA"/>
              <w:right w:val="single" w:sz="8" w:space="0" w:color="BABABA"/>
            </w:tcBorders>
          </w:tcPr>
          <w:p w14:paraId="3B47ADE7" w14:textId="0A774B4D" w:rsidR="00BA160A" w:rsidRPr="00722521" w:rsidRDefault="00637792" w:rsidP="00A903E6">
            <w:pPr>
              <w:pStyle w:val="TableParagraph"/>
              <w:mirrorIndents/>
              <w:rPr>
                <w:b/>
                <w:szCs w:val="17"/>
              </w:rPr>
            </w:pPr>
            <w:r w:rsidRPr="00722521">
              <w:rPr>
                <w:b/>
                <w:szCs w:val="17"/>
              </w:rPr>
              <w:t>x</w:t>
            </w:r>
          </w:p>
        </w:tc>
        <w:tc>
          <w:tcPr>
            <w:tcW w:w="753" w:type="pct"/>
            <w:gridSpan w:val="3"/>
            <w:tcBorders>
              <w:top w:val="single" w:sz="8" w:space="0" w:color="BABABA"/>
              <w:left w:val="single" w:sz="8" w:space="0" w:color="BABABA"/>
              <w:bottom w:val="single" w:sz="8" w:space="0" w:color="BABABA"/>
              <w:right w:val="single" w:sz="8" w:space="0" w:color="BABABA"/>
            </w:tcBorders>
          </w:tcPr>
          <w:p w14:paraId="47E73F86" w14:textId="77777777" w:rsidR="00BA160A" w:rsidRPr="00722521" w:rsidRDefault="00BA160A" w:rsidP="00A903E6">
            <w:pPr>
              <w:pStyle w:val="TableParagraph"/>
              <w:mirrorIndents/>
              <w:rPr>
                <w:b/>
                <w:szCs w:val="17"/>
              </w:rPr>
            </w:pPr>
          </w:p>
        </w:tc>
        <w:tc>
          <w:tcPr>
            <w:tcW w:w="471" w:type="pct"/>
            <w:gridSpan w:val="2"/>
            <w:tcBorders>
              <w:top w:val="single" w:sz="8" w:space="0" w:color="BABABA"/>
              <w:left w:val="single" w:sz="8" w:space="0" w:color="BABABA"/>
              <w:bottom w:val="single" w:sz="8" w:space="0" w:color="BABABA"/>
              <w:right w:val="single" w:sz="8" w:space="0" w:color="BABABA"/>
            </w:tcBorders>
          </w:tcPr>
          <w:p w14:paraId="0D7CD1E6" w14:textId="77777777" w:rsidR="00BA160A" w:rsidRPr="00722521" w:rsidRDefault="00BA160A" w:rsidP="00A903E6">
            <w:pPr>
              <w:pStyle w:val="TableParagraph"/>
              <w:mirrorIndents/>
              <w:rPr>
                <w:b/>
                <w:szCs w:val="17"/>
              </w:rPr>
            </w:pPr>
          </w:p>
        </w:tc>
        <w:tc>
          <w:tcPr>
            <w:tcW w:w="706" w:type="pct"/>
            <w:gridSpan w:val="2"/>
            <w:tcBorders>
              <w:top w:val="single" w:sz="8" w:space="0" w:color="BABABA"/>
              <w:left w:val="single" w:sz="8" w:space="0" w:color="BABABA"/>
              <w:bottom w:val="single" w:sz="8" w:space="0" w:color="BABABA"/>
              <w:right w:val="single" w:sz="8" w:space="0" w:color="BABABA"/>
            </w:tcBorders>
          </w:tcPr>
          <w:p w14:paraId="088D0C58" w14:textId="77777777" w:rsidR="00BA160A" w:rsidRPr="00722521" w:rsidRDefault="00BA160A" w:rsidP="00A903E6">
            <w:pPr>
              <w:pStyle w:val="TableParagraph"/>
              <w:mirrorIndents/>
              <w:rPr>
                <w:b/>
                <w:szCs w:val="17"/>
              </w:rPr>
            </w:pPr>
          </w:p>
        </w:tc>
        <w:tc>
          <w:tcPr>
            <w:tcW w:w="745" w:type="pct"/>
            <w:gridSpan w:val="2"/>
            <w:tcBorders>
              <w:top w:val="single" w:sz="8" w:space="0" w:color="BABABA"/>
              <w:left w:val="single" w:sz="8" w:space="0" w:color="BABABA"/>
              <w:bottom w:val="single" w:sz="8" w:space="0" w:color="BABABA"/>
              <w:right w:val="single" w:sz="8" w:space="0" w:color="BABABA"/>
            </w:tcBorders>
          </w:tcPr>
          <w:p w14:paraId="261F50C1" w14:textId="77777777" w:rsidR="00BA160A" w:rsidRPr="00722521" w:rsidRDefault="00BA160A" w:rsidP="00A903E6">
            <w:pPr>
              <w:pStyle w:val="TableParagraph"/>
              <w:mirrorIndents/>
              <w:rPr>
                <w:b/>
                <w:szCs w:val="17"/>
              </w:rPr>
            </w:pPr>
          </w:p>
        </w:tc>
        <w:tc>
          <w:tcPr>
            <w:tcW w:w="626" w:type="pct"/>
            <w:tcBorders>
              <w:top w:val="single" w:sz="8" w:space="0" w:color="BABABA"/>
              <w:left w:val="single" w:sz="8" w:space="0" w:color="BABABA"/>
              <w:bottom w:val="single" w:sz="8" w:space="0" w:color="BABABA"/>
              <w:right w:val="single" w:sz="8" w:space="0" w:color="BABABA"/>
            </w:tcBorders>
          </w:tcPr>
          <w:p w14:paraId="1A69CC37" w14:textId="77777777" w:rsidR="00BA160A" w:rsidRPr="00722521" w:rsidRDefault="00BA160A" w:rsidP="00A903E6">
            <w:pPr>
              <w:pStyle w:val="TableParagraph"/>
              <w:mirrorIndents/>
              <w:rPr>
                <w:b/>
                <w:szCs w:val="17"/>
              </w:rPr>
            </w:pPr>
          </w:p>
        </w:tc>
      </w:tr>
      <w:tr w:rsidR="00A903E6" w:rsidRPr="00722521" w14:paraId="47DCC62F" w14:textId="77777777" w:rsidTr="00AA4E82">
        <w:trPr>
          <w:trHeight w:val="1134"/>
        </w:trPr>
        <w:tc>
          <w:tcPr>
            <w:tcW w:w="999" w:type="pct"/>
            <w:tcBorders>
              <w:top w:val="single" w:sz="8" w:space="0" w:color="BABABA"/>
              <w:left w:val="single" w:sz="8" w:space="0" w:color="BABABA"/>
              <w:bottom w:val="single" w:sz="8" w:space="0" w:color="BABABA"/>
              <w:right w:val="single" w:sz="8" w:space="0" w:color="BABABA"/>
            </w:tcBorders>
            <w:hideMark/>
          </w:tcPr>
          <w:p w14:paraId="1B2CE7AB" w14:textId="77777777" w:rsidR="00BA160A" w:rsidRPr="00722521" w:rsidRDefault="00BA160A" w:rsidP="00A903E6">
            <w:pPr>
              <w:pStyle w:val="TableParagraph"/>
              <w:mirrorIndents/>
              <w:rPr>
                <w:szCs w:val="17"/>
              </w:rPr>
            </w:pPr>
            <w:r w:rsidRPr="00722521">
              <w:rPr>
                <w:szCs w:val="17"/>
              </w:rPr>
              <w:t>Promote converging supervisory practices among colleges</w:t>
            </w:r>
          </w:p>
        </w:tc>
        <w:tc>
          <w:tcPr>
            <w:tcW w:w="711" w:type="pct"/>
            <w:gridSpan w:val="2"/>
            <w:tcBorders>
              <w:top w:val="single" w:sz="8" w:space="0" w:color="BABABA"/>
              <w:left w:val="single" w:sz="8" w:space="0" w:color="BABABA"/>
              <w:bottom w:val="single" w:sz="8" w:space="0" w:color="BABABA"/>
              <w:right w:val="single" w:sz="8" w:space="0" w:color="BABABA"/>
            </w:tcBorders>
          </w:tcPr>
          <w:p w14:paraId="1937CB6A" w14:textId="77777777" w:rsidR="00BA160A" w:rsidRPr="00722521" w:rsidRDefault="00BA160A" w:rsidP="00A903E6">
            <w:pPr>
              <w:pStyle w:val="TableParagraph"/>
              <w:mirrorIndents/>
              <w:rPr>
                <w:b/>
                <w:szCs w:val="17"/>
              </w:rPr>
            </w:pPr>
          </w:p>
        </w:tc>
        <w:tc>
          <w:tcPr>
            <w:tcW w:w="725" w:type="pct"/>
            <w:tcBorders>
              <w:top w:val="single" w:sz="8" w:space="0" w:color="BABABA"/>
              <w:left w:val="single" w:sz="8" w:space="0" w:color="BABABA"/>
              <w:bottom w:val="single" w:sz="8" w:space="0" w:color="BABABA"/>
              <w:right w:val="single" w:sz="8" w:space="0" w:color="BABABA"/>
            </w:tcBorders>
          </w:tcPr>
          <w:p w14:paraId="7A3A6039" w14:textId="77777777" w:rsidR="00BA160A" w:rsidRPr="00722521" w:rsidRDefault="00BA160A" w:rsidP="00A903E6">
            <w:pPr>
              <w:pStyle w:val="TableParagraph"/>
              <w:mirrorIndents/>
              <w:rPr>
                <w:b/>
                <w:szCs w:val="17"/>
              </w:rPr>
            </w:pPr>
          </w:p>
        </w:tc>
        <w:tc>
          <w:tcPr>
            <w:tcW w:w="462" w:type="pct"/>
            <w:gridSpan w:val="2"/>
            <w:tcBorders>
              <w:top w:val="single" w:sz="8" w:space="0" w:color="BABABA"/>
              <w:left w:val="single" w:sz="8" w:space="0" w:color="BABABA"/>
              <w:bottom w:val="single" w:sz="8" w:space="0" w:color="BABABA"/>
              <w:right w:val="single" w:sz="8" w:space="0" w:color="BABABA"/>
            </w:tcBorders>
          </w:tcPr>
          <w:p w14:paraId="6E2BA2A5" w14:textId="77777777" w:rsidR="00BA160A" w:rsidRPr="00722521" w:rsidRDefault="00BA160A" w:rsidP="00A903E6">
            <w:pPr>
              <w:pStyle w:val="TableParagraph"/>
              <w:mirrorIndents/>
              <w:rPr>
                <w:b/>
                <w:szCs w:val="17"/>
              </w:rPr>
            </w:pPr>
          </w:p>
        </w:tc>
        <w:tc>
          <w:tcPr>
            <w:tcW w:w="725" w:type="pct"/>
            <w:gridSpan w:val="2"/>
            <w:tcBorders>
              <w:top w:val="single" w:sz="8" w:space="0" w:color="BABABA"/>
              <w:left w:val="single" w:sz="8" w:space="0" w:color="BABABA"/>
              <w:bottom w:val="single" w:sz="8" w:space="0" w:color="BABABA"/>
              <w:right w:val="single" w:sz="8" w:space="0" w:color="BABABA"/>
            </w:tcBorders>
          </w:tcPr>
          <w:p w14:paraId="7DC36D99" w14:textId="13CE8044" w:rsidR="00BA160A" w:rsidRPr="00722521" w:rsidRDefault="00637792" w:rsidP="00A903E6">
            <w:pPr>
              <w:pStyle w:val="TableParagraph"/>
              <w:mirrorIndents/>
              <w:rPr>
                <w:b/>
                <w:szCs w:val="17"/>
              </w:rPr>
            </w:pPr>
            <w:r w:rsidRPr="00722521">
              <w:rPr>
                <w:b/>
                <w:szCs w:val="17"/>
              </w:rPr>
              <w:t>x</w:t>
            </w:r>
          </w:p>
        </w:tc>
        <w:tc>
          <w:tcPr>
            <w:tcW w:w="725" w:type="pct"/>
            <w:gridSpan w:val="2"/>
            <w:tcBorders>
              <w:top w:val="single" w:sz="8" w:space="0" w:color="BABABA"/>
              <w:left w:val="single" w:sz="8" w:space="0" w:color="BABABA"/>
              <w:bottom w:val="single" w:sz="8" w:space="0" w:color="BABABA"/>
              <w:right w:val="single" w:sz="8" w:space="0" w:color="BABABA"/>
            </w:tcBorders>
          </w:tcPr>
          <w:p w14:paraId="5890F0F8" w14:textId="77777777" w:rsidR="00BA160A" w:rsidRPr="00722521" w:rsidRDefault="00BA160A" w:rsidP="00A903E6">
            <w:pPr>
              <w:pStyle w:val="TableParagraph"/>
              <w:mirrorIndents/>
              <w:rPr>
                <w:b/>
                <w:szCs w:val="17"/>
              </w:rPr>
            </w:pPr>
          </w:p>
        </w:tc>
        <w:tc>
          <w:tcPr>
            <w:tcW w:w="653" w:type="pct"/>
            <w:gridSpan w:val="2"/>
            <w:tcBorders>
              <w:top w:val="single" w:sz="8" w:space="0" w:color="BABABA"/>
              <w:left w:val="single" w:sz="8" w:space="0" w:color="BABABA"/>
              <w:bottom w:val="single" w:sz="8" w:space="0" w:color="BABABA"/>
              <w:right w:val="single" w:sz="8" w:space="0" w:color="BABABA"/>
            </w:tcBorders>
          </w:tcPr>
          <w:p w14:paraId="5E6445F6" w14:textId="77777777" w:rsidR="00BA160A" w:rsidRPr="00722521" w:rsidRDefault="00BA160A" w:rsidP="00A903E6">
            <w:pPr>
              <w:pStyle w:val="TableParagraph"/>
              <w:mirrorIndents/>
              <w:rPr>
                <w:b/>
                <w:szCs w:val="17"/>
              </w:rPr>
            </w:pPr>
          </w:p>
        </w:tc>
      </w:tr>
    </w:tbl>
    <w:p w14:paraId="7BABCE6A" w14:textId="77777777" w:rsidR="00BA160A" w:rsidRPr="00722521" w:rsidRDefault="00BA160A" w:rsidP="00A903E6">
      <w:pPr>
        <w:pStyle w:val="Textkrper"/>
        <w:mirrorIndents/>
        <w:rPr>
          <w:rFonts w:ascii="Verdana" w:hAnsi="Verdana"/>
          <w:sz w:val="17"/>
          <w:szCs w:val="17"/>
        </w:rPr>
      </w:pPr>
    </w:p>
    <w:p w14:paraId="091AB471" w14:textId="77777777" w:rsidR="00BA160A" w:rsidRPr="00722521" w:rsidRDefault="00BA160A" w:rsidP="00740472">
      <w:pPr>
        <w:pStyle w:val="Textkrper"/>
        <w:ind w:left="0"/>
        <w:mirrorIndents/>
        <w:rPr>
          <w:rFonts w:ascii="Verdana" w:hAnsi="Verdana"/>
          <w:sz w:val="17"/>
          <w:szCs w:val="17"/>
        </w:rPr>
      </w:pPr>
      <w:r w:rsidRPr="00722521">
        <w:rPr>
          <w:rFonts w:ascii="Verdana" w:hAnsi="Verdana"/>
          <w:sz w:val="17"/>
          <w:szCs w:val="17"/>
          <w:highlight w:val="lightGray"/>
        </w:rPr>
        <w:t>Please explain your reasoning when answering question 1.1.3 on EIOPA:</w:t>
      </w:r>
    </w:p>
    <w:p w14:paraId="4A91FF61" w14:textId="6C1A02F4" w:rsidR="00BA160A" w:rsidRPr="00722521" w:rsidRDefault="00BA160A" w:rsidP="00A903E6">
      <w:pPr>
        <w:mirrorIndents/>
        <w:rPr>
          <w:sz w:val="17"/>
          <w:szCs w:val="17"/>
        </w:rPr>
      </w:pPr>
    </w:p>
    <w:p w14:paraId="0A4C0395" w14:textId="17C863C8" w:rsidR="00637792" w:rsidRPr="00722521" w:rsidRDefault="00637792" w:rsidP="00637792">
      <w:pPr>
        <w:mirrorIndents/>
        <w:rPr>
          <w:sz w:val="17"/>
          <w:szCs w:val="17"/>
        </w:rPr>
      </w:pPr>
      <w:r w:rsidRPr="00722521">
        <w:rPr>
          <w:sz w:val="17"/>
          <w:szCs w:val="17"/>
        </w:rPr>
        <w:t xml:space="preserve">Overall, </w:t>
      </w:r>
      <w:r w:rsidR="00722521">
        <w:rPr>
          <w:sz w:val="17"/>
          <w:szCs w:val="17"/>
        </w:rPr>
        <w:t>VVO</w:t>
      </w:r>
      <w:r w:rsidRPr="00722521">
        <w:rPr>
          <w:sz w:val="17"/>
          <w:szCs w:val="17"/>
        </w:rPr>
        <w:t xml:space="preserve"> considers the colleges of supervisors to function very well. Therefore, the role of EIOPA should focus on a consistent application of regulation and standards across colleges. </w:t>
      </w:r>
      <w:r w:rsidR="00704566" w:rsidRPr="00722521">
        <w:rPr>
          <w:sz w:val="17"/>
          <w:szCs w:val="17"/>
        </w:rPr>
        <w:t>W</w:t>
      </w:r>
      <w:r w:rsidRPr="00722521">
        <w:rPr>
          <w:sz w:val="17"/>
          <w:szCs w:val="17"/>
        </w:rPr>
        <w:t xml:space="preserve">here EIOPA considers divergence, non-application or arbitrary application of regulations and standards, </w:t>
      </w:r>
      <w:r w:rsidR="005A2E52" w:rsidRPr="00722521">
        <w:rPr>
          <w:sz w:val="17"/>
          <w:szCs w:val="17"/>
        </w:rPr>
        <w:t>it</w:t>
      </w:r>
      <w:r w:rsidRPr="00722521">
        <w:rPr>
          <w:sz w:val="17"/>
          <w:szCs w:val="17"/>
        </w:rPr>
        <w:t xml:space="preserve"> should raise such issues in its role as observer and participant in the colleges.</w:t>
      </w:r>
    </w:p>
    <w:p w14:paraId="21321EAF" w14:textId="77777777" w:rsidR="00637792" w:rsidRPr="00722521" w:rsidRDefault="00637792" w:rsidP="00637792">
      <w:pPr>
        <w:mirrorIndents/>
        <w:rPr>
          <w:sz w:val="17"/>
          <w:szCs w:val="17"/>
        </w:rPr>
      </w:pPr>
    </w:p>
    <w:p w14:paraId="1ACFD1DB" w14:textId="3BE4B5D2" w:rsidR="00637792" w:rsidRPr="00722521" w:rsidRDefault="00637792" w:rsidP="00637792">
      <w:pPr>
        <w:mirrorIndents/>
        <w:rPr>
          <w:sz w:val="17"/>
          <w:szCs w:val="17"/>
        </w:rPr>
      </w:pPr>
      <w:r w:rsidRPr="00722521">
        <w:rPr>
          <w:sz w:val="17"/>
          <w:szCs w:val="17"/>
        </w:rPr>
        <w:t>In addition, EIOPA can facilitate the proper exchange of information and cooperation in the colleges.</w:t>
      </w:r>
    </w:p>
    <w:p w14:paraId="78723AF9" w14:textId="77777777" w:rsidR="0059020D" w:rsidRPr="00722521" w:rsidRDefault="0059020D" w:rsidP="0059020D">
      <w:pPr>
        <w:mirrorIndents/>
        <w:rPr>
          <w:sz w:val="17"/>
          <w:szCs w:val="17"/>
        </w:rPr>
      </w:pPr>
    </w:p>
    <w:p w14:paraId="5DFF01A8" w14:textId="2DD829BE" w:rsidR="00BA160A" w:rsidRPr="00722521" w:rsidRDefault="00BA160A" w:rsidP="00A903E6">
      <w:pPr>
        <w:mirrorIndents/>
        <w:rPr>
          <w:rFonts w:eastAsia="Arial" w:cs="Arial"/>
          <w:b/>
          <w:bCs/>
          <w:sz w:val="17"/>
          <w:szCs w:val="17"/>
          <w:lang w:val="en-US"/>
        </w:rPr>
      </w:pPr>
      <w:r w:rsidRPr="00722521">
        <w:rPr>
          <w:rFonts w:eastAsia="Arial" w:cs="Arial"/>
          <w:b/>
          <w:bCs/>
          <w:sz w:val="17"/>
          <w:szCs w:val="17"/>
          <w:lang w:val="en-US"/>
        </w:rPr>
        <w:t>In the framework of the 2019 ESAs review:</w:t>
      </w:r>
    </w:p>
    <w:p w14:paraId="1AEF6692" w14:textId="77777777" w:rsidR="00BA160A" w:rsidRPr="00722521" w:rsidRDefault="00BA160A" w:rsidP="00A903E6">
      <w:pPr>
        <w:pStyle w:val="Textkrper"/>
        <w:mirrorIndents/>
        <w:rPr>
          <w:rFonts w:ascii="Verdana" w:hAnsi="Verdana"/>
          <w:sz w:val="17"/>
          <w:szCs w:val="17"/>
        </w:rPr>
      </w:pPr>
    </w:p>
    <w:p w14:paraId="6D3EAF07" w14:textId="77777777" w:rsidR="00BA160A" w:rsidRPr="00722521" w:rsidRDefault="00BA160A" w:rsidP="00A903E6">
      <w:pPr>
        <w:pStyle w:val="Textkrper"/>
        <w:ind w:left="0"/>
        <w:mirrorIndents/>
        <w:rPr>
          <w:rFonts w:ascii="Verdana" w:hAnsi="Verdana"/>
          <w:sz w:val="17"/>
          <w:szCs w:val="17"/>
        </w:rPr>
      </w:pPr>
      <w:r w:rsidRPr="00722521">
        <w:rPr>
          <w:rFonts w:ascii="Verdana" w:hAnsi="Verdana"/>
          <w:sz w:val="17"/>
          <w:szCs w:val="17"/>
          <w:highlight w:val="lightGray"/>
        </w:rPr>
        <w:t>Question 1.1.4 How do you assess the new process for questions and answers (Article 16b)?</w:t>
      </w:r>
    </w:p>
    <w:p w14:paraId="75EB020E" w14:textId="77777777" w:rsidR="005A2E52" w:rsidRPr="00722521" w:rsidRDefault="005A2E52" w:rsidP="00637792">
      <w:pPr>
        <w:mirrorIndents/>
        <w:rPr>
          <w:sz w:val="17"/>
          <w:szCs w:val="17"/>
          <w:highlight w:val="yellow"/>
        </w:rPr>
      </w:pPr>
    </w:p>
    <w:p w14:paraId="37228573" w14:textId="77777777" w:rsidR="005A2E52" w:rsidRPr="00722521" w:rsidRDefault="005A2E52" w:rsidP="00637792">
      <w:pPr>
        <w:mirrorIndents/>
        <w:rPr>
          <w:sz w:val="17"/>
          <w:szCs w:val="17"/>
          <w:highlight w:val="yellow"/>
        </w:rPr>
      </w:pPr>
    </w:p>
    <w:p w14:paraId="3682A90B" w14:textId="48BB0A35" w:rsidR="00637792" w:rsidRPr="00722521" w:rsidRDefault="00722521" w:rsidP="00637792">
      <w:pPr>
        <w:mirrorIndents/>
        <w:rPr>
          <w:sz w:val="17"/>
          <w:szCs w:val="17"/>
        </w:rPr>
      </w:pPr>
      <w:r>
        <w:rPr>
          <w:sz w:val="17"/>
          <w:szCs w:val="17"/>
        </w:rPr>
        <w:t>VVO</w:t>
      </w:r>
      <w:r w:rsidR="00637792" w:rsidRPr="00722521">
        <w:rPr>
          <w:sz w:val="17"/>
          <w:szCs w:val="17"/>
        </w:rPr>
        <w:t xml:space="preserve"> believes that the new provisions as laid down in Article 16b </w:t>
      </w:r>
      <w:r w:rsidR="005A2E52" w:rsidRPr="00722521">
        <w:rPr>
          <w:sz w:val="17"/>
          <w:szCs w:val="17"/>
        </w:rPr>
        <w:t xml:space="preserve">of </w:t>
      </w:r>
      <w:r w:rsidR="00637792" w:rsidRPr="00722521">
        <w:rPr>
          <w:sz w:val="17"/>
          <w:szCs w:val="17"/>
        </w:rPr>
        <w:t>EIOPA</w:t>
      </w:r>
      <w:r w:rsidR="005A2E52" w:rsidRPr="00722521">
        <w:rPr>
          <w:sz w:val="17"/>
          <w:szCs w:val="17"/>
        </w:rPr>
        <w:t xml:space="preserve"> r</w:t>
      </w:r>
      <w:r w:rsidR="00637792" w:rsidRPr="00722521">
        <w:rPr>
          <w:sz w:val="17"/>
          <w:szCs w:val="17"/>
        </w:rPr>
        <w:t xml:space="preserve">egulation </w:t>
      </w:r>
      <w:r w:rsidR="00B77012" w:rsidRPr="00722521">
        <w:rPr>
          <w:sz w:val="17"/>
          <w:szCs w:val="17"/>
        </w:rPr>
        <w:t>should</w:t>
      </w:r>
      <w:r w:rsidR="00637792" w:rsidRPr="00722521">
        <w:rPr>
          <w:sz w:val="17"/>
          <w:szCs w:val="17"/>
        </w:rPr>
        <w:t xml:space="preserve"> improve the processes. The integration of a right for three </w:t>
      </w:r>
      <w:proofErr w:type="spellStart"/>
      <w:r w:rsidR="00637792" w:rsidRPr="00722521">
        <w:rPr>
          <w:sz w:val="17"/>
          <w:szCs w:val="17"/>
        </w:rPr>
        <w:t>BoS</w:t>
      </w:r>
      <w:proofErr w:type="spellEnd"/>
      <w:r w:rsidR="00637792" w:rsidRPr="00722521">
        <w:rPr>
          <w:sz w:val="17"/>
          <w:szCs w:val="17"/>
        </w:rPr>
        <w:t xml:space="preserve"> members to request addressing the issue of the admissible question in guidelines pursuant to Article 16 EIOPA</w:t>
      </w:r>
      <w:r w:rsidR="005A2E52" w:rsidRPr="00722521">
        <w:rPr>
          <w:sz w:val="17"/>
          <w:szCs w:val="17"/>
        </w:rPr>
        <w:t xml:space="preserve"> r</w:t>
      </w:r>
      <w:r w:rsidR="00637792" w:rsidRPr="00722521">
        <w:rPr>
          <w:sz w:val="17"/>
          <w:szCs w:val="17"/>
        </w:rPr>
        <w:t>egulation, to request advice from the Stakeholder Group referred to in Article 37 EIOPA</w:t>
      </w:r>
      <w:r w:rsidR="005A2E52" w:rsidRPr="00722521">
        <w:rPr>
          <w:sz w:val="17"/>
          <w:szCs w:val="17"/>
        </w:rPr>
        <w:t xml:space="preserve"> r</w:t>
      </w:r>
      <w:r w:rsidR="00637792" w:rsidRPr="00722521">
        <w:rPr>
          <w:sz w:val="17"/>
          <w:szCs w:val="17"/>
        </w:rPr>
        <w:t xml:space="preserve">egulation, to review questions and answers at appropriate intervals, to conduct open public consultations or to analyse potential related costs and benefits in the new Article 16b increases checks and balances and the credibility of the Q&amp;As. </w:t>
      </w:r>
    </w:p>
    <w:p w14:paraId="4D9BE06A" w14:textId="77777777" w:rsidR="00637792" w:rsidRPr="00722521" w:rsidRDefault="00637792" w:rsidP="00637792">
      <w:pPr>
        <w:mirrorIndents/>
        <w:rPr>
          <w:sz w:val="17"/>
          <w:szCs w:val="17"/>
        </w:rPr>
      </w:pPr>
    </w:p>
    <w:p w14:paraId="6FFD1F0B" w14:textId="2CC99CBD" w:rsidR="00637792" w:rsidRPr="00722521" w:rsidRDefault="00637792" w:rsidP="00637792">
      <w:pPr>
        <w:mirrorIndents/>
        <w:rPr>
          <w:sz w:val="17"/>
          <w:szCs w:val="17"/>
        </w:rPr>
      </w:pPr>
      <w:r w:rsidRPr="00722521">
        <w:rPr>
          <w:sz w:val="17"/>
          <w:szCs w:val="17"/>
        </w:rPr>
        <w:t xml:space="preserve">In order to strengthen checks &amp; balances, </w:t>
      </w:r>
      <w:r w:rsidR="00722521">
        <w:rPr>
          <w:sz w:val="17"/>
          <w:szCs w:val="17"/>
        </w:rPr>
        <w:t>VVO</w:t>
      </w:r>
      <w:r w:rsidRPr="00722521">
        <w:rPr>
          <w:sz w:val="17"/>
          <w:szCs w:val="17"/>
        </w:rPr>
        <w:t xml:space="preserve"> believes that a provision accompanying the one of Article 16b (4) should be foreseen for a pro-active engagement of the </w:t>
      </w:r>
      <w:r w:rsidR="00D54B93" w:rsidRPr="00722521">
        <w:rPr>
          <w:sz w:val="17"/>
          <w:szCs w:val="17"/>
        </w:rPr>
        <w:t>stakeholder</w:t>
      </w:r>
      <w:r w:rsidR="00725F87" w:rsidRPr="00722521">
        <w:rPr>
          <w:sz w:val="17"/>
          <w:szCs w:val="17"/>
        </w:rPr>
        <w:t>s</w:t>
      </w:r>
      <w:r w:rsidR="00D54B93" w:rsidRPr="00722521">
        <w:rPr>
          <w:sz w:val="17"/>
          <w:szCs w:val="17"/>
        </w:rPr>
        <w:t xml:space="preserve"> </w:t>
      </w:r>
      <w:r w:rsidRPr="00722521">
        <w:rPr>
          <w:sz w:val="17"/>
          <w:szCs w:val="17"/>
        </w:rPr>
        <w:t>groups. Where one third of the members of the IRSG/OPSG decides that it want to provide advice on a question or the suggested answer, EIOPA should take this advice into account when developing the final answer. EIOPA should regularly inform the IRSG/OPSG about the questions which it receives and, where advice is provided by the IRSG/OPSG, how this advice was taken into account when answering the question.</w:t>
      </w:r>
    </w:p>
    <w:p w14:paraId="5C9CCF59" w14:textId="77777777" w:rsidR="00637792" w:rsidRPr="00722521" w:rsidRDefault="00637792" w:rsidP="00637792">
      <w:pPr>
        <w:mirrorIndents/>
        <w:rPr>
          <w:sz w:val="17"/>
          <w:szCs w:val="17"/>
        </w:rPr>
      </w:pPr>
    </w:p>
    <w:p w14:paraId="06CB67F8" w14:textId="7C53B553" w:rsidR="00637792" w:rsidRPr="00722521" w:rsidRDefault="00722521" w:rsidP="00637792">
      <w:pPr>
        <w:mirrorIndents/>
        <w:rPr>
          <w:sz w:val="17"/>
          <w:szCs w:val="17"/>
        </w:rPr>
      </w:pPr>
      <w:r>
        <w:rPr>
          <w:sz w:val="17"/>
          <w:szCs w:val="17"/>
        </w:rPr>
        <w:t>VVO</w:t>
      </w:r>
      <w:r w:rsidR="00637792" w:rsidRPr="00722521">
        <w:rPr>
          <w:sz w:val="17"/>
          <w:szCs w:val="17"/>
        </w:rPr>
        <w:t xml:space="preserve"> further stresses the importance </w:t>
      </w:r>
      <w:r w:rsidR="00B77012" w:rsidRPr="00722521">
        <w:rPr>
          <w:sz w:val="17"/>
          <w:szCs w:val="17"/>
        </w:rPr>
        <w:t>that</w:t>
      </w:r>
      <w:r w:rsidR="00637792" w:rsidRPr="00722521">
        <w:rPr>
          <w:sz w:val="17"/>
          <w:szCs w:val="17"/>
        </w:rPr>
        <w:t xml:space="preserve"> EIOPA forwards questions which require the interpretation of Union Law to the European Commission</w:t>
      </w:r>
      <w:r w:rsidR="00B77012" w:rsidRPr="00722521">
        <w:rPr>
          <w:sz w:val="17"/>
          <w:szCs w:val="17"/>
        </w:rPr>
        <w:t xml:space="preserve"> (Article 16b (5))</w:t>
      </w:r>
      <w:r w:rsidR="00637792" w:rsidRPr="00722521">
        <w:rPr>
          <w:sz w:val="17"/>
          <w:szCs w:val="17"/>
        </w:rPr>
        <w:t xml:space="preserve">. </w:t>
      </w:r>
      <w:r w:rsidR="00B77012" w:rsidRPr="00722521">
        <w:rPr>
          <w:sz w:val="17"/>
          <w:szCs w:val="17"/>
        </w:rPr>
        <w:t>T</w:t>
      </w:r>
      <w:r w:rsidR="00637792" w:rsidRPr="00722521">
        <w:rPr>
          <w:sz w:val="17"/>
          <w:szCs w:val="17"/>
        </w:rPr>
        <w:t xml:space="preserve">he extent to which EIOPA’s answers might require such an interpretation </w:t>
      </w:r>
      <w:r w:rsidR="00B77012" w:rsidRPr="00722521">
        <w:rPr>
          <w:sz w:val="17"/>
          <w:szCs w:val="17"/>
        </w:rPr>
        <w:t>should be</w:t>
      </w:r>
      <w:r w:rsidR="00637792" w:rsidRPr="00722521">
        <w:rPr>
          <w:sz w:val="17"/>
          <w:szCs w:val="17"/>
        </w:rPr>
        <w:t xml:space="preserve"> carefully considered, given </w:t>
      </w:r>
      <w:r w:rsidR="00B77012" w:rsidRPr="00722521">
        <w:rPr>
          <w:sz w:val="17"/>
          <w:szCs w:val="17"/>
        </w:rPr>
        <w:t>their</w:t>
      </w:r>
      <w:r w:rsidR="00637792" w:rsidRPr="00722521">
        <w:rPr>
          <w:sz w:val="17"/>
          <w:szCs w:val="17"/>
        </w:rPr>
        <w:t xml:space="preserve"> potential impact. </w:t>
      </w:r>
      <w:r w:rsidR="00B77012" w:rsidRPr="00722521">
        <w:rPr>
          <w:sz w:val="17"/>
          <w:szCs w:val="17"/>
        </w:rPr>
        <w:t>T</w:t>
      </w:r>
      <w:r w:rsidR="00637792" w:rsidRPr="00722521">
        <w:rPr>
          <w:sz w:val="17"/>
          <w:szCs w:val="17"/>
        </w:rPr>
        <w:t>his provision should apply to answers which might have a material impact on the own funds position of insurance undertakings orb calibration of risks.</w:t>
      </w:r>
    </w:p>
    <w:p w14:paraId="0DB45814" w14:textId="3D999328" w:rsidR="00B77012" w:rsidRPr="00722521" w:rsidRDefault="00B77012" w:rsidP="00637792">
      <w:pPr>
        <w:mirrorIndents/>
        <w:rPr>
          <w:sz w:val="17"/>
          <w:szCs w:val="17"/>
          <w:highlight w:val="yellow"/>
        </w:rPr>
      </w:pPr>
    </w:p>
    <w:p w14:paraId="6D840AE3" w14:textId="2D2A5AA3" w:rsidR="00B77012" w:rsidRPr="00722521" w:rsidRDefault="00B77012" w:rsidP="00B77012">
      <w:pPr>
        <w:mirrorIndents/>
        <w:rPr>
          <w:sz w:val="17"/>
          <w:szCs w:val="17"/>
        </w:rPr>
      </w:pPr>
      <w:r w:rsidRPr="00722521">
        <w:rPr>
          <w:sz w:val="17"/>
          <w:szCs w:val="17"/>
        </w:rPr>
        <w:t xml:space="preserve">For example, the response to Q&amp;A 1788 was been changed in March 2020, without particular communication. </w:t>
      </w:r>
      <w:r w:rsidR="00722521">
        <w:rPr>
          <w:sz w:val="17"/>
          <w:szCs w:val="17"/>
        </w:rPr>
        <w:t>VVO</w:t>
      </w:r>
      <w:r w:rsidRPr="00722521">
        <w:rPr>
          <w:sz w:val="17"/>
          <w:szCs w:val="17"/>
        </w:rPr>
        <w:t xml:space="preserve"> has concerns with both the lack of transparency of the process by which this has taken place and also the new content of the Q&amp;A because it deviates from a risk-based approach and leads to unnecessary and unjustifiable increases in capital.</w:t>
      </w:r>
    </w:p>
    <w:p w14:paraId="7DA2A936" w14:textId="77777777" w:rsidR="00B77012" w:rsidRPr="00722521" w:rsidRDefault="00B77012" w:rsidP="00B77012">
      <w:pPr>
        <w:mirrorIndents/>
        <w:rPr>
          <w:sz w:val="17"/>
          <w:szCs w:val="17"/>
        </w:rPr>
      </w:pPr>
    </w:p>
    <w:p w14:paraId="6F6CCCA8" w14:textId="51C83928" w:rsidR="00B77012" w:rsidRPr="00722521" w:rsidRDefault="00B77012" w:rsidP="00B77012">
      <w:pPr>
        <w:mirrorIndents/>
        <w:rPr>
          <w:sz w:val="17"/>
          <w:szCs w:val="17"/>
        </w:rPr>
      </w:pPr>
      <w:r w:rsidRPr="00722521">
        <w:rPr>
          <w:sz w:val="17"/>
          <w:szCs w:val="17"/>
        </w:rPr>
        <w:lastRenderedPageBreak/>
        <w:t>As a consequence, several NSAs have changed requirements regarding the inclusion of expenses for SCR calculation for life expense risk. While the impact varies significantly across markets it is very material in a number of cases</w:t>
      </w:r>
      <w:r w:rsidR="0056247A" w:rsidRPr="00722521">
        <w:rPr>
          <w:rStyle w:val="Funotenzeichen"/>
          <w:sz w:val="17"/>
          <w:szCs w:val="17"/>
        </w:rPr>
        <w:footnoteReference w:id="2"/>
      </w:r>
      <w:r w:rsidRPr="00722521">
        <w:rPr>
          <w:sz w:val="17"/>
          <w:szCs w:val="17"/>
        </w:rPr>
        <w:t xml:space="preserve">.  </w:t>
      </w:r>
    </w:p>
    <w:p w14:paraId="3BF434DB" w14:textId="77777777" w:rsidR="00B77012" w:rsidRPr="00722521" w:rsidRDefault="00B77012" w:rsidP="00B77012">
      <w:pPr>
        <w:mirrorIndents/>
        <w:rPr>
          <w:sz w:val="17"/>
          <w:szCs w:val="17"/>
        </w:rPr>
      </w:pPr>
    </w:p>
    <w:p w14:paraId="30F4B9EA" w14:textId="5FA88D56" w:rsidR="00BA160A" w:rsidRDefault="00B77012" w:rsidP="00A903E6">
      <w:pPr>
        <w:mirrorIndents/>
        <w:rPr>
          <w:sz w:val="17"/>
          <w:szCs w:val="17"/>
        </w:rPr>
      </w:pPr>
      <w:r w:rsidRPr="00722521">
        <w:rPr>
          <w:sz w:val="17"/>
          <w:szCs w:val="17"/>
        </w:rPr>
        <w:t xml:space="preserve">Besides disagreeing with the outcome of this change, as it appears to deviate from a correct risk-based approach, adding more undue capital requirements, </w:t>
      </w:r>
      <w:r w:rsidR="00722521">
        <w:rPr>
          <w:sz w:val="17"/>
          <w:szCs w:val="17"/>
        </w:rPr>
        <w:t>VVO</w:t>
      </w:r>
      <w:r w:rsidRPr="00722521">
        <w:rPr>
          <w:sz w:val="17"/>
          <w:szCs w:val="17"/>
        </w:rPr>
        <w:t xml:space="preserve"> highlights the significant concerns over the governance process and lack of transparency it poses.</w:t>
      </w:r>
    </w:p>
    <w:p w14:paraId="2F251B78" w14:textId="77777777" w:rsidR="002C5B4D" w:rsidRDefault="002C5B4D" w:rsidP="00A903E6">
      <w:pPr>
        <w:mirrorIndents/>
        <w:rPr>
          <w:sz w:val="17"/>
          <w:szCs w:val="17"/>
        </w:rPr>
      </w:pPr>
    </w:p>
    <w:p w14:paraId="3D9B8F74" w14:textId="77777777" w:rsidR="002C5B4D" w:rsidRPr="00722521" w:rsidRDefault="002C5B4D" w:rsidP="00A903E6">
      <w:pPr>
        <w:mirrorIndents/>
        <w:rPr>
          <w:sz w:val="17"/>
          <w:szCs w:val="17"/>
        </w:rPr>
      </w:pPr>
    </w:p>
    <w:p w14:paraId="378D00FA" w14:textId="2588CAB6" w:rsidR="00BA160A" w:rsidRPr="00722521" w:rsidRDefault="00A903E6" w:rsidP="00A903E6">
      <w:pPr>
        <w:pStyle w:val="Textkrper"/>
        <w:ind w:left="0"/>
        <w:mirrorIndents/>
        <w:rPr>
          <w:rFonts w:ascii="Verdana" w:hAnsi="Verdana"/>
          <w:sz w:val="17"/>
          <w:szCs w:val="17"/>
        </w:rPr>
      </w:pPr>
      <w:r w:rsidRPr="00722521">
        <w:rPr>
          <w:rFonts w:ascii="Verdana" w:hAnsi="Verdana"/>
          <w:sz w:val="17"/>
          <w:szCs w:val="17"/>
          <w:highlight w:val="lightGray"/>
        </w:rPr>
        <w:t>Q</w:t>
      </w:r>
      <w:r w:rsidR="00BA160A" w:rsidRPr="00722521">
        <w:rPr>
          <w:rFonts w:ascii="Verdana" w:hAnsi="Verdana"/>
          <w:sz w:val="17"/>
          <w:szCs w:val="17"/>
          <w:highlight w:val="lightGray"/>
        </w:rPr>
        <w:t>uestion 1.1.5 In your view, does the new process for questions and answers allow for an efficient process for answering questions and for promoting supervisory convergence?</w:t>
      </w:r>
    </w:p>
    <w:p w14:paraId="2413C45F" w14:textId="7341921C" w:rsidR="00A903E6" w:rsidRPr="00722521" w:rsidRDefault="00BA160A" w:rsidP="00A903E6">
      <w:pPr>
        <w:pStyle w:val="CEABullet-Level1"/>
        <w:rPr>
          <w:color w:val="auto"/>
          <w:highlight w:val="lightGray"/>
        </w:rPr>
      </w:pPr>
      <w:r w:rsidRPr="00722521">
        <w:rPr>
          <w:color w:val="auto"/>
          <w:highlight w:val="lightGray"/>
        </w:rPr>
        <w:t xml:space="preserve">Yes </w:t>
      </w:r>
    </w:p>
    <w:p w14:paraId="376B4EC9" w14:textId="05CCFD08" w:rsidR="00BA160A" w:rsidRPr="00722521" w:rsidRDefault="00BA160A" w:rsidP="00A903E6">
      <w:pPr>
        <w:pStyle w:val="CEABullet-Level1"/>
        <w:rPr>
          <w:color w:val="auto"/>
          <w:highlight w:val="lightGray"/>
        </w:rPr>
      </w:pPr>
      <w:r w:rsidRPr="00722521">
        <w:rPr>
          <w:color w:val="auto"/>
          <w:highlight w:val="lightGray"/>
        </w:rPr>
        <w:t>No</w:t>
      </w:r>
    </w:p>
    <w:p w14:paraId="2ABA584D" w14:textId="3C8115C1" w:rsidR="00BA160A" w:rsidRPr="00722521" w:rsidRDefault="00BA160A" w:rsidP="00A903E6">
      <w:pPr>
        <w:pStyle w:val="CEABullet-Level1"/>
        <w:rPr>
          <w:color w:val="auto"/>
          <w:highlight w:val="lightGray"/>
        </w:rPr>
      </w:pPr>
      <w:r w:rsidRPr="00722521">
        <w:rPr>
          <w:color w:val="auto"/>
          <w:highlight w:val="lightGray"/>
        </w:rPr>
        <w:t>Don’t know / no opinion / not relevant</w:t>
      </w:r>
    </w:p>
    <w:p w14:paraId="3F2C5CC3" w14:textId="4D0B42CA" w:rsidR="00BA1700" w:rsidRPr="00722521" w:rsidRDefault="00BA1700" w:rsidP="00BA1700">
      <w:pPr>
        <w:pStyle w:val="CEABullet-Level1"/>
        <w:numPr>
          <w:ilvl w:val="0"/>
          <w:numId w:val="0"/>
        </w:numPr>
        <w:ind w:left="720" w:hanging="360"/>
        <w:rPr>
          <w:color w:val="auto"/>
        </w:rPr>
      </w:pPr>
    </w:p>
    <w:p w14:paraId="440E1DB8" w14:textId="27FA850B" w:rsidR="00BA1700" w:rsidRPr="00722521" w:rsidRDefault="00BA1700" w:rsidP="00BA1700">
      <w:pPr>
        <w:mirrorIndents/>
        <w:rPr>
          <w:sz w:val="17"/>
          <w:szCs w:val="17"/>
        </w:rPr>
      </w:pPr>
      <w:r w:rsidRPr="00722521">
        <w:rPr>
          <w:sz w:val="17"/>
          <w:szCs w:val="17"/>
        </w:rPr>
        <w:t>Yes</w:t>
      </w:r>
    </w:p>
    <w:p w14:paraId="49DA4F4C" w14:textId="77777777" w:rsidR="00BA160A" w:rsidRPr="00722521" w:rsidRDefault="00BA160A" w:rsidP="00A903E6">
      <w:pPr>
        <w:mirrorIndents/>
        <w:rPr>
          <w:sz w:val="17"/>
          <w:szCs w:val="17"/>
        </w:rPr>
      </w:pPr>
    </w:p>
    <w:p w14:paraId="572101D5" w14:textId="77777777" w:rsidR="00BA160A" w:rsidRPr="00722521" w:rsidRDefault="00BA160A" w:rsidP="00A903E6">
      <w:pPr>
        <w:pStyle w:val="Textkrper"/>
        <w:ind w:left="0"/>
        <w:mirrorIndents/>
        <w:rPr>
          <w:rFonts w:ascii="Verdana" w:hAnsi="Verdana"/>
          <w:sz w:val="17"/>
          <w:szCs w:val="17"/>
        </w:rPr>
      </w:pPr>
      <w:r w:rsidRPr="00722521">
        <w:rPr>
          <w:rFonts w:ascii="Verdana" w:hAnsi="Verdana"/>
          <w:sz w:val="17"/>
          <w:szCs w:val="17"/>
          <w:highlight w:val="lightGray"/>
        </w:rPr>
        <w:t>Please identify areas for improvement and explain your answer to question 1.1.5:</w:t>
      </w:r>
    </w:p>
    <w:p w14:paraId="559D74E3" w14:textId="13871A44" w:rsidR="00BA160A" w:rsidRPr="00722521" w:rsidRDefault="00BA160A" w:rsidP="00A903E6">
      <w:pPr>
        <w:mirrorIndents/>
        <w:rPr>
          <w:sz w:val="17"/>
          <w:szCs w:val="17"/>
        </w:rPr>
      </w:pPr>
    </w:p>
    <w:p w14:paraId="1CF830BD" w14:textId="77777777" w:rsidR="00A903E6" w:rsidRPr="00722521" w:rsidRDefault="00A903E6" w:rsidP="00A903E6">
      <w:pPr>
        <w:mirrorIndents/>
        <w:rPr>
          <w:sz w:val="17"/>
          <w:szCs w:val="17"/>
        </w:rPr>
      </w:pPr>
    </w:p>
    <w:p w14:paraId="149A0F32" w14:textId="77777777" w:rsidR="00BA160A" w:rsidRPr="00722521" w:rsidRDefault="00BA160A" w:rsidP="00A903E6">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1.1.5:</w:t>
      </w:r>
    </w:p>
    <w:p w14:paraId="548C1A13" w14:textId="147F19AD" w:rsidR="00BA160A" w:rsidRPr="00722521" w:rsidRDefault="00BA160A" w:rsidP="00A903E6">
      <w:pPr>
        <w:mirrorIndents/>
        <w:rPr>
          <w:sz w:val="17"/>
          <w:szCs w:val="17"/>
        </w:rPr>
      </w:pPr>
    </w:p>
    <w:p w14:paraId="063C185B" w14:textId="458116A2" w:rsidR="00D54B93" w:rsidRPr="00722521" w:rsidRDefault="00637792" w:rsidP="00637792">
      <w:pPr>
        <w:mirrorIndents/>
        <w:rPr>
          <w:sz w:val="17"/>
          <w:szCs w:val="17"/>
        </w:rPr>
      </w:pPr>
      <w:r w:rsidRPr="00722521">
        <w:rPr>
          <w:sz w:val="17"/>
          <w:szCs w:val="17"/>
        </w:rPr>
        <w:t xml:space="preserve">The Q&amp;A process has proved </w:t>
      </w:r>
      <w:r w:rsidR="00D54B93" w:rsidRPr="00722521">
        <w:rPr>
          <w:sz w:val="17"/>
          <w:szCs w:val="17"/>
        </w:rPr>
        <w:t xml:space="preserve">generally </w:t>
      </w:r>
      <w:r w:rsidRPr="00722521">
        <w:rPr>
          <w:sz w:val="17"/>
          <w:szCs w:val="17"/>
        </w:rPr>
        <w:t xml:space="preserve">to be working </w:t>
      </w:r>
      <w:r w:rsidR="00BA1700" w:rsidRPr="00722521">
        <w:rPr>
          <w:sz w:val="17"/>
          <w:szCs w:val="17"/>
        </w:rPr>
        <w:t xml:space="preserve">overall </w:t>
      </w:r>
      <w:r w:rsidRPr="00722521">
        <w:rPr>
          <w:sz w:val="17"/>
          <w:szCs w:val="17"/>
        </w:rPr>
        <w:t>well and as intended</w:t>
      </w:r>
      <w:r w:rsidR="00BA1700" w:rsidRPr="00722521">
        <w:rPr>
          <w:sz w:val="17"/>
          <w:szCs w:val="17"/>
        </w:rPr>
        <w:t xml:space="preserve">, </w:t>
      </w:r>
      <w:r w:rsidR="00D54B93" w:rsidRPr="00722521">
        <w:rPr>
          <w:sz w:val="17"/>
          <w:szCs w:val="17"/>
        </w:rPr>
        <w:t xml:space="preserve">but must be transparent and avoid the issue </w:t>
      </w:r>
      <w:r w:rsidR="00BA1700" w:rsidRPr="00722521">
        <w:rPr>
          <w:sz w:val="17"/>
          <w:szCs w:val="17"/>
        </w:rPr>
        <w:t>highlighted in response to question 1.1.4</w:t>
      </w:r>
      <w:r w:rsidRPr="00722521">
        <w:rPr>
          <w:sz w:val="17"/>
          <w:szCs w:val="17"/>
        </w:rPr>
        <w:t xml:space="preserve">. </w:t>
      </w:r>
    </w:p>
    <w:p w14:paraId="07325163" w14:textId="77777777" w:rsidR="00D54B93" w:rsidRPr="00722521" w:rsidRDefault="00D54B93" w:rsidP="00637792">
      <w:pPr>
        <w:mirrorIndents/>
        <w:rPr>
          <w:sz w:val="17"/>
          <w:szCs w:val="17"/>
        </w:rPr>
      </w:pPr>
    </w:p>
    <w:p w14:paraId="6B4941A9" w14:textId="75CBEA1C" w:rsidR="00704566" w:rsidRPr="00722521" w:rsidRDefault="00637792" w:rsidP="00704566">
      <w:pPr>
        <w:mirrorIndents/>
        <w:rPr>
          <w:sz w:val="17"/>
          <w:szCs w:val="17"/>
        </w:rPr>
      </w:pPr>
      <w:r w:rsidRPr="00722521">
        <w:rPr>
          <w:sz w:val="17"/>
          <w:szCs w:val="17"/>
        </w:rPr>
        <w:t xml:space="preserve">The impact which the Q&amp;A process has on supervisory convergence depends on the consistent adaptation of the answer which EIOPA provides. This is a very critical aspect as the Q&amp;A </w:t>
      </w:r>
      <w:r w:rsidR="00704566" w:rsidRPr="00722521">
        <w:rPr>
          <w:sz w:val="17"/>
          <w:szCs w:val="17"/>
        </w:rPr>
        <w:t>should only respond to questions relating to the practical application or implementation of the provisions of legislative acts referred to in Article 1(2), associated delegated and implementing acts, and guidelines and recommendations, adopted pursuant to</w:t>
      </w:r>
    </w:p>
    <w:p w14:paraId="3171E78A" w14:textId="51BE70A2" w:rsidR="00637792" w:rsidRPr="00722521" w:rsidRDefault="00704566" w:rsidP="00704566">
      <w:pPr>
        <w:mirrorIndents/>
        <w:rPr>
          <w:sz w:val="17"/>
          <w:szCs w:val="17"/>
        </w:rPr>
      </w:pPr>
      <w:r w:rsidRPr="00722521">
        <w:rPr>
          <w:sz w:val="17"/>
          <w:szCs w:val="17"/>
        </w:rPr>
        <w:t xml:space="preserve">those legislative acts. However, as highlighted in the response to question 1.1.4, in practice it </w:t>
      </w:r>
      <w:r w:rsidR="00637792" w:rsidRPr="00722521">
        <w:rPr>
          <w:sz w:val="17"/>
          <w:szCs w:val="17"/>
        </w:rPr>
        <w:t>can provide an interpretation of Union law or concern areas in which no EIOPA empowerment for streamlined requirements was foreseen.</w:t>
      </w:r>
    </w:p>
    <w:p w14:paraId="79CC6E5C" w14:textId="77777777" w:rsidR="00637792" w:rsidRPr="00722521" w:rsidRDefault="00637792" w:rsidP="00637792">
      <w:pPr>
        <w:mirrorIndents/>
        <w:rPr>
          <w:sz w:val="17"/>
          <w:szCs w:val="17"/>
        </w:rPr>
      </w:pPr>
    </w:p>
    <w:p w14:paraId="32B2C415" w14:textId="788336B3" w:rsidR="00637792" w:rsidRPr="00722521" w:rsidRDefault="00637792" w:rsidP="00637792">
      <w:pPr>
        <w:mirrorIndents/>
        <w:rPr>
          <w:sz w:val="17"/>
          <w:szCs w:val="17"/>
        </w:rPr>
      </w:pPr>
      <w:r w:rsidRPr="00722521">
        <w:rPr>
          <w:sz w:val="17"/>
          <w:szCs w:val="17"/>
        </w:rPr>
        <w:t xml:space="preserve">It is important that the </w:t>
      </w:r>
      <w:r w:rsidR="00BA1700" w:rsidRPr="00722521">
        <w:rPr>
          <w:sz w:val="17"/>
          <w:szCs w:val="17"/>
        </w:rPr>
        <w:t>“</w:t>
      </w:r>
      <w:r w:rsidRPr="00722521">
        <w:rPr>
          <w:sz w:val="17"/>
          <w:szCs w:val="17"/>
        </w:rPr>
        <w:t>soft</w:t>
      </w:r>
      <w:r w:rsidR="00BA1700" w:rsidRPr="00722521">
        <w:rPr>
          <w:sz w:val="17"/>
          <w:szCs w:val="17"/>
        </w:rPr>
        <w:t>”</w:t>
      </w:r>
      <w:r w:rsidRPr="00722521">
        <w:rPr>
          <w:sz w:val="17"/>
          <w:szCs w:val="17"/>
        </w:rPr>
        <w:t xml:space="preserve"> </w:t>
      </w:r>
      <w:r w:rsidR="00BA1700" w:rsidRPr="00722521">
        <w:rPr>
          <w:sz w:val="17"/>
          <w:szCs w:val="17"/>
        </w:rPr>
        <w:t>powers</w:t>
      </w:r>
      <w:r w:rsidRPr="00722521">
        <w:rPr>
          <w:sz w:val="17"/>
          <w:szCs w:val="17"/>
        </w:rPr>
        <w:t xml:space="preserve"> granted to EIOPA do not replace ordinary regulatory and legislative procedures. In the recent years, tools, like (supervisory) statements, opinions and guidance have excessively been used. The impact of the use of these tools is significant and interferes with the existing regulatory framework or, in the recent extreme case on the ban of dividends and similar transactions, with the freedom of capital (</w:t>
      </w:r>
      <w:proofErr w:type="spellStart"/>
      <w:r w:rsidRPr="00722521">
        <w:rPr>
          <w:sz w:val="17"/>
          <w:szCs w:val="17"/>
        </w:rPr>
        <w:t>ie</w:t>
      </w:r>
      <w:proofErr w:type="spellEnd"/>
      <w:r w:rsidRPr="00722521">
        <w:rPr>
          <w:sz w:val="17"/>
          <w:szCs w:val="17"/>
        </w:rPr>
        <w:t xml:space="preserve"> where intra-group payments were prohibited).</w:t>
      </w:r>
      <w:r w:rsidR="004A3539" w:rsidRPr="00722521">
        <w:rPr>
          <w:sz w:val="17"/>
          <w:szCs w:val="17"/>
        </w:rPr>
        <w:t xml:space="preserve"> The importance of a sufficiently clear and defined mandate is also underlined by ECJ Advocate General Michal </w:t>
      </w:r>
      <w:proofErr w:type="spellStart"/>
      <w:r w:rsidR="004A3539" w:rsidRPr="00722521">
        <w:rPr>
          <w:sz w:val="17"/>
          <w:szCs w:val="17"/>
        </w:rPr>
        <w:t>Bobek’s</w:t>
      </w:r>
      <w:proofErr w:type="spellEnd"/>
      <w:r w:rsidR="004A3539" w:rsidRPr="00722521">
        <w:rPr>
          <w:sz w:val="17"/>
          <w:szCs w:val="17"/>
        </w:rPr>
        <w:t xml:space="preserve"> Opinion on Case C-911/19.</w:t>
      </w:r>
    </w:p>
    <w:p w14:paraId="0F193738" w14:textId="77777777" w:rsidR="00637792" w:rsidRPr="00722521" w:rsidRDefault="00637792" w:rsidP="00637792">
      <w:pPr>
        <w:mirrorIndents/>
        <w:rPr>
          <w:sz w:val="17"/>
          <w:szCs w:val="17"/>
        </w:rPr>
      </w:pPr>
    </w:p>
    <w:p w14:paraId="1DD125B8" w14:textId="05712396" w:rsidR="00BA160A" w:rsidRPr="00722521" w:rsidRDefault="00722521" w:rsidP="00A903E6">
      <w:pPr>
        <w:mirrorIndents/>
        <w:rPr>
          <w:sz w:val="17"/>
          <w:szCs w:val="17"/>
        </w:rPr>
      </w:pPr>
      <w:r>
        <w:rPr>
          <w:sz w:val="17"/>
          <w:szCs w:val="17"/>
        </w:rPr>
        <w:t>VVO</w:t>
      </w:r>
      <w:r w:rsidR="00637792" w:rsidRPr="00722521">
        <w:rPr>
          <w:sz w:val="17"/>
          <w:szCs w:val="17"/>
        </w:rPr>
        <w:t xml:space="preserve"> believes that the Q&amp;A procedure should rather inform the process for identifying potential areas of diverging and fragmented interpretation and application of the regulatory framework. The appropriate tool for enhancing regulatory/supervisory convergence needs to be in line with the impact and dimension of the subject matter. EIOPA has a wide range of tools at hand (</w:t>
      </w:r>
      <w:proofErr w:type="spellStart"/>
      <w:r w:rsidR="00637792" w:rsidRPr="00722521">
        <w:rPr>
          <w:sz w:val="17"/>
          <w:szCs w:val="17"/>
        </w:rPr>
        <w:t>eg</w:t>
      </w:r>
      <w:proofErr w:type="spellEnd"/>
      <w:r w:rsidR="00637792" w:rsidRPr="00722521">
        <w:rPr>
          <w:sz w:val="17"/>
          <w:szCs w:val="17"/>
        </w:rPr>
        <w:t xml:space="preserve"> the supervisory handbook) but should carefully assess if subject </w:t>
      </w:r>
      <w:r w:rsidR="00637792" w:rsidRPr="00722521">
        <w:rPr>
          <w:sz w:val="17"/>
          <w:szCs w:val="17"/>
        </w:rPr>
        <w:lastRenderedPageBreak/>
        <w:t xml:space="preserve">matters might overstep its mandate. EIOPA’s advice to the European Commission on inconsistencies is an extremely valuable and important function of the </w:t>
      </w:r>
      <w:r w:rsidR="00BA1700" w:rsidRPr="00722521">
        <w:rPr>
          <w:sz w:val="17"/>
          <w:szCs w:val="17"/>
        </w:rPr>
        <w:t>a</w:t>
      </w:r>
      <w:r w:rsidR="00637792" w:rsidRPr="00722521">
        <w:rPr>
          <w:sz w:val="17"/>
          <w:szCs w:val="17"/>
        </w:rPr>
        <w:t>uthority.</w:t>
      </w:r>
    </w:p>
    <w:p w14:paraId="139DFCE3" w14:textId="77777777" w:rsidR="0037090F" w:rsidRPr="00722521" w:rsidRDefault="0037090F" w:rsidP="00A903E6">
      <w:pPr>
        <w:mirrorIndents/>
        <w:rPr>
          <w:sz w:val="17"/>
          <w:szCs w:val="17"/>
        </w:rPr>
      </w:pPr>
    </w:p>
    <w:p w14:paraId="7BA0BD03" w14:textId="7C3FE146" w:rsidR="00BA160A" w:rsidRPr="00722521" w:rsidRDefault="00BA160A" w:rsidP="00A903E6">
      <w:pPr>
        <w:pStyle w:val="Listenabsatz"/>
        <w:numPr>
          <w:ilvl w:val="1"/>
          <w:numId w:val="6"/>
        </w:numPr>
        <w:tabs>
          <w:tab w:val="left" w:pos="566"/>
        </w:tabs>
        <w:ind w:left="232" w:hanging="450"/>
        <w:mirrorIndents/>
        <w:rPr>
          <w:rFonts w:ascii="Verdana" w:hAnsi="Verdana"/>
          <w:b/>
          <w:szCs w:val="17"/>
        </w:rPr>
      </w:pPr>
      <w:r w:rsidRPr="00722521">
        <w:rPr>
          <w:rFonts w:ascii="Verdana" w:hAnsi="Verdana"/>
          <w:b/>
          <w:szCs w:val="17"/>
        </w:rPr>
        <w:t>No action</w:t>
      </w:r>
      <w:r w:rsidRPr="00722521">
        <w:rPr>
          <w:rFonts w:ascii="Verdana" w:hAnsi="Verdana"/>
          <w:b/>
          <w:spacing w:val="-1"/>
          <w:szCs w:val="17"/>
        </w:rPr>
        <w:t xml:space="preserve"> </w:t>
      </w:r>
      <w:r w:rsidRPr="00722521">
        <w:rPr>
          <w:rFonts w:ascii="Verdana" w:hAnsi="Verdana"/>
          <w:b/>
          <w:szCs w:val="17"/>
        </w:rPr>
        <w:t>letters</w:t>
      </w:r>
    </w:p>
    <w:p w14:paraId="60800CA1" w14:textId="77777777" w:rsidR="00BA160A" w:rsidRPr="00722521" w:rsidRDefault="00BA160A" w:rsidP="00A903E6">
      <w:pPr>
        <w:pStyle w:val="Textkrper"/>
        <w:mirrorIndents/>
        <w:rPr>
          <w:rFonts w:ascii="Verdana" w:hAnsi="Verdana"/>
          <w:sz w:val="17"/>
          <w:szCs w:val="17"/>
        </w:rPr>
      </w:pPr>
    </w:p>
    <w:p w14:paraId="2B717619" w14:textId="77777777" w:rsidR="00BA160A" w:rsidRPr="00722521" w:rsidRDefault="00BA160A" w:rsidP="00A903E6">
      <w:pPr>
        <w:mirrorIndents/>
        <w:rPr>
          <w:b/>
          <w:sz w:val="17"/>
          <w:szCs w:val="17"/>
        </w:rPr>
      </w:pPr>
      <w:r w:rsidRPr="00722521">
        <w:rPr>
          <w:b/>
          <w:sz w:val="17"/>
          <w:szCs w:val="17"/>
        </w:rPr>
        <w:t>In the framework of the 2019 ESAs review:</w:t>
      </w:r>
    </w:p>
    <w:p w14:paraId="3ACC6F5B" w14:textId="77777777" w:rsidR="00BA160A" w:rsidRPr="00722521" w:rsidRDefault="00BA160A" w:rsidP="00A903E6">
      <w:pPr>
        <w:pStyle w:val="Textkrper"/>
        <w:ind w:left="0"/>
        <w:mirrorIndents/>
        <w:rPr>
          <w:rFonts w:ascii="Verdana" w:hAnsi="Verdana"/>
          <w:sz w:val="17"/>
          <w:szCs w:val="17"/>
        </w:rPr>
      </w:pPr>
    </w:p>
    <w:p w14:paraId="4FD8BA78" w14:textId="064C621C" w:rsidR="00BA160A" w:rsidRPr="00722521" w:rsidRDefault="00BA160A" w:rsidP="00A903E6">
      <w:pPr>
        <w:pStyle w:val="Textkrper"/>
        <w:ind w:left="0"/>
        <w:mirrorIndents/>
        <w:rPr>
          <w:rFonts w:ascii="Verdana" w:hAnsi="Verdana"/>
          <w:sz w:val="17"/>
          <w:szCs w:val="17"/>
        </w:rPr>
      </w:pPr>
      <w:r w:rsidRPr="00722521">
        <w:rPr>
          <w:rFonts w:ascii="Verdana" w:hAnsi="Verdana"/>
          <w:sz w:val="17"/>
          <w:szCs w:val="17"/>
          <w:highlight w:val="lightGray"/>
        </w:rPr>
        <w:t>Question 1.2.1 In your view, is the new mechanism of no action letters (Article 9a of the ESMA/EIOPA Regulations and Article 9c EBA Regulation) fit for its intended purpose?</w:t>
      </w:r>
    </w:p>
    <w:p w14:paraId="6E1F1619" w14:textId="7B2E7142" w:rsidR="00A903E6" w:rsidRPr="00722521" w:rsidRDefault="00BA160A" w:rsidP="00A903E6">
      <w:pPr>
        <w:pStyle w:val="CEABullet-Level1"/>
        <w:rPr>
          <w:color w:val="auto"/>
        </w:rPr>
      </w:pPr>
      <w:r w:rsidRPr="00722521">
        <w:rPr>
          <w:color w:val="auto"/>
        </w:rPr>
        <w:t>Yes</w:t>
      </w:r>
    </w:p>
    <w:p w14:paraId="48766137" w14:textId="3F3BA8A4" w:rsidR="00BA160A" w:rsidRPr="00722521" w:rsidRDefault="00BA160A" w:rsidP="00A903E6">
      <w:pPr>
        <w:pStyle w:val="CEABullet-Level1"/>
        <w:rPr>
          <w:color w:val="auto"/>
        </w:rPr>
      </w:pPr>
      <w:r w:rsidRPr="00722521">
        <w:rPr>
          <w:color w:val="auto"/>
        </w:rPr>
        <w:t>No</w:t>
      </w:r>
    </w:p>
    <w:p w14:paraId="007C49BC" w14:textId="77777777" w:rsidR="00BA160A" w:rsidRPr="00722521" w:rsidRDefault="00BA160A" w:rsidP="00A903E6">
      <w:pPr>
        <w:pStyle w:val="CEABullet-Level1"/>
        <w:rPr>
          <w:color w:val="auto"/>
        </w:rPr>
      </w:pPr>
      <w:r w:rsidRPr="00722521">
        <w:rPr>
          <w:color w:val="auto"/>
        </w:rPr>
        <w:t>Don’t know / no opinion / not relevant</w:t>
      </w:r>
    </w:p>
    <w:p w14:paraId="3B25611A" w14:textId="0078D2E0" w:rsidR="00BA160A" w:rsidRPr="00722521" w:rsidRDefault="00BA160A" w:rsidP="00A903E6">
      <w:pPr>
        <w:mirrorIndents/>
        <w:rPr>
          <w:sz w:val="17"/>
          <w:szCs w:val="17"/>
        </w:rPr>
      </w:pPr>
    </w:p>
    <w:p w14:paraId="363E83C3" w14:textId="5D668914" w:rsidR="00BA1700" w:rsidRPr="00722521" w:rsidRDefault="00BA1700" w:rsidP="00A903E6">
      <w:pPr>
        <w:mirrorIndents/>
        <w:rPr>
          <w:sz w:val="17"/>
          <w:szCs w:val="17"/>
        </w:rPr>
      </w:pPr>
      <w:r w:rsidRPr="00722521">
        <w:rPr>
          <w:sz w:val="17"/>
          <w:szCs w:val="17"/>
        </w:rPr>
        <w:t>Yes</w:t>
      </w:r>
    </w:p>
    <w:p w14:paraId="41A5A7FF" w14:textId="77777777" w:rsidR="00BA1700" w:rsidRPr="00722521" w:rsidRDefault="00BA1700" w:rsidP="00A903E6">
      <w:pPr>
        <w:mirrorIndents/>
        <w:rPr>
          <w:sz w:val="17"/>
          <w:szCs w:val="17"/>
        </w:rPr>
      </w:pPr>
    </w:p>
    <w:p w14:paraId="240AF7F1" w14:textId="77777777" w:rsidR="00BA160A" w:rsidRPr="00722521" w:rsidRDefault="00BA160A" w:rsidP="00A903E6">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1.2.1:</w:t>
      </w:r>
    </w:p>
    <w:p w14:paraId="24734E8A" w14:textId="54A57DAC" w:rsidR="00BA160A" w:rsidRPr="00722521" w:rsidRDefault="00BA160A" w:rsidP="00A903E6">
      <w:pPr>
        <w:mirrorIndents/>
        <w:rPr>
          <w:sz w:val="17"/>
          <w:szCs w:val="17"/>
        </w:rPr>
      </w:pPr>
    </w:p>
    <w:p w14:paraId="6BD30666" w14:textId="1AE25DCB" w:rsidR="00A903E6" w:rsidRPr="00722521" w:rsidRDefault="00637792" w:rsidP="00A903E6">
      <w:pPr>
        <w:mirrorIndents/>
        <w:rPr>
          <w:sz w:val="17"/>
          <w:szCs w:val="17"/>
        </w:rPr>
      </w:pPr>
      <w:r w:rsidRPr="00722521">
        <w:rPr>
          <w:sz w:val="17"/>
          <w:szCs w:val="17"/>
        </w:rPr>
        <w:t>The mechanism has not been used by EIOPA, yet. In accordance with the joint industry position expressed during the ESA</w:t>
      </w:r>
      <w:r w:rsidR="00BA1700" w:rsidRPr="00722521">
        <w:rPr>
          <w:sz w:val="17"/>
          <w:szCs w:val="17"/>
        </w:rPr>
        <w:t>s r</w:t>
      </w:r>
      <w:r w:rsidRPr="00722521">
        <w:rPr>
          <w:sz w:val="17"/>
          <w:szCs w:val="17"/>
        </w:rPr>
        <w:t xml:space="preserve">eview </w:t>
      </w:r>
      <w:r w:rsidR="00BA1700" w:rsidRPr="00722521">
        <w:rPr>
          <w:sz w:val="17"/>
          <w:szCs w:val="17"/>
        </w:rPr>
        <w:t xml:space="preserve">in </w:t>
      </w:r>
      <w:r w:rsidRPr="00722521">
        <w:rPr>
          <w:sz w:val="17"/>
          <w:szCs w:val="17"/>
        </w:rPr>
        <w:t xml:space="preserve">2019, </w:t>
      </w:r>
      <w:r w:rsidR="00722521">
        <w:rPr>
          <w:sz w:val="17"/>
          <w:szCs w:val="17"/>
        </w:rPr>
        <w:t>VVO</w:t>
      </w:r>
      <w:r w:rsidRPr="00722521">
        <w:rPr>
          <w:sz w:val="17"/>
          <w:szCs w:val="17"/>
        </w:rPr>
        <w:t xml:space="preserve"> believes that no action letters are an important tool.</w:t>
      </w:r>
    </w:p>
    <w:p w14:paraId="1804EAF6" w14:textId="1FA3791F" w:rsidR="00A903E6" w:rsidRPr="00722521" w:rsidRDefault="00A903E6" w:rsidP="00A903E6">
      <w:pPr>
        <w:mirrorIndents/>
        <w:rPr>
          <w:sz w:val="17"/>
          <w:szCs w:val="17"/>
        </w:rPr>
      </w:pPr>
    </w:p>
    <w:p w14:paraId="5D6A67D0" w14:textId="77777777" w:rsidR="00A903E6" w:rsidRPr="00722521" w:rsidRDefault="00A903E6" w:rsidP="00A903E6">
      <w:pPr>
        <w:mirrorIndents/>
        <w:rPr>
          <w:sz w:val="17"/>
          <w:szCs w:val="17"/>
        </w:rPr>
      </w:pPr>
    </w:p>
    <w:p w14:paraId="7698C8FD" w14:textId="07ABD5E5" w:rsidR="00BA160A" w:rsidRPr="00722521" w:rsidRDefault="00BA160A" w:rsidP="00A903E6">
      <w:pPr>
        <w:pStyle w:val="Textkrper"/>
        <w:ind w:left="0"/>
        <w:mirrorIndents/>
        <w:rPr>
          <w:rFonts w:ascii="Verdana" w:hAnsi="Verdana"/>
          <w:sz w:val="17"/>
          <w:szCs w:val="17"/>
        </w:rPr>
      </w:pPr>
      <w:r w:rsidRPr="00722521">
        <w:rPr>
          <w:rFonts w:ascii="Verdana" w:hAnsi="Verdana"/>
          <w:sz w:val="17"/>
          <w:szCs w:val="17"/>
          <w:highlight w:val="lightGray"/>
        </w:rPr>
        <w:t>Question 1.2.2 How does the new mechanism, in your view, compare with “no action letters” in other jurisdictions?</w:t>
      </w:r>
    </w:p>
    <w:p w14:paraId="195D206F" w14:textId="14F18034" w:rsidR="00BA160A" w:rsidRPr="00722521" w:rsidRDefault="00BA160A" w:rsidP="00A903E6">
      <w:pPr>
        <w:mirrorIndents/>
        <w:rPr>
          <w:sz w:val="17"/>
          <w:szCs w:val="17"/>
        </w:rPr>
      </w:pPr>
    </w:p>
    <w:p w14:paraId="0FD00018" w14:textId="52CC47CB" w:rsidR="00A903E6" w:rsidRPr="00722521" w:rsidRDefault="00BA1700" w:rsidP="00A903E6">
      <w:pPr>
        <w:mirrorIndents/>
        <w:rPr>
          <w:sz w:val="17"/>
          <w:szCs w:val="17"/>
        </w:rPr>
      </w:pPr>
      <w:r w:rsidRPr="00722521">
        <w:rPr>
          <w:sz w:val="17"/>
          <w:szCs w:val="17"/>
        </w:rPr>
        <w:t>N/A</w:t>
      </w:r>
    </w:p>
    <w:p w14:paraId="02CB7D08" w14:textId="77777777" w:rsidR="00A903E6" w:rsidRPr="00722521" w:rsidRDefault="00A903E6" w:rsidP="00A903E6">
      <w:pPr>
        <w:mirrorIndents/>
        <w:rPr>
          <w:sz w:val="17"/>
          <w:szCs w:val="17"/>
        </w:rPr>
      </w:pPr>
    </w:p>
    <w:p w14:paraId="5D1B5664" w14:textId="77777777" w:rsidR="00A903E6" w:rsidRPr="00722521" w:rsidRDefault="00A903E6" w:rsidP="00A903E6">
      <w:pPr>
        <w:mirrorIndents/>
        <w:rPr>
          <w:sz w:val="17"/>
          <w:szCs w:val="17"/>
        </w:rPr>
      </w:pPr>
    </w:p>
    <w:p w14:paraId="22979EF1" w14:textId="2E9A43A0" w:rsidR="00BA160A" w:rsidRPr="00722521" w:rsidRDefault="00BA160A" w:rsidP="00637792">
      <w:pPr>
        <w:pStyle w:val="Textkrper"/>
        <w:ind w:left="0"/>
        <w:mirrorIndents/>
        <w:rPr>
          <w:rFonts w:ascii="Verdana" w:hAnsi="Verdana"/>
          <w:sz w:val="17"/>
          <w:szCs w:val="17"/>
        </w:rPr>
      </w:pPr>
      <w:r w:rsidRPr="00722521">
        <w:rPr>
          <w:rFonts w:ascii="Verdana" w:hAnsi="Verdana"/>
          <w:sz w:val="17"/>
          <w:szCs w:val="17"/>
          <w:highlight w:val="lightGray"/>
        </w:rPr>
        <w:t>Question 1.2.3 EIOPA: Could you provide examples where the use of no action letters would have been useful or could be useful in the future?</w:t>
      </w:r>
    </w:p>
    <w:p w14:paraId="22A4DA56" w14:textId="395F5363" w:rsidR="00A903E6" w:rsidRPr="00722521" w:rsidRDefault="00A903E6" w:rsidP="00A903E6">
      <w:pPr>
        <w:mirrorIndents/>
        <w:rPr>
          <w:sz w:val="17"/>
          <w:szCs w:val="17"/>
        </w:rPr>
      </w:pPr>
    </w:p>
    <w:p w14:paraId="190EBEC1" w14:textId="518D62C1" w:rsidR="00A903E6" w:rsidRPr="00722521" w:rsidRDefault="0002519C" w:rsidP="00A903E6">
      <w:pPr>
        <w:mirrorIndents/>
        <w:rPr>
          <w:sz w:val="17"/>
          <w:szCs w:val="17"/>
        </w:rPr>
      </w:pPr>
      <w:r w:rsidRPr="00722521">
        <w:rPr>
          <w:sz w:val="17"/>
          <w:szCs w:val="17"/>
        </w:rPr>
        <w:t>N/A</w:t>
      </w:r>
    </w:p>
    <w:p w14:paraId="4EF08181" w14:textId="223A10B7" w:rsidR="00A903E6" w:rsidRPr="00722521" w:rsidRDefault="00A903E6" w:rsidP="00A903E6">
      <w:pPr>
        <w:mirrorIndents/>
        <w:rPr>
          <w:sz w:val="17"/>
          <w:szCs w:val="17"/>
        </w:rPr>
      </w:pPr>
    </w:p>
    <w:p w14:paraId="289FF7D3" w14:textId="77777777" w:rsidR="00A903E6" w:rsidRPr="00722521" w:rsidRDefault="00A903E6" w:rsidP="00A903E6">
      <w:pPr>
        <w:mirrorIndents/>
        <w:rPr>
          <w:sz w:val="17"/>
          <w:szCs w:val="17"/>
        </w:rPr>
      </w:pPr>
    </w:p>
    <w:p w14:paraId="2DB943FE" w14:textId="77777777" w:rsidR="00BA160A" w:rsidRPr="00722521" w:rsidRDefault="00BA160A" w:rsidP="00A903E6">
      <w:pPr>
        <w:pStyle w:val="Listenabsatz"/>
        <w:numPr>
          <w:ilvl w:val="1"/>
          <w:numId w:val="6"/>
        </w:numPr>
        <w:tabs>
          <w:tab w:val="left" w:pos="566"/>
        </w:tabs>
        <w:ind w:left="232" w:hanging="450"/>
        <w:mirrorIndents/>
        <w:rPr>
          <w:rFonts w:ascii="Verdana" w:hAnsi="Verdana"/>
          <w:b/>
          <w:szCs w:val="17"/>
        </w:rPr>
      </w:pPr>
      <w:r w:rsidRPr="00722521">
        <w:rPr>
          <w:rFonts w:ascii="Verdana" w:hAnsi="Verdana"/>
          <w:b/>
          <w:szCs w:val="17"/>
        </w:rPr>
        <w:t>Peer</w:t>
      </w:r>
      <w:r w:rsidRPr="00722521">
        <w:rPr>
          <w:rFonts w:ascii="Verdana" w:hAnsi="Verdana"/>
          <w:b/>
          <w:spacing w:val="-1"/>
          <w:szCs w:val="17"/>
        </w:rPr>
        <w:t xml:space="preserve"> </w:t>
      </w:r>
      <w:r w:rsidRPr="00722521">
        <w:rPr>
          <w:rFonts w:ascii="Verdana" w:hAnsi="Verdana"/>
          <w:b/>
          <w:szCs w:val="17"/>
        </w:rPr>
        <w:t>reviews</w:t>
      </w:r>
    </w:p>
    <w:p w14:paraId="377222D8" w14:textId="77777777" w:rsidR="00BA160A" w:rsidRPr="00722521" w:rsidRDefault="00BA160A" w:rsidP="00A903E6">
      <w:pPr>
        <w:pStyle w:val="Textkrper"/>
        <w:mirrorIndents/>
        <w:rPr>
          <w:rFonts w:ascii="Verdana" w:hAnsi="Verdana"/>
          <w:sz w:val="17"/>
          <w:szCs w:val="17"/>
        </w:rPr>
      </w:pPr>
    </w:p>
    <w:p w14:paraId="30AF7B75" w14:textId="65EDFC80" w:rsidR="00BA160A" w:rsidRPr="00722521" w:rsidRDefault="00BA160A" w:rsidP="00A903E6">
      <w:pPr>
        <w:tabs>
          <w:tab w:val="left" w:pos="4888"/>
          <w:tab w:val="left" w:pos="9095"/>
        </w:tabs>
        <w:mirrorIndents/>
        <w:rPr>
          <w:b/>
          <w:sz w:val="17"/>
          <w:szCs w:val="17"/>
        </w:rPr>
      </w:pPr>
      <w:r w:rsidRPr="00722521">
        <w:rPr>
          <w:b/>
          <w:sz w:val="17"/>
          <w:szCs w:val="17"/>
          <w:highlight w:val="lightGray"/>
        </w:rPr>
        <w:t>Question 1.3.1 To what extent peer reviews organised by the ESAs have contributed to the convergence outcomes</w:t>
      </w:r>
      <w:r w:rsidR="00A903E6" w:rsidRPr="00722521">
        <w:rPr>
          <w:b/>
          <w:sz w:val="17"/>
          <w:szCs w:val="17"/>
          <w:highlight w:val="lightGray"/>
        </w:rPr>
        <w:t xml:space="preserve"> </w:t>
      </w:r>
      <w:r w:rsidRPr="00722521">
        <w:rPr>
          <w:b/>
          <w:sz w:val="17"/>
          <w:szCs w:val="17"/>
          <w:highlight w:val="lightGray"/>
        </w:rPr>
        <w:t>l</w:t>
      </w:r>
      <w:r w:rsidR="00A903E6" w:rsidRPr="00722521">
        <w:rPr>
          <w:b/>
          <w:sz w:val="17"/>
          <w:szCs w:val="17"/>
          <w:highlight w:val="lightGray"/>
        </w:rPr>
        <w:t>isted below?</w:t>
      </w:r>
    </w:p>
    <w:p w14:paraId="571FF9D0" w14:textId="77777777" w:rsidR="00BA160A" w:rsidRPr="00722521" w:rsidRDefault="00BA160A" w:rsidP="00A903E6">
      <w:pPr>
        <w:pStyle w:val="Textkrper"/>
        <w:mirrorIndents/>
        <w:rPr>
          <w:rFonts w:ascii="Verdana" w:hAnsi="Verdana"/>
          <w:sz w:val="17"/>
          <w:szCs w:val="17"/>
        </w:rPr>
      </w:pPr>
    </w:p>
    <w:p w14:paraId="00BF9741" w14:textId="77777777" w:rsidR="00BA160A" w:rsidRPr="00722521" w:rsidRDefault="00BA160A" w:rsidP="00A903E6">
      <w:pPr>
        <w:mirrorIndents/>
        <w:rPr>
          <w:b/>
          <w:sz w:val="17"/>
          <w:szCs w:val="17"/>
        </w:rPr>
      </w:pPr>
      <w:r w:rsidRPr="00722521">
        <w:rPr>
          <w:b/>
          <w:sz w:val="17"/>
          <w:szCs w:val="17"/>
          <w:highlight w:val="lightGray"/>
        </w:rPr>
        <w:t>Please distinguishing between the situation before the 2019 review and afterwards:</w:t>
      </w:r>
    </w:p>
    <w:p w14:paraId="511A414C" w14:textId="6D1C77FF" w:rsidR="00BA160A" w:rsidRPr="00722521" w:rsidRDefault="00BA160A" w:rsidP="00A903E6">
      <w:pPr>
        <w:pStyle w:val="Textkrper"/>
        <w:mirrorIndents/>
        <w:rPr>
          <w:rFonts w:ascii="Verdana" w:hAnsi="Verdana"/>
          <w:b w:val="0"/>
          <w:sz w:val="17"/>
          <w:szCs w:val="17"/>
        </w:rPr>
      </w:pPr>
    </w:p>
    <w:p w14:paraId="7747F2A6" w14:textId="77777777" w:rsidR="00BA160A" w:rsidRPr="00722521" w:rsidRDefault="00BA160A" w:rsidP="00A903E6">
      <w:pPr>
        <w:pStyle w:val="Textkrper"/>
        <w:mirrorIndents/>
        <w:rPr>
          <w:rFonts w:ascii="Verdana" w:hAnsi="Verdana"/>
          <w:sz w:val="17"/>
          <w:szCs w:val="17"/>
        </w:rPr>
      </w:pPr>
    </w:p>
    <w:p w14:paraId="1E34C125"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Situation before the 2019 ESAs review for EBA:</w:t>
      </w:r>
    </w:p>
    <w:p w14:paraId="68E25F36" w14:textId="77777777" w:rsidR="00BA160A" w:rsidRPr="00722521" w:rsidRDefault="00BA160A" w:rsidP="00A903E6">
      <w:pPr>
        <w:pStyle w:val="Textkrper"/>
        <w:mirrorIndents/>
        <w:rPr>
          <w:rFonts w:ascii="Verdana" w:hAnsi="Verdana"/>
          <w:sz w:val="17"/>
          <w:szCs w:val="17"/>
        </w:rPr>
      </w:pP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2060"/>
        <w:gridCol w:w="1276"/>
        <w:gridCol w:w="1353"/>
        <w:gridCol w:w="1012"/>
        <w:gridCol w:w="1353"/>
        <w:gridCol w:w="1353"/>
        <w:gridCol w:w="1104"/>
      </w:tblGrid>
      <w:tr w:rsidR="00770934" w:rsidRPr="00722521" w14:paraId="06DB934B" w14:textId="77777777" w:rsidTr="008451AD">
        <w:trPr>
          <w:trHeight w:val="1134"/>
        </w:trPr>
        <w:tc>
          <w:tcPr>
            <w:tcW w:w="1334" w:type="pct"/>
            <w:tcBorders>
              <w:top w:val="single" w:sz="8" w:space="0" w:color="BABABA"/>
              <w:left w:val="single" w:sz="8" w:space="0" w:color="BABABA"/>
              <w:bottom w:val="single" w:sz="8" w:space="0" w:color="BABABA"/>
              <w:right w:val="single" w:sz="8" w:space="0" w:color="BABABA"/>
            </w:tcBorders>
          </w:tcPr>
          <w:p w14:paraId="4F6B925A" w14:textId="77777777" w:rsidR="00BA160A" w:rsidRPr="00722521" w:rsidRDefault="00BA160A" w:rsidP="00A903E6">
            <w:pPr>
              <w:mirrorIndents/>
              <w:rPr>
                <w:sz w:val="17"/>
                <w:szCs w:val="17"/>
              </w:rPr>
            </w:pPr>
          </w:p>
        </w:tc>
        <w:tc>
          <w:tcPr>
            <w:tcW w:w="636" w:type="pct"/>
            <w:tcBorders>
              <w:top w:val="single" w:sz="8" w:space="0" w:color="BABABA"/>
              <w:left w:val="single" w:sz="8" w:space="0" w:color="BABABA"/>
              <w:bottom w:val="single" w:sz="8" w:space="0" w:color="BABABA"/>
              <w:right w:val="single" w:sz="8" w:space="0" w:color="BABABA"/>
            </w:tcBorders>
            <w:hideMark/>
          </w:tcPr>
          <w:p w14:paraId="6CDA6A93" w14:textId="77777777" w:rsidR="00BA160A" w:rsidRPr="00722521" w:rsidRDefault="00BA160A" w:rsidP="00A903E6">
            <w:pPr>
              <w:pStyle w:val="TableParagraph"/>
              <w:mirrorIndents/>
              <w:rPr>
                <w:szCs w:val="17"/>
              </w:rPr>
            </w:pPr>
            <w:r w:rsidRPr="00722521">
              <w:rPr>
                <w:w w:val="99"/>
                <w:szCs w:val="17"/>
              </w:rPr>
              <w:t>1</w:t>
            </w:r>
          </w:p>
          <w:p w14:paraId="1237681D" w14:textId="77777777" w:rsidR="00BA160A" w:rsidRPr="00722521" w:rsidRDefault="00BA160A" w:rsidP="00A903E6">
            <w:pPr>
              <w:pStyle w:val="TableParagraph"/>
              <w:ind w:hanging="55"/>
              <w:mirrorIndents/>
              <w:rPr>
                <w:szCs w:val="17"/>
              </w:rPr>
            </w:pPr>
            <w:r w:rsidRPr="00722521">
              <w:rPr>
                <w:szCs w:val="17"/>
              </w:rPr>
              <w:t>(less significant contribution</w:t>
            </w:r>
          </w:p>
        </w:tc>
        <w:tc>
          <w:tcPr>
            <w:tcW w:w="670" w:type="pct"/>
            <w:tcBorders>
              <w:top w:val="single" w:sz="8" w:space="0" w:color="BABABA"/>
              <w:left w:val="single" w:sz="8" w:space="0" w:color="BABABA"/>
              <w:bottom w:val="single" w:sz="8" w:space="0" w:color="BABABA"/>
              <w:right w:val="single" w:sz="8" w:space="0" w:color="BABABA"/>
            </w:tcBorders>
            <w:hideMark/>
          </w:tcPr>
          <w:p w14:paraId="72A1EAC9" w14:textId="77777777" w:rsidR="00BA160A" w:rsidRPr="00722521" w:rsidRDefault="00BA160A" w:rsidP="00A903E6">
            <w:pPr>
              <w:pStyle w:val="TableParagraph"/>
              <w:mirrorIndents/>
              <w:rPr>
                <w:szCs w:val="17"/>
              </w:rPr>
            </w:pPr>
            <w:r w:rsidRPr="00722521">
              <w:rPr>
                <w:w w:val="99"/>
                <w:szCs w:val="17"/>
              </w:rPr>
              <w:t>2</w:t>
            </w:r>
          </w:p>
          <w:p w14:paraId="48B92172" w14:textId="77777777" w:rsidR="00BA160A" w:rsidRPr="00722521" w:rsidRDefault="00BA160A" w:rsidP="00A903E6">
            <w:pPr>
              <w:pStyle w:val="TableParagraph"/>
              <w:ind w:hanging="56"/>
              <w:mirrorIndents/>
              <w:rPr>
                <w:szCs w:val="17"/>
              </w:rPr>
            </w:pPr>
            <w:r w:rsidRPr="00722521">
              <w:rPr>
                <w:szCs w:val="17"/>
              </w:rPr>
              <w:t>(not so significant contribution)</w:t>
            </w:r>
          </w:p>
        </w:tc>
        <w:tc>
          <w:tcPr>
            <w:tcW w:w="492" w:type="pct"/>
            <w:tcBorders>
              <w:top w:val="single" w:sz="8" w:space="0" w:color="BABABA"/>
              <w:left w:val="single" w:sz="8" w:space="0" w:color="BABABA"/>
              <w:bottom w:val="single" w:sz="8" w:space="0" w:color="BABABA"/>
              <w:right w:val="single" w:sz="8" w:space="0" w:color="BABABA"/>
            </w:tcBorders>
            <w:hideMark/>
          </w:tcPr>
          <w:p w14:paraId="0144F925" w14:textId="77777777" w:rsidR="00BA160A" w:rsidRPr="00722521" w:rsidRDefault="00BA160A" w:rsidP="00A903E6">
            <w:pPr>
              <w:pStyle w:val="TableParagraph"/>
              <w:mirrorIndents/>
              <w:rPr>
                <w:szCs w:val="17"/>
              </w:rPr>
            </w:pPr>
            <w:r w:rsidRPr="00722521">
              <w:rPr>
                <w:w w:val="99"/>
                <w:szCs w:val="17"/>
              </w:rPr>
              <w:t>3</w:t>
            </w:r>
          </w:p>
          <w:p w14:paraId="4E16B50A" w14:textId="77777777" w:rsidR="00BA160A" w:rsidRPr="00722521" w:rsidRDefault="00BA160A" w:rsidP="00A903E6">
            <w:pPr>
              <w:pStyle w:val="TableParagraph"/>
              <w:mirrorIndents/>
              <w:rPr>
                <w:szCs w:val="17"/>
              </w:rPr>
            </w:pPr>
            <w:r w:rsidRPr="00722521">
              <w:rPr>
                <w:szCs w:val="17"/>
              </w:rPr>
              <w:t>(neutral)</w:t>
            </w:r>
          </w:p>
        </w:tc>
        <w:tc>
          <w:tcPr>
            <w:tcW w:w="657" w:type="pct"/>
            <w:tcBorders>
              <w:top w:val="single" w:sz="8" w:space="0" w:color="BABABA"/>
              <w:left w:val="single" w:sz="8" w:space="0" w:color="BABABA"/>
              <w:bottom w:val="single" w:sz="8" w:space="0" w:color="BABABA"/>
              <w:right w:val="single" w:sz="8" w:space="0" w:color="BABABA"/>
            </w:tcBorders>
            <w:hideMark/>
          </w:tcPr>
          <w:p w14:paraId="582C2E1A" w14:textId="77777777" w:rsidR="00BA160A" w:rsidRPr="00722521" w:rsidRDefault="00BA160A" w:rsidP="00A903E6">
            <w:pPr>
              <w:pStyle w:val="TableParagraph"/>
              <w:mirrorIndents/>
              <w:rPr>
                <w:szCs w:val="17"/>
              </w:rPr>
            </w:pPr>
            <w:r w:rsidRPr="00722521">
              <w:rPr>
                <w:w w:val="99"/>
                <w:szCs w:val="17"/>
              </w:rPr>
              <w:t>4</w:t>
            </w:r>
          </w:p>
          <w:p w14:paraId="31F18F36" w14:textId="77777777" w:rsidR="00BA160A" w:rsidRPr="00722521" w:rsidRDefault="00BA160A" w:rsidP="00A903E6">
            <w:pPr>
              <w:pStyle w:val="TableParagraph"/>
              <w:ind w:hanging="55"/>
              <w:mirrorIndents/>
              <w:rPr>
                <w:szCs w:val="17"/>
              </w:rPr>
            </w:pPr>
            <w:r w:rsidRPr="00722521">
              <w:rPr>
                <w:szCs w:val="17"/>
              </w:rPr>
              <w:t>(significant contribution)</w:t>
            </w:r>
          </w:p>
        </w:tc>
        <w:tc>
          <w:tcPr>
            <w:tcW w:w="663" w:type="pct"/>
            <w:tcBorders>
              <w:top w:val="single" w:sz="8" w:space="0" w:color="BABABA"/>
              <w:left w:val="single" w:sz="8" w:space="0" w:color="BABABA"/>
              <w:bottom w:val="single" w:sz="8" w:space="0" w:color="BABABA"/>
              <w:right w:val="single" w:sz="8" w:space="0" w:color="BABABA"/>
            </w:tcBorders>
            <w:hideMark/>
          </w:tcPr>
          <w:p w14:paraId="1B0FD672" w14:textId="77777777" w:rsidR="00BA160A" w:rsidRPr="00722521" w:rsidRDefault="00BA160A" w:rsidP="00A903E6">
            <w:pPr>
              <w:pStyle w:val="TableParagraph"/>
              <w:mirrorIndents/>
              <w:rPr>
                <w:szCs w:val="17"/>
              </w:rPr>
            </w:pPr>
            <w:r w:rsidRPr="00722521">
              <w:rPr>
                <w:w w:val="99"/>
                <w:szCs w:val="17"/>
              </w:rPr>
              <w:t>5</w:t>
            </w:r>
          </w:p>
          <w:p w14:paraId="49A2A65C" w14:textId="77777777" w:rsidR="00BA160A" w:rsidRPr="00722521" w:rsidRDefault="00BA160A" w:rsidP="00A903E6">
            <w:pPr>
              <w:pStyle w:val="TableParagraph"/>
              <w:ind w:hanging="55"/>
              <w:mirrorIndents/>
              <w:rPr>
                <w:szCs w:val="17"/>
              </w:rPr>
            </w:pPr>
            <w:r w:rsidRPr="00722521">
              <w:rPr>
                <w:szCs w:val="17"/>
              </w:rPr>
              <w:t>(most significant contribution)</w:t>
            </w:r>
          </w:p>
        </w:tc>
        <w:tc>
          <w:tcPr>
            <w:tcW w:w="547" w:type="pct"/>
            <w:tcBorders>
              <w:top w:val="single" w:sz="8" w:space="0" w:color="BABABA"/>
              <w:left w:val="single" w:sz="8" w:space="0" w:color="BABABA"/>
              <w:bottom w:val="single" w:sz="8" w:space="0" w:color="BABABA"/>
              <w:right w:val="single" w:sz="8" w:space="0" w:color="BABABA"/>
            </w:tcBorders>
            <w:hideMark/>
          </w:tcPr>
          <w:p w14:paraId="7FD4F42E" w14:textId="77777777" w:rsidR="00BA160A" w:rsidRPr="00722521" w:rsidRDefault="00BA160A" w:rsidP="00A903E6">
            <w:pPr>
              <w:pStyle w:val="TableParagraph"/>
              <w:ind w:hanging="54"/>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27A883F8" w14:textId="77777777" w:rsidR="00BA160A" w:rsidRPr="00722521" w:rsidRDefault="00BA160A" w:rsidP="00A903E6">
            <w:pPr>
              <w:pStyle w:val="TableParagraph"/>
              <w:ind w:hanging="1"/>
              <w:mirrorIndents/>
              <w:rPr>
                <w:szCs w:val="17"/>
              </w:rPr>
            </w:pPr>
            <w:r w:rsidRPr="00722521">
              <w:rPr>
                <w:szCs w:val="17"/>
              </w:rPr>
              <w:t>Not applicable</w:t>
            </w:r>
          </w:p>
        </w:tc>
      </w:tr>
      <w:tr w:rsidR="00770934" w:rsidRPr="00722521" w14:paraId="0F3535DD" w14:textId="77777777" w:rsidTr="008451AD">
        <w:trPr>
          <w:trHeight w:val="1134"/>
        </w:trPr>
        <w:tc>
          <w:tcPr>
            <w:tcW w:w="1334" w:type="pct"/>
            <w:tcBorders>
              <w:top w:val="single" w:sz="8" w:space="0" w:color="BABABA"/>
              <w:left w:val="single" w:sz="8" w:space="0" w:color="BABABA"/>
              <w:bottom w:val="single" w:sz="8" w:space="0" w:color="BABABA"/>
              <w:right w:val="single" w:sz="8" w:space="0" w:color="BABABA"/>
            </w:tcBorders>
            <w:hideMark/>
          </w:tcPr>
          <w:p w14:paraId="30AE61B0" w14:textId="77777777" w:rsidR="00BA160A" w:rsidRPr="00722521" w:rsidRDefault="00BA160A" w:rsidP="00A903E6">
            <w:pPr>
              <w:pStyle w:val="TableParagraph"/>
              <w:mirrorIndents/>
              <w:rPr>
                <w:szCs w:val="17"/>
              </w:rPr>
            </w:pPr>
            <w:r w:rsidRPr="00722521">
              <w:rPr>
                <w:szCs w:val="17"/>
              </w:rPr>
              <w:t>Convergence in the application of Union law</w:t>
            </w:r>
          </w:p>
        </w:tc>
        <w:tc>
          <w:tcPr>
            <w:tcW w:w="636" w:type="pct"/>
            <w:tcBorders>
              <w:top w:val="single" w:sz="8" w:space="0" w:color="BABABA"/>
              <w:left w:val="single" w:sz="8" w:space="0" w:color="BABABA"/>
              <w:bottom w:val="single" w:sz="8" w:space="0" w:color="BABABA"/>
              <w:right w:val="single" w:sz="8" w:space="0" w:color="BABABA"/>
            </w:tcBorders>
          </w:tcPr>
          <w:p w14:paraId="21F44D5B" w14:textId="77777777" w:rsidR="00BA160A" w:rsidRPr="00722521" w:rsidRDefault="00BA160A" w:rsidP="00A903E6">
            <w:pPr>
              <w:pStyle w:val="TableParagraph"/>
              <w:mirrorIndents/>
              <w:rPr>
                <w:b/>
                <w:szCs w:val="17"/>
              </w:rPr>
            </w:pPr>
          </w:p>
        </w:tc>
        <w:tc>
          <w:tcPr>
            <w:tcW w:w="670" w:type="pct"/>
            <w:tcBorders>
              <w:top w:val="single" w:sz="8" w:space="0" w:color="BABABA"/>
              <w:left w:val="single" w:sz="8" w:space="0" w:color="BABABA"/>
              <w:bottom w:val="single" w:sz="8" w:space="0" w:color="BABABA"/>
              <w:right w:val="single" w:sz="8" w:space="0" w:color="BABABA"/>
            </w:tcBorders>
          </w:tcPr>
          <w:p w14:paraId="02451501" w14:textId="77777777" w:rsidR="00BA160A" w:rsidRPr="00722521" w:rsidRDefault="00BA160A" w:rsidP="00A903E6">
            <w:pPr>
              <w:pStyle w:val="TableParagraph"/>
              <w:mirrorIndents/>
              <w:rPr>
                <w:b/>
                <w:szCs w:val="17"/>
              </w:rPr>
            </w:pPr>
          </w:p>
        </w:tc>
        <w:tc>
          <w:tcPr>
            <w:tcW w:w="492" w:type="pct"/>
            <w:tcBorders>
              <w:top w:val="single" w:sz="8" w:space="0" w:color="BABABA"/>
              <w:left w:val="single" w:sz="8" w:space="0" w:color="BABABA"/>
              <w:bottom w:val="single" w:sz="8" w:space="0" w:color="BABABA"/>
              <w:right w:val="single" w:sz="8" w:space="0" w:color="BABABA"/>
            </w:tcBorders>
          </w:tcPr>
          <w:p w14:paraId="67BF182A" w14:textId="77777777" w:rsidR="00BA160A" w:rsidRPr="00722521" w:rsidRDefault="00BA160A" w:rsidP="00A903E6">
            <w:pPr>
              <w:pStyle w:val="TableParagraph"/>
              <w:mirrorIndents/>
              <w:rPr>
                <w:b/>
                <w:szCs w:val="17"/>
              </w:rPr>
            </w:pPr>
          </w:p>
        </w:tc>
        <w:tc>
          <w:tcPr>
            <w:tcW w:w="657" w:type="pct"/>
            <w:tcBorders>
              <w:top w:val="single" w:sz="8" w:space="0" w:color="BABABA"/>
              <w:left w:val="single" w:sz="8" w:space="0" w:color="BABABA"/>
              <w:bottom w:val="single" w:sz="8" w:space="0" w:color="BABABA"/>
              <w:right w:val="single" w:sz="8" w:space="0" w:color="BABABA"/>
            </w:tcBorders>
          </w:tcPr>
          <w:p w14:paraId="076AD6E9" w14:textId="77777777" w:rsidR="00BA160A" w:rsidRPr="00722521" w:rsidRDefault="00BA160A" w:rsidP="00A903E6">
            <w:pPr>
              <w:pStyle w:val="TableParagraph"/>
              <w:mirrorIndents/>
              <w:rPr>
                <w:b/>
                <w:szCs w:val="17"/>
              </w:rPr>
            </w:pPr>
          </w:p>
        </w:tc>
        <w:tc>
          <w:tcPr>
            <w:tcW w:w="663" w:type="pct"/>
            <w:tcBorders>
              <w:top w:val="single" w:sz="8" w:space="0" w:color="BABABA"/>
              <w:left w:val="single" w:sz="8" w:space="0" w:color="BABABA"/>
              <w:bottom w:val="single" w:sz="8" w:space="0" w:color="BABABA"/>
              <w:right w:val="single" w:sz="8" w:space="0" w:color="BABABA"/>
            </w:tcBorders>
          </w:tcPr>
          <w:p w14:paraId="3963798E" w14:textId="77777777" w:rsidR="00BA160A" w:rsidRPr="00722521" w:rsidRDefault="00BA160A" w:rsidP="00A903E6">
            <w:pPr>
              <w:pStyle w:val="TableParagraph"/>
              <w:mirrorIndents/>
              <w:rPr>
                <w:b/>
                <w:szCs w:val="17"/>
              </w:rPr>
            </w:pPr>
          </w:p>
        </w:tc>
        <w:tc>
          <w:tcPr>
            <w:tcW w:w="547" w:type="pct"/>
            <w:tcBorders>
              <w:top w:val="single" w:sz="8" w:space="0" w:color="BABABA"/>
              <w:left w:val="single" w:sz="8" w:space="0" w:color="BABABA"/>
              <w:bottom w:val="single" w:sz="8" w:space="0" w:color="BABABA"/>
              <w:right w:val="single" w:sz="8" w:space="0" w:color="BABABA"/>
            </w:tcBorders>
          </w:tcPr>
          <w:p w14:paraId="5FBDCB82" w14:textId="1BBB2574" w:rsidR="00BA160A" w:rsidRPr="00722521" w:rsidRDefault="005851A7" w:rsidP="00A903E6">
            <w:pPr>
              <w:pStyle w:val="TableParagraph"/>
              <w:mirrorIndents/>
              <w:rPr>
                <w:b/>
                <w:szCs w:val="17"/>
              </w:rPr>
            </w:pPr>
            <w:r w:rsidRPr="00722521">
              <w:rPr>
                <w:b/>
                <w:szCs w:val="17"/>
              </w:rPr>
              <w:t>x</w:t>
            </w:r>
          </w:p>
        </w:tc>
      </w:tr>
      <w:tr w:rsidR="00770934" w:rsidRPr="00722521" w14:paraId="4DE6CB5F" w14:textId="77777777" w:rsidTr="008451AD">
        <w:trPr>
          <w:trHeight w:val="826"/>
        </w:trPr>
        <w:tc>
          <w:tcPr>
            <w:tcW w:w="1334" w:type="pct"/>
            <w:tcBorders>
              <w:top w:val="single" w:sz="8" w:space="0" w:color="BABABA"/>
              <w:left w:val="single" w:sz="8" w:space="0" w:color="BABABA"/>
              <w:bottom w:val="single" w:sz="8" w:space="0" w:color="BABABA"/>
              <w:right w:val="single" w:sz="8" w:space="0" w:color="BABABA"/>
            </w:tcBorders>
            <w:hideMark/>
          </w:tcPr>
          <w:p w14:paraId="07600787" w14:textId="77777777" w:rsidR="00BA160A" w:rsidRPr="00722521" w:rsidRDefault="00BA160A" w:rsidP="00A903E6">
            <w:pPr>
              <w:pStyle w:val="TableParagraph"/>
              <w:mirrorIndents/>
              <w:rPr>
                <w:szCs w:val="17"/>
              </w:rPr>
            </w:pPr>
            <w:r w:rsidRPr="00722521">
              <w:rPr>
                <w:szCs w:val="17"/>
              </w:rPr>
              <w:lastRenderedPageBreak/>
              <w:t>Convergence in supervisory practices</w:t>
            </w:r>
          </w:p>
        </w:tc>
        <w:tc>
          <w:tcPr>
            <w:tcW w:w="636" w:type="pct"/>
            <w:tcBorders>
              <w:top w:val="single" w:sz="8" w:space="0" w:color="BABABA"/>
              <w:left w:val="single" w:sz="8" w:space="0" w:color="BABABA"/>
              <w:bottom w:val="single" w:sz="8" w:space="0" w:color="BABABA"/>
              <w:right w:val="single" w:sz="8" w:space="0" w:color="BABABA"/>
            </w:tcBorders>
          </w:tcPr>
          <w:p w14:paraId="16B35392" w14:textId="77777777" w:rsidR="00BA160A" w:rsidRPr="00722521" w:rsidRDefault="00BA160A" w:rsidP="00A903E6">
            <w:pPr>
              <w:pStyle w:val="TableParagraph"/>
              <w:mirrorIndents/>
              <w:rPr>
                <w:b/>
                <w:szCs w:val="17"/>
              </w:rPr>
            </w:pPr>
          </w:p>
        </w:tc>
        <w:tc>
          <w:tcPr>
            <w:tcW w:w="670" w:type="pct"/>
            <w:tcBorders>
              <w:top w:val="single" w:sz="8" w:space="0" w:color="BABABA"/>
              <w:left w:val="single" w:sz="8" w:space="0" w:color="BABABA"/>
              <w:bottom w:val="single" w:sz="8" w:space="0" w:color="BABABA"/>
              <w:right w:val="single" w:sz="8" w:space="0" w:color="BABABA"/>
            </w:tcBorders>
          </w:tcPr>
          <w:p w14:paraId="0218C2D5" w14:textId="77777777" w:rsidR="00BA160A" w:rsidRPr="00722521" w:rsidRDefault="00BA160A" w:rsidP="00A903E6">
            <w:pPr>
              <w:pStyle w:val="TableParagraph"/>
              <w:mirrorIndents/>
              <w:rPr>
                <w:b/>
                <w:szCs w:val="17"/>
              </w:rPr>
            </w:pPr>
          </w:p>
        </w:tc>
        <w:tc>
          <w:tcPr>
            <w:tcW w:w="492" w:type="pct"/>
            <w:tcBorders>
              <w:top w:val="single" w:sz="8" w:space="0" w:color="BABABA"/>
              <w:left w:val="single" w:sz="8" w:space="0" w:color="BABABA"/>
              <w:bottom w:val="single" w:sz="8" w:space="0" w:color="BABABA"/>
              <w:right w:val="single" w:sz="8" w:space="0" w:color="BABABA"/>
            </w:tcBorders>
          </w:tcPr>
          <w:p w14:paraId="2FF2BCCE" w14:textId="77777777" w:rsidR="00BA160A" w:rsidRPr="00722521" w:rsidRDefault="00BA160A" w:rsidP="00A903E6">
            <w:pPr>
              <w:pStyle w:val="TableParagraph"/>
              <w:mirrorIndents/>
              <w:rPr>
                <w:b/>
                <w:szCs w:val="17"/>
              </w:rPr>
            </w:pPr>
          </w:p>
        </w:tc>
        <w:tc>
          <w:tcPr>
            <w:tcW w:w="657" w:type="pct"/>
            <w:tcBorders>
              <w:top w:val="single" w:sz="8" w:space="0" w:color="BABABA"/>
              <w:left w:val="single" w:sz="8" w:space="0" w:color="BABABA"/>
              <w:bottom w:val="single" w:sz="8" w:space="0" w:color="BABABA"/>
              <w:right w:val="single" w:sz="8" w:space="0" w:color="BABABA"/>
            </w:tcBorders>
          </w:tcPr>
          <w:p w14:paraId="56A6BAC3" w14:textId="77777777" w:rsidR="00BA160A" w:rsidRPr="00722521" w:rsidRDefault="00BA160A" w:rsidP="00A903E6">
            <w:pPr>
              <w:pStyle w:val="TableParagraph"/>
              <w:mirrorIndents/>
              <w:rPr>
                <w:b/>
                <w:szCs w:val="17"/>
              </w:rPr>
            </w:pPr>
          </w:p>
        </w:tc>
        <w:tc>
          <w:tcPr>
            <w:tcW w:w="663" w:type="pct"/>
            <w:tcBorders>
              <w:top w:val="single" w:sz="8" w:space="0" w:color="BABABA"/>
              <w:left w:val="single" w:sz="8" w:space="0" w:color="BABABA"/>
              <w:bottom w:val="single" w:sz="8" w:space="0" w:color="BABABA"/>
              <w:right w:val="single" w:sz="8" w:space="0" w:color="BABABA"/>
            </w:tcBorders>
          </w:tcPr>
          <w:p w14:paraId="069F462F" w14:textId="77777777" w:rsidR="00BA160A" w:rsidRPr="00722521" w:rsidRDefault="00BA160A" w:rsidP="00A903E6">
            <w:pPr>
              <w:pStyle w:val="TableParagraph"/>
              <w:mirrorIndents/>
              <w:rPr>
                <w:b/>
                <w:szCs w:val="17"/>
              </w:rPr>
            </w:pPr>
          </w:p>
        </w:tc>
        <w:tc>
          <w:tcPr>
            <w:tcW w:w="547" w:type="pct"/>
            <w:tcBorders>
              <w:top w:val="single" w:sz="8" w:space="0" w:color="BABABA"/>
              <w:left w:val="single" w:sz="8" w:space="0" w:color="BABABA"/>
              <w:bottom w:val="single" w:sz="8" w:space="0" w:color="BABABA"/>
              <w:right w:val="single" w:sz="8" w:space="0" w:color="BABABA"/>
            </w:tcBorders>
          </w:tcPr>
          <w:p w14:paraId="34697CD5" w14:textId="25A708F9" w:rsidR="00BA160A" w:rsidRPr="00722521" w:rsidRDefault="005851A7" w:rsidP="00A903E6">
            <w:pPr>
              <w:pStyle w:val="TableParagraph"/>
              <w:mirrorIndents/>
              <w:rPr>
                <w:b/>
                <w:szCs w:val="17"/>
              </w:rPr>
            </w:pPr>
            <w:r w:rsidRPr="00722521">
              <w:rPr>
                <w:b/>
                <w:szCs w:val="17"/>
              </w:rPr>
              <w:t>x</w:t>
            </w:r>
          </w:p>
        </w:tc>
      </w:tr>
      <w:tr w:rsidR="00770934" w:rsidRPr="00722521" w14:paraId="310E4B4E" w14:textId="77777777" w:rsidTr="008451AD">
        <w:trPr>
          <w:trHeight w:val="1134"/>
        </w:trPr>
        <w:tc>
          <w:tcPr>
            <w:tcW w:w="1334" w:type="pct"/>
            <w:tcBorders>
              <w:top w:val="single" w:sz="8" w:space="0" w:color="BABABA"/>
              <w:left w:val="single" w:sz="8" w:space="0" w:color="BABABA"/>
              <w:bottom w:val="single" w:sz="8" w:space="0" w:color="BABABA"/>
              <w:right w:val="single" w:sz="8" w:space="0" w:color="BABABA"/>
            </w:tcBorders>
            <w:hideMark/>
          </w:tcPr>
          <w:p w14:paraId="2A14ED1B" w14:textId="77777777" w:rsidR="00BA160A" w:rsidRPr="00722521" w:rsidRDefault="00BA160A" w:rsidP="00A903E6">
            <w:pPr>
              <w:pStyle w:val="TableParagraph"/>
              <w:mirrorIndents/>
              <w:rPr>
                <w:szCs w:val="17"/>
              </w:rPr>
            </w:pPr>
            <w:r w:rsidRPr="00722521">
              <w:rPr>
                <w:w w:val="105"/>
                <w:szCs w:val="17"/>
              </w:rPr>
              <w:t>More wide spread application of best practices</w:t>
            </w:r>
            <w:r w:rsidRPr="00722521">
              <w:rPr>
                <w:w w:val="102"/>
                <w:szCs w:val="17"/>
              </w:rPr>
              <w:t xml:space="preserve"> </w:t>
            </w:r>
            <w:r w:rsidRPr="00722521">
              <w:rPr>
                <w:w w:val="105"/>
                <w:szCs w:val="17"/>
              </w:rPr>
              <w:t>developed by other competent authorities</w:t>
            </w:r>
          </w:p>
        </w:tc>
        <w:tc>
          <w:tcPr>
            <w:tcW w:w="636" w:type="pct"/>
            <w:tcBorders>
              <w:top w:val="single" w:sz="8" w:space="0" w:color="BABABA"/>
              <w:left w:val="single" w:sz="8" w:space="0" w:color="BABABA"/>
              <w:bottom w:val="single" w:sz="8" w:space="0" w:color="BABABA"/>
              <w:right w:val="single" w:sz="8" w:space="0" w:color="BABABA"/>
            </w:tcBorders>
          </w:tcPr>
          <w:p w14:paraId="36A87487" w14:textId="77777777" w:rsidR="00BA160A" w:rsidRPr="00722521" w:rsidRDefault="00BA160A" w:rsidP="00A903E6">
            <w:pPr>
              <w:pStyle w:val="TableParagraph"/>
              <w:mirrorIndents/>
              <w:rPr>
                <w:b/>
                <w:szCs w:val="17"/>
              </w:rPr>
            </w:pPr>
          </w:p>
        </w:tc>
        <w:tc>
          <w:tcPr>
            <w:tcW w:w="670" w:type="pct"/>
            <w:tcBorders>
              <w:top w:val="single" w:sz="8" w:space="0" w:color="BABABA"/>
              <w:left w:val="single" w:sz="8" w:space="0" w:color="BABABA"/>
              <w:bottom w:val="single" w:sz="8" w:space="0" w:color="BABABA"/>
              <w:right w:val="single" w:sz="8" w:space="0" w:color="BABABA"/>
            </w:tcBorders>
          </w:tcPr>
          <w:p w14:paraId="145A070A" w14:textId="77777777" w:rsidR="00BA160A" w:rsidRPr="00722521" w:rsidRDefault="00BA160A" w:rsidP="00A903E6">
            <w:pPr>
              <w:pStyle w:val="TableParagraph"/>
              <w:mirrorIndents/>
              <w:rPr>
                <w:b/>
                <w:szCs w:val="17"/>
              </w:rPr>
            </w:pPr>
          </w:p>
        </w:tc>
        <w:tc>
          <w:tcPr>
            <w:tcW w:w="492" w:type="pct"/>
            <w:tcBorders>
              <w:top w:val="single" w:sz="8" w:space="0" w:color="BABABA"/>
              <w:left w:val="single" w:sz="8" w:space="0" w:color="BABABA"/>
              <w:bottom w:val="single" w:sz="8" w:space="0" w:color="BABABA"/>
              <w:right w:val="single" w:sz="8" w:space="0" w:color="BABABA"/>
            </w:tcBorders>
          </w:tcPr>
          <w:p w14:paraId="07DD348D" w14:textId="77777777" w:rsidR="00BA160A" w:rsidRPr="00722521" w:rsidRDefault="00BA160A" w:rsidP="00A903E6">
            <w:pPr>
              <w:pStyle w:val="TableParagraph"/>
              <w:mirrorIndents/>
              <w:rPr>
                <w:b/>
                <w:szCs w:val="17"/>
              </w:rPr>
            </w:pPr>
          </w:p>
        </w:tc>
        <w:tc>
          <w:tcPr>
            <w:tcW w:w="657" w:type="pct"/>
            <w:tcBorders>
              <w:top w:val="single" w:sz="8" w:space="0" w:color="BABABA"/>
              <w:left w:val="single" w:sz="8" w:space="0" w:color="BABABA"/>
              <w:bottom w:val="single" w:sz="8" w:space="0" w:color="BABABA"/>
              <w:right w:val="single" w:sz="8" w:space="0" w:color="BABABA"/>
            </w:tcBorders>
          </w:tcPr>
          <w:p w14:paraId="21C56B2B" w14:textId="77777777" w:rsidR="00BA160A" w:rsidRPr="00722521" w:rsidRDefault="00BA160A" w:rsidP="00A903E6">
            <w:pPr>
              <w:pStyle w:val="TableParagraph"/>
              <w:mirrorIndents/>
              <w:rPr>
                <w:b/>
                <w:szCs w:val="17"/>
              </w:rPr>
            </w:pPr>
          </w:p>
        </w:tc>
        <w:tc>
          <w:tcPr>
            <w:tcW w:w="663" w:type="pct"/>
            <w:tcBorders>
              <w:top w:val="single" w:sz="8" w:space="0" w:color="BABABA"/>
              <w:left w:val="single" w:sz="8" w:space="0" w:color="BABABA"/>
              <w:bottom w:val="single" w:sz="8" w:space="0" w:color="BABABA"/>
              <w:right w:val="single" w:sz="8" w:space="0" w:color="BABABA"/>
            </w:tcBorders>
          </w:tcPr>
          <w:p w14:paraId="0196AEF2" w14:textId="77777777" w:rsidR="00BA160A" w:rsidRPr="00722521" w:rsidRDefault="00BA160A" w:rsidP="00A903E6">
            <w:pPr>
              <w:pStyle w:val="TableParagraph"/>
              <w:mirrorIndents/>
              <w:rPr>
                <w:b/>
                <w:szCs w:val="17"/>
              </w:rPr>
            </w:pPr>
          </w:p>
        </w:tc>
        <w:tc>
          <w:tcPr>
            <w:tcW w:w="547" w:type="pct"/>
            <w:tcBorders>
              <w:top w:val="single" w:sz="8" w:space="0" w:color="BABABA"/>
              <w:left w:val="single" w:sz="8" w:space="0" w:color="BABABA"/>
              <w:bottom w:val="single" w:sz="8" w:space="0" w:color="BABABA"/>
              <w:right w:val="single" w:sz="8" w:space="0" w:color="BABABA"/>
            </w:tcBorders>
          </w:tcPr>
          <w:p w14:paraId="7189083F" w14:textId="5D8F5EFB" w:rsidR="00BA160A" w:rsidRPr="00722521" w:rsidRDefault="005851A7" w:rsidP="00A903E6">
            <w:pPr>
              <w:pStyle w:val="TableParagraph"/>
              <w:mirrorIndents/>
              <w:rPr>
                <w:b/>
                <w:szCs w:val="17"/>
              </w:rPr>
            </w:pPr>
            <w:r w:rsidRPr="00722521">
              <w:rPr>
                <w:b/>
                <w:szCs w:val="17"/>
              </w:rPr>
              <w:t>x</w:t>
            </w:r>
          </w:p>
        </w:tc>
      </w:tr>
      <w:tr w:rsidR="008451AD" w:rsidRPr="00722521" w14:paraId="2816C27C" w14:textId="77777777" w:rsidTr="008451AD">
        <w:trPr>
          <w:trHeight w:val="1134"/>
        </w:trPr>
        <w:tc>
          <w:tcPr>
            <w:tcW w:w="1334" w:type="pct"/>
            <w:tcBorders>
              <w:top w:val="single" w:sz="8" w:space="0" w:color="BABABA"/>
              <w:left w:val="single" w:sz="8" w:space="0" w:color="BABABA"/>
              <w:bottom w:val="single" w:sz="8" w:space="0" w:color="BABABA"/>
              <w:right w:val="single" w:sz="8" w:space="0" w:color="BABABA"/>
            </w:tcBorders>
          </w:tcPr>
          <w:p w14:paraId="598C8903" w14:textId="4F159A55" w:rsidR="008451AD" w:rsidRPr="00722521" w:rsidRDefault="008451AD" w:rsidP="00A903E6">
            <w:pPr>
              <w:pStyle w:val="TableParagraph"/>
              <w:mirrorIndents/>
              <w:rPr>
                <w:w w:val="105"/>
                <w:szCs w:val="17"/>
              </w:rPr>
            </w:pPr>
            <w:r w:rsidRPr="00722521">
              <w:rPr>
                <w:szCs w:val="17"/>
              </w:rPr>
              <w:t>Convergence in the enforcement of provisions adopted in the implementation of Union</w:t>
            </w:r>
            <w:r w:rsidRPr="00722521">
              <w:rPr>
                <w:spacing w:val="28"/>
                <w:szCs w:val="17"/>
              </w:rPr>
              <w:t xml:space="preserve"> </w:t>
            </w:r>
            <w:r w:rsidRPr="00722521">
              <w:rPr>
                <w:szCs w:val="17"/>
              </w:rPr>
              <w:t>law</w:t>
            </w:r>
          </w:p>
        </w:tc>
        <w:tc>
          <w:tcPr>
            <w:tcW w:w="636" w:type="pct"/>
            <w:tcBorders>
              <w:top w:val="single" w:sz="8" w:space="0" w:color="BABABA"/>
              <w:left w:val="single" w:sz="8" w:space="0" w:color="BABABA"/>
              <w:bottom w:val="single" w:sz="8" w:space="0" w:color="BABABA"/>
              <w:right w:val="single" w:sz="8" w:space="0" w:color="BABABA"/>
            </w:tcBorders>
          </w:tcPr>
          <w:p w14:paraId="7F711333" w14:textId="77777777" w:rsidR="008451AD" w:rsidRPr="00722521" w:rsidRDefault="008451AD" w:rsidP="00A903E6">
            <w:pPr>
              <w:pStyle w:val="TableParagraph"/>
              <w:mirrorIndents/>
              <w:rPr>
                <w:b/>
                <w:szCs w:val="17"/>
              </w:rPr>
            </w:pPr>
          </w:p>
        </w:tc>
        <w:tc>
          <w:tcPr>
            <w:tcW w:w="670" w:type="pct"/>
            <w:tcBorders>
              <w:top w:val="single" w:sz="8" w:space="0" w:color="BABABA"/>
              <w:left w:val="single" w:sz="8" w:space="0" w:color="BABABA"/>
              <w:bottom w:val="single" w:sz="8" w:space="0" w:color="BABABA"/>
              <w:right w:val="single" w:sz="8" w:space="0" w:color="BABABA"/>
            </w:tcBorders>
          </w:tcPr>
          <w:p w14:paraId="2FFA86F0" w14:textId="77777777" w:rsidR="008451AD" w:rsidRPr="00722521" w:rsidRDefault="008451AD" w:rsidP="00A903E6">
            <w:pPr>
              <w:pStyle w:val="TableParagraph"/>
              <w:mirrorIndents/>
              <w:rPr>
                <w:b/>
                <w:szCs w:val="17"/>
              </w:rPr>
            </w:pPr>
          </w:p>
        </w:tc>
        <w:tc>
          <w:tcPr>
            <w:tcW w:w="492" w:type="pct"/>
            <w:tcBorders>
              <w:top w:val="single" w:sz="8" w:space="0" w:color="BABABA"/>
              <w:left w:val="single" w:sz="8" w:space="0" w:color="BABABA"/>
              <w:bottom w:val="single" w:sz="8" w:space="0" w:color="BABABA"/>
              <w:right w:val="single" w:sz="8" w:space="0" w:color="BABABA"/>
            </w:tcBorders>
          </w:tcPr>
          <w:p w14:paraId="39175EF5" w14:textId="77777777" w:rsidR="008451AD" w:rsidRPr="00722521" w:rsidRDefault="008451AD" w:rsidP="00A903E6">
            <w:pPr>
              <w:pStyle w:val="TableParagraph"/>
              <w:mirrorIndents/>
              <w:rPr>
                <w:b/>
                <w:szCs w:val="17"/>
              </w:rPr>
            </w:pPr>
          </w:p>
        </w:tc>
        <w:tc>
          <w:tcPr>
            <w:tcW w:w="657" w:type="pct"/>
            <w:tcBorders>
              <w:top w:val="single" w:sz="8" w:space="0" w:color="BABABA"/>
              <w:left w:val="single" w:sz="8" w:space="0" w:color="BABABA"/>
              <w:bottom w:val="single" w:sz="8" w:space="0" w:color="BABABA"/>
              <w:right w:val="single" w:sz="8" w:space="0" w:color="BABABA"/>
            </w:tcBorders>
          </w:tcPr>
          <w:p w14:paraId="50A2B891" w14:textId="77777777" w:rsidR="008451AD" w:rsidRPr="00722521" w:rsidRDefault="008451AD" w:rsidP="00A903E6">
            <w:pPr>
              <w:pStyle w:val="TableParagraph"/>
              <w:mirrorIndents/>
              <w:rPr>
                <w:b/>
                <w:szCs w:val="17"/>
              </w:rPr>
            </w:pPr>
          </w:p>
        </w:tc>
        <w:tc>
          <w:tcPr>
            <w:tcW w:w="663" w:type="pct"/>
            <w:tcBorders>
              <w:top w:val="single" w:sz="8" w:space="0" w:color="BABABA"/>
              <w:left w:val="single" w:sz="8" w:space="0" w:color="BABABA"/>
              <w:bottom w:val="single" w:sz="8" w:space="0" w:color="BABABA"/>
              <w:right w:val="single" w:sz="8" w:space="0" w:color="BABABA"/>
            </w:tcBorders>
          </w:tcPr>
          <w:p w14:paraId="0D8F6B2B" w14:textId="77777777" w:rsidR="008451AD" w:rsidRPr="00722521" w:rsidRDefault="008451AD" w:rsidP="00A903E6">
            <w:pPr>
              <w:pStyle w:val="TableParagraph"/>
              <w:mirrorIndents/>
              <w:rPr>
                <w:b/>
                <w:szCs w:val="17"/>
              </w:rPr>
            </w:pPr>
          </w:p>
        </w:tc>
        <w:tc>
          <w:tcPr>
            <w:tcW w:w="547" w:type="pct"/>
            <w:tcBorders>
              <w:top w:val="single" w:sz="8" w:space="0" w:color="BABABA"/>
              <w:left w:val="single" w:sz="8" w:space="0" w:color="BABABA"/>
              <w:bottom w:val="single" w:sz="8" w:space="0" w:color="BABABA"/>
              <w:right w:val="single" w:sz="8" w:space="0" w:color="BABABA"/>
            </w:tcBorders>
          </w:tcPr>
          <w:p w14:paraId="520F17F4" w14:textId="57BBA9BD" w:rsidR="008451AD" w:rsidRPr="00722521" w:rsidRDefault="005851A7" w:rsidP="00A903E6">
            <w:pPr>
              <w:pStyle w:val="TableParagraph"/>
              <w:mirrorIndents/>
              <w:rPr>
                <w:b/>
                <w:szCs w:val="17"/>
              </w:rPr>
            </w:pPr>
            <w:r w:rsidRPr="00722521">
              <w:rPr>
                <w:b/>
                <w:szCs w:val="17"/>
              </w:rPr>
              <w:t>x</w:t>
            </w:r>
          </w:p>
        </w:tc>
      </w:tr>
      <w:tr w:rsidR="008451AD" w:rsidRPr="00722521" w14:paraId="0D1BB295" w14:textId="77777777" w:rsidTr="008451AD">
        <w:trPr>
          <w:trHeight w:val="762"/>
        </w:trPr>
        <w:tc>
          <w:tcPr>
            <w:tcW w:w="1334" w:type="pct"/>
            <w:tcBorders>
              <w:top w:val="single" w:sz="8" w:space="0" w:color="BABABA"/>
              <w:left w:val="single" w:sz="8" w:space="0" w:color="BABABA"/>
              <w:bottom w:val="single" w:sz="8" w:space="0" w:color="BABABA"/>
              <w:right w:val="single" w:sz="8" w:space="0" w:color="BABABA"/>
            </w:tcBorders>
          </w:tcPr>
          <w:p w14:paraId="1BF9989A" w14:textId="68495ACC" w:rsidR="008451AD" w:rsidRPr="00722521" w:rsidRDefault="008451AD" w:rsidP="00A903E6">
            <w:pPr>
              <w:pStyle w:val="TableParagraph"/>
              <w:mirrorIndents/>
              <w:rPr>
                <w:w w:val="105"/>
                <w:szCs w:val="17"/>
              </w:rPr>
            </w:pPr>
            <w:r w:rsidRPr="00722521">
              <w:rPr>
                <w:szCs w:val="17"/>
              </w:rPr>
              <w:t xml:space="preserve">Further </w:t>
            </w:r>
            <w:proofErr w:type="spellStart"/>
            <w:r w:rsidRPr="00722521">
              <w:rPr>
                <w:szCs w:val="17"/>
              </w:rPr>
              <w:t>harmonisation</w:t>
            </w:r>
            <w:proofErr w:type="spellEnd"/>
            <w:r w:rsidRPr="00722521">
              <w:rPr>
                <w:szCs w:val="17"/>
              </w:rPr>
              <w:t xml:space="preserve"> of Union rules</w:t>
            </w:r>
          </w:p>
        </w:tc>
        <w:tc>
          <w:tcPr>
            <w:tcW w:w="636" w:type="pct"/>
            <w:tcBorders>
              <w:top w:val="single" w:sz="8" w:space="0" w:color="BABABA"/>
              <w:left w:val="single" w:sz="8" w:space="0" w:color="BABABA"/>
              <w:bottom w:val="single" w:sz="8" w:space="0" w:color="BABABA"/>
              <w:right w:val="single" w:sz="8" w:space="0" w:color="BABABA"/>
            </w:tcBorders>
          </w:tcPr>
          <w:p w14:paraId="516015F9" w14:textId="77777777" w:rsidR="008451AD" w:rsidRPr="00722521" w:rsidRDefault="008451AD" w:rsidP="00A903E6">
            <w:pPr>
              <w:pStyle w:val="TableParagraph"/>
              <w:mirrorIndents/>
              <w:rPr>
                <w:b/>
                <w:szCs w:val="17"/>
              </w:rPr>
            </w:pPr>
          </w:p>
        </w:tc>
        <w:tc>
          <w:tcPr>
            <w:tcW w:w="670" w:type="pct"/>
            <w:tcBorders>
              <w:top w:val="single" w:sz="8" w:space="0" w:color="BABABA"/>
              <w:left w:val="single" w:sz="8" w:space="0" w:color="BABABA"/>
              <w:bottom w:val="single" w:sz="8" w:space="0" w:color="BABABA"/>
              <w:right w:val="single" w:sz="8" w:space="0" w:color="BABABA"/>
            </w:tcBorders>
          </w:tcPr>
          <w:p w14:paraId="6E37DCFA" w14:textId="77777777" w:rsidR="008451AD" w:rsidRPr="00722521" w:rsidRDefault="008451AD" w:rsidP="00A903E6">
            <w:pPr>
              <w:pStyle w:val="TableParagraph"/>
              <w:mirrorIndents/>
              <w:rPr>
                <w:b/>
                <w:szCs w:val="17"/>
              </w:rPr>
            </w:pPr>
          </w:p>
        </w:tc>
        <w:tc>
          <w:tcPr>
            <w:tcW w:w="492" w:type="pct"/>
            <w:tcBorders>
              <w:top w:val="single" w:sz="8" w:space="0" w:color="BABABA"/>
              <w:left w:val="single" w:sz="8" w:space="0" w:color="BABABA"/>
              <w:bottom w:val="single" w:sz="8" w:space="0" w:color="BABABA"/>
              <w:right w:val="single" w:sz="8" w:space="0" w:color="BABABA"/>
            </w:tcBorders>
          </w:tcPr>
          <w:p w14:paraId="702555C2" w14:textId="77777777" w:rsidR="008451AD" w:rsidRPr="00722521" w:rsidRDefault="008451AD" w:rsidP="00A903E6">
            <w:pPr>
              <w:pStyle w:val="TableParagraph"/>
              <w:mirrorIndents/>
              <w:rPr>
                <w:b/>
                <w:szCs w:val="17"/>
              </w:rPr>
            </w:pPr>
          </w:p>
        </w:tc>
        <w:tc>
          <w:tcPr>
            <w:tcW w:w="657" w:type="pct"/>
            <w:tcBorders>
              <w:top w:val="single" w:sz="8" w:space="0" w:color="BABABA"/>
              <w:left w:val="single" w:sz="8" w:space="0" w:color="BABABA"/>
              <w:bottom w:val="single" w:sz="8" w:space="0" w:color="BABABA"/>
              <w:right w:val="single" w:sz="8" w:space="0" w:color="BABABA"/>
            </w:tcBorders>
          </w:tcPr>
          <w:p w14:paraId="6357E5E4" w14:textId="77777777" w:rsidR="008451AD" w:rsidRPr="00722521" w:rsidRDefault="008451AD" w:rsidP="00A903E6">
            <w:pPr>
              <w:pStyle w:val="TableParagraph"/>
              <w:mirrorIndents/>
              <w:rPr>
                <w:b/>
                <w:szCs w:val="17"/>
              </w:rPr>
            </w:pPr>
          </w:p>
        </w:tc>
        <w:tc>
          <w:tcPr>
            <w:tcW w:w="663" w:type="pct"/>
            <w:tcBorders>
              <w:top w:val="single" w:sz="8" w:space="0" w:color="BABABA"/>
              <w:left w:val="single" w:sz="8" w:space="0" w:color="BABABA"/>
              <w:bottom w:val="single" w:sz="8" w:space="0" w:color="BABABA"/>
              <w:right w:val="single" w:sz="8" w:space="0" w:color="BABABA"/>
            </w:tcBorders>
          </w:tcPr>
          <w:p w14:paraId="3E1B43C1" w14:textId="77777777" w:rsidR="008451AD" w:rsidRPr="00722521" w:rsidRDefault="008451AD" w:rsidP="00A903E6">
            <w:pPr>
              <w:pStyle w:val="TableParagraph"/>
              <w:mirrorIndents/>
              <w:rPr>
                <w:b/>
                <w:szCs w:val="17"/>
              </w:rPr>
            </w:pPr>
          </w:p>
        </w:tc>
        <w:tc>
          <w:tcPr>
            <w:tcW w:w="547" w:type="pct"/>
            <w:tcBorders>
              <w:top w:val="single" w:sz="8" w:space="0" w:color="BABABA"/>
              <w:left w:val="single" w:sz="8" w:space="0" w:color="BABABA"/>
              <w:bottom w:val="single" w:sz="8" w:space="0" w:color="BABABA"/>
              <w:right w:val="single" w:sz="8" w:space="0" w:color="BABABA"/>
            </w:tcBorders>
          </w:tcPr>
          <w:p w14:paraId="37031A7B" w14:textId="271BA2D0" w:rsidR="008451AD" w:rsidRPr="00722521" w:rsidRDefault="005851A7" w:rsidP="00A903E6">
            <w:pPr>
              <w:pStyle w:val="TableParagraph"/>
              <w:mirrorIndents/>
              <w:rPr>
                <w:b/>
                <w:szCs w:val="17"/>
              </w:rPr>
            </w:pPr>
            <w:r w:rsidRPr="00722521">
              <w:rPr>
                <w:b/>
                <w:szCs w:val="17"/>
              </w:rPr>
              <w:t>x</w:t>
            </w:r>
          </w:p>
        </w:tc>
      </w:tr>
      <w:tr w:rsidR="008451AD" w:rsidRPr="00722521" w14:paraId="14DC2480" w14:textId="77777777" w:rsidTr="008451AD">
        <w:trPr>
          <w:trHeight w:val="546"/>
        </w:trPr>
        <w:tc>
          <w:tcPr>
            <w:tcW w:w="1334" w:type="pct"/>
            <w:tcBorders>
              <w:top w:val="single" w:sz="8" w:space="0" w:color="BABABA"/>
              <w:left w:val="single" w:sz="8" w:space="0" w:color="BABABA"/>
              <w:bottom w:val="single" w:sz="8" w:space="0" w:color="BABABA"/>
              <w:right w:val="single" w:sz="8" w:space="0" w:color="BABABA"/>
            </w:tcBorders>
          </w:tcPr>
          <w:p w14:paraId="11A575D3" w14:textId="6BBC0DDD" w:rsidR="008451AD" w:rsidRPr="00722521" w:rsidRDefault="008451AD" w:rsidP="00A903E6">
            <w:pPr>
              <w:pStyle w:val="TableParagraph"/>
              <w:mirrorIndents/>
              <w:rPr>
                <w:w w:val="105"/>
                <w:szCs w:val="17"/>
              </w:rPr>
            </w:pPr>
            <w:r w:rsidRPr="00722521">
              <w:rPr>
                <w:w w:val="105"/>
                <w:szCs w:val="17"/>
              </w:rPr>
              <w:t>Other</w:t>
            </w:r>
          </w:p>
        </w:tc>
        <w:tc>
          <w:tcPr>
            <w:tcW w:w="636" w:type="pct"/>
            <w:tcBorders>
              <w:top w:val="single" w:sz="8" w:space="0" w:color="BABABA"/>
              <w:left w:val="single" w:sz="8" w:space="0" w:color="BABABA"/>
              <w:bottom w:val="single" w:sz="8" w:space="0" w:color="BABABA"/>
              <w:right w:val="single" w:sz="8" w:space="0" w:color="BABABA"/>
            </w:tcBorders>
          </w:tcPr>
          <w:p w14:paraId="13A5E976" w14:textId="77777777" w:rsidR="008451AD" w:rsidRPr="00722521" w:rsidRDefault="008451AD" w:rsidP="00A903E6">
            <w:pPr>
              <w:pStyle w:val="TableParagraph"/>
              <w:mirrorIndents/>
              <w:rPr>
                <w:b/>
                <w:szCs w:val="17"/>
              </w:rPr>
            </w:pPr>
          </w:p>
        </w:tc>
        <w:tc>
          <w:tcPr>
            <w:tcW w:w="670" w:type="pct"/>
            <w:tcBorders>
              <w:top w:val="single" w:sz="8" w:space="0" w:color="BABABA"/>
              <w:left w:val="single" w:sz="8" w:space="0" w:color="BABABA"/>
              <w:bottom w:val="single" w:sz="8" w:space="0" w:color="BABABA"/>
              <w:right w:val="single" w:sz="8" w:space="0" w:color="BABABA"/>
            </w:tcBorders>
          </w:tcPr>
          <w:p w14:paraId="5EFA041F" w14:textId="77777777" w:rsidR="008451AD" w:rsidRPr="00722521" w:rsidRDefault="008451AD" w:rsidP="00A903E6">
            <w:pPr>
              <w:pStyle w:val="TableParagraph"/>
              <w:mirrorIndents/>
              <w:rPr>
                <w:b/>
                <w:szCs w:val="17"/>
              </w:rPr>
            </w:pPr>
          </w:p>
        </w:tc>
        <w:tc>
          <w:tcPr>
            <w:tcW w:w="492" w:type="pct"/>
            <w:tcBorders>
              <w:top w:val="single" w:sz="8" w:space="0" w:color="BABABA"/>
              <w:left w:val="single" w:sz="8" w:space="0" w:color="BABABA"/>
              <w:bottom w:val="single" w:sz="8" w:space="0" w:color="BABABA"/>
              <w:right w:val="single" w:sz="8" w:space="0" w:color="BABABA"/>
            </w:tcBorders>
          </w:tcPr>
          <w:p w14:paraId="387CF234" w14:textId="77777777" w:rsidR="008451AD" w:rsidRPr="00722521" w:rsidRDefault="008451AD" w:rsidP="00A903E6">
            <w:pPr>
              <w:pStyle w:val="TableParagraph"/>
              <w:mirrorIndents/>
              <w:rPr>
                <w:b/>
                <w:szCs w:val="17"/>
              </w:rPr>
            </w:pPr>
          </w:p>
        </w:tc>
        <w:tc>
          <w:tcPr>
            <w:tcW w:w="657" w:type="pct"/>
            <w:tcBorders>
              <w:top w:val="single" w:sz="8" w:space="0" w:color="BABABA"/>
              <w:left w:val="single" w:sz="8" w:space="0" w:color="BABABA"/>
              <w:bottom w:val="single" w:sz="8" w:space="0" w:color="BABABA"/>
              <w:right w:val="single" w:sz="8" w:space="0" w:color="BABABA"/>
            </w:tcBorders>
          </w:tcPr>
          <w:p w14:paraId="2C647FAC" w14:textId="77777777" w:rsidR="008451AD" w:rsidRPr="00722521" w:rsidRDefault="008451AD" w:rsidP="00A903E6">
            <w:pPr>
              <w:pStyle w:val="TableParagraph"/>
              <w:mirrorIndents/>
              <w:rPr>
                <w:b/>
                <w:szCs w:val="17"/>
              </w:rPr>
            </w:pPr>
          </w:p>
        </w:tc>
        <w:tc>
          <w:tcPr>
            <w:tcW w:w="663" w:type="pct"/>
            <w:tcBorders>
              <w:top w:val="single" w:sz="8" w:space="0" w:color="BABABA"/>
              <w:left w:val="single" w:sz="8" w:space="0" w:color="BABABA"/>
              <w:bottom w:val="single" w:sz="8" w:space="0" w:color="BABABA"/>
              <w:right w:val="single" w:sz="8" w:space="0" w:color="BABABA"/>
            </w:tcBorders>
          </w:tcPr>
          <w:p w14:paraId="2682A79A" w14:textId="77777777" w:rsidR="008451AD" w:rsidRPr="00722521" w:rsidRDefault="008451AD" w:rsidP="00A903E6">
            <w:pPr>
              <w:pStyle w:val="TableParagraph"/>
              <w:mirrorIndents/>
              <w:rPr>
                <w:b/>
                <w:szCs w:val="17"/>
              </w:rPr>
            </w:pPr>
          </w:p>
        </w:tc>
        <w:tc>
          <w:tcPr>
            <w:tcW w:w="547" w:type="pct"/>
            <w:tcBorders>
              <w:top w:val="single" w:sz="8" w:space="0" w:color="BABABA"/>
              <w:left w:val="single" w:sz="8" w:space="0" w:color="BABABA"/>
              <w:bottom w:val="single" w:sz="8" w:space="0" w:color="BABABA"/>
              <w:right w:val="single" w:sz="8" w:space="0" w:color="BABABA"/>
            </w:tcBorders>
          </w:tcPr>
          <w:p w14:paraId="7D6488AC" w14:textId="34329CE1" w:rsidR="008451AD" w:rsidRPr="00722521" w:rsidRDefault="005851A7" w:rsidP="00A903E6">
            <w:pPr>
              <w:pStyle w:val="TableParagraph"/>
              <w:mirrorIndents/>
              <w:rPr>
                <w:b/>
                <w:szCs w:val="17"/>
              </w:rPr>
            </w:pPr>
            <w:r w:rsidRPr="00722521">
              <w:rPr>
                <w:b/>
                <w:szCs w:val="17"/>
              </w:rPr>
              <w:t>x</w:t>
            </w:r>
          </w:p>
        </w:tc>
      </w:tr>
    </w:tbl>
    <w:p w14:paraId="0A05A480" w14:textId="77777777" w:rsidR="00A903E6" w:rsidRPr="00722521" w:rsidRDefault="00A903E6" w:rsidP="00A903E6">
      <w:pPr>
        <w:pStyle w:val="Textkrper"/>
        <w:ind w:left="0"/>
        <w:mirrorIndents/>
        <w:rPr>
          <w:rFonts w:ascii="Verdana" w:hAnsi="Verdana"/>
          <w:sz w:val="17"/>
          <w:szCs w:val="17"/>
        </w:rPr>
      </w:pPr>
    </w:p>
    <w:p w14:paraId="4D8903AD" w14:textId="14C5F99C" w:rsidR="00BA160A" w:rsidRPr="00722521" w:rsidRDefault="00BA160A" w:rsidP="00A903E6">
      <w:pPr>
        <w:pStyle w:val="Textkrper"/>
        <w:ind w:left="0"/>
        <w:mirrorIndents/>
        <w:rPr>
          <w:rFonts w:ascii="Verdana" w:hAnsi="Verdana"/>
          <w:sz w:val="17"/>
          <w:szCs w:val="17"/>
          <w:highlight w:val="lightGray"/>
        </w:rPr>
      </w:pPr>
      <w:r w:rsidRPr="00722521">
        <w:rPr>
          <w:rFonts w:ascii="Verdana" w:hAnsi="Verdana"/>
          <w:sz w:val="17"/>
          <w:szCs w:val="17"/>
          <w:highlight w:val="lightGray"/>
        </w:rPr>
        <w:t>Please specify what you mean by other:</w:t>
      </w:r>
    </w:p>
    <w:p w14:paraId="7E2789EE" w14:textId="77777777" w:rsidR="00BA160A" w:rsidRPr="00722521" w:rsidRDefault="00BA160A" w:rsidP="00A903E6">
      <w:pPr>
        <w:mirrorIndents/>
        <w:rPr>
          <w:sz w:val="17"/>
          <w:szCs w:val="17"/>
        </w:rPr>
      </w:pPr>
    </w:p>
    <w:p w14:paraId="265CDFD1" w14:textId="7FDB1392" w:rsidR="00BA160A" w:rsidRPr="00722521" w:rsidRDefault="005851A7" w:rsidP="00A903E6">
      <w:pPr>
        <w:mirrorIndents/>
        <w:rPr>
          <w:sz w:val="17"/>
          <w:szCs w:val="17"/>
        </w:rPr>
      </w:pPr>
      <w:r w:rsidRPr="00722521">
        <w:rPr>
          <w:sz w:val="17"/>
          <w:szCs w:val="17"/>
        </w:rPr>
        <w:t>N/A</w:t>
      </w:r>
    </w:p>
    <w:p w14:paraId="54032D31" w14:textId="77777777" w:rsidR="00BA160A" w:rsidRPr="00722521" w:rsidRDefault="00BA160A" w:rsidP="00A903E6">
      <w:pPr>
        <w:mirrorIndents/>
        <w:rPr>
          <w:sz w:val="17"/>
          <w:szCs w:val="17"/>
        </w:rPr>
      </w:pPr>
    </w:p>
    <w:p w14:paraId="18E98998" w14:textId="77777777" w:rsidR="00BA160A" w:rsidRPr="00722521" w:rsidRDefault="00BA160A" w:rsidP="00A903E6">
      <w:pPr>
        <w:pStyle w:val="Textkrper"/>
        <w:ind w:left="0"/>
        <w:mirrorIndents/>
        <w:rPr>
          <w:rFonts w:ascii="Verdana" w:hAnsi="Verdana"/>
          <w:sz w:val="17"/>
          <w:szCs w:val="17"/>
        </w:rPr>
      </w:pPr>
      <w:r w:rsidRPr="00722521">
        <w:rPr>
          <w:rFonts w:ascii="Verdana" w:hAnsi="Verdana"/>
          <w:sz w:val="17"/>
          <w:szCs w:val="17"/>
          <w:highlight w:val="lightGray"/>
        </w:rPr>
        <w:t>Situation before the 2019 ESAs review for EIOPA:</w:t>
      </w:r>
    </w:p>
    <w:p w14:paraId="5250490F" w14:textId="77777777" w:rsidR="00BA160A" w:rsidRPr="00722521" w:rsidRDefault="00BA160A" w:rsidP="00A903E6">
      <w:pPr>
        <w:pStyle w:val="Textkrper"/>
        <w:mirrorIndents/>
        <w:rPr>
          <w:rFonts w:ascii="Verdana" w:hAnsi="Verdana"/>
          <w:sz w:val="17"/>
          <w:szCs w:val="17"/>
        </w:rPr>
      </w:pP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2003"/>
        <w:gridCol w:w="1276"/>
        <w:gridCol w:w="1353"/>
        <w:gridCol w:w="1069"/>
        <w:gridCol w:w="1353"/>
        <w:gridCol w:w="1353"/>
        <w:gridCol w:w="1104"/>
      </w:tblGrid>
      <w:tr w:rsidR="00AA4E82" w:rsidRPr="00722521" w14:paraId="32BB3AD3" w14:textId="77777777" w:rsidTr="008451AD">
        <w:trPr>
          <w:trHeight w:val="1134"/>
        </w:trPr>
        <w:tc>
          <w:tcPr>
            <w:tcW w:w="1118" w:type="pct"/>
            <w:tcBorders>
              <w:top w:val="single" w:sz="8" w:space="0" w:color="BABABA"/>
              <w:left w:val="single" w:sz="8" w:space="0" w:color="BABABA"/>
              <w:bottom w:val="single" w:sz="8" w:space="0" w:color="BABABA"/>
              <w:right w:val="single" w:sz="8" w:space="0" w:color="BABABA"/>
            </w:tcBorders>
          </w:tcPr>
          <w:p w14:paraId="6D0FB12B" w14:textId="77777777" w:rsidR="00BA160A" w:rsidRPr="00722521" w:rsidRDefault="00BA160A" w:rsidP="00A903E6">
            <w:pPr>
              <w:mirrorIndents/>
              <w:rPr>
                <w:sz w:val="17"/>
                <w:szCs w:val="17"/>
              </w:rPr>
            </w:pPr>
          </w:p>
        </w:tc>
        <w:tc>
          <w:tcPr>
            <w:tcW w:w="621" w:type="pct"/>
            <w:tcBorders>
              <w:top w:val="single" w:sz="8" w:space="0" w:color="BABABA"/>
              <w:left w:val="single" w:sz="8" w:space="0" w:color="BABABA"/>
              <w:bottom w:val="single" w:sz="8" w:space="0" w:color="BABABA"/>
              <w:right w:val="single" w:sz="8" w:space="0" w:color="BABABA"/>
            </w:tcBorders>
            <w:hideMark/>
          </w:tcPr>
          <w:p w14:paraId="0E0CADF8" w14:textId="77777777" w:rsidR="00BA160A" w:rsidRPr="00722521" w:rsidRDefault="00BA160A" w:rsidP="00A903E6">
            <w:pPr>
              <w:pStyle w:val="TableParagraph"/>
              <w:mirrorIndents/>
              <w:rPr>
                <w:szCs w:val="17"/>
              </w:rPr>
            </w:pPr>
            <w:r w:rsidRPr="00722521">
              <w:rPr>
                <w:w w:val="99"/>
                <w:szCs w:val="17"/>
              </w:rPr>
              <w:t>1</w:t>
            </w:r>
          </w:p>
          <w:p w14:paraId="177AB393" w14:textId="77777777" w:rsidR="00BA160A" w:rsidRPr="00722521" w:rsidRDefault="00BA160A" w:rsidP="00A903E6">
            <w:pPr>
              <w:pStyle w:val="TableParagraph"/>
              <w:ind w:hanging="55"/>
              <w:mirrorIndents/>
              <w:rPr>
                <w:szCs w:val="17"/>
              </w:rPr>
            </w:pPr>
            <w:r w:rsidRPr="00722521">
              <w:rPr>
                <w:szCs w:val="17"/>
              </w:rPr>
              <w:t>(less significant contribution</w:t>
            </w:r>
          </w:p>
        </w:tc>
        <w:tc>
          <w:tcPr>
            <w:tcW w:w="676" w:type="pct"/>
            <w:tcBorders>
              <w:top w:val="single" w:sz="8" w:space="0" w:color="BABABA"/>
              <w:left w:val="single" w:sz="8" w:space="0" w:color="BABABA"/>
              <w:bottom w:val="single" w:sz="8" w:space="0" w:color="BABABA"/>
              <w:right w:val="single" w:sz="8" w:space="0" w:color="BABABA"/>
            </w:tcBorders>
            <w:hideMark/>
          </w:tcPr>
          <w:p w14:paraId="5947D5E2" w14:textId="77777777" w:rsidR="00BA160A" w:rsidRPr="00722521" w:rsidRDefault="00BA160A" w:rsidP="00A903E6">
            <w:pPr>
              <w:pStyle w:val="TableParagraph"/>
              <w:mirrorIndents/>
              <w:rPr>
                <w:szCs w:val="17"/>
              </w:rPr>
            </w:pPr>
            <w:r w:rsidRPr="00722521">
              <w:rPr>
                <w:w w:val="99"/>
                <w:szCs w:val="17"/>
              </w:rPr>
              <w:t>2</w:t>
            </w:r>
          </w:p>
          <w:p w14:paraId="33E523E2" w14:textId="77777777" w:rsidR="00BA160A" w:rsidRPr="00722521" w:rsidRDefault="00BA160A" w:rsidP="00A903E6">
            <w:pPr>
              <w:pStyle w:val="TableParagraph"/>
              <w:ind w:hanging="56"/>
              <w:mirrorIndents/>
              <w:rPr>
                <w:szCs w:val="17"/>
              </w:rPr>
            </w:pPr>
            <w:r w:rsidRPr="00722521">
              <w:rPr>
                <w:szCs w:val="17"/>
              </w:rPr>
              <w:t>(not so significant contribution)</w:t>
            </w:r>
          </w:p>
        </w:tc>
        <w:tc>
          <w:tcPr>
            <w:tcW w:w="627" w:type="pct"/>
            <w:tcBorders>
              <w:top w:val="single" w:sz="8" w:space="0" w:color="BABABA"/>
              <w:left w:val="single" w:sz="8" w:space="0" w:color="BABABA"/>
              <w:bottom w:val="single" w:sz="8" w:space="0" w:color="BABABA"/>
              <w:right w:val="single" w:sz="8" w:space="0" w:color="BABABA"/>
            </w:tcBorders>
            <w:hideMark/>
          </w:tcPr>
          <w:p w14:paraId="789E5457" w14:textId="77777777" w:rsidR="00BA160A" w:rsidRPr="00722521" w:rsidRDefault="00BA160A" w:rsidP="00A903E6">
            <w:pPr>
              <w:pStyle w:val="TableParagraph"/>
              <w:mirrorIndents/>
              <w:rPr>
                <w:szCs w:val="17"/>
              </w:rPr>
            </w:pPr>
            <w:r w:rsidRPr="00722521">
              <w:rPr>
                <w:w w:val="99"/>
                <w:szCs w:val="17"/>
              </w:rPr>
              <w:t>3</w:t>
            </w:r>
          </w:p>
          <w:p w14:paraId="6D167322" w14:textId="77777777" w:rsidR="00BA160A" w:rsidRPr="00722521" w:rsidRDefault="00BA160A" w:rsidP="00A903E6">
            <w:pPr>
              <w:pStyle w:val="TableParagraph"/>
              <w:mirrorIndents/>
              <w:rPr>
                <w:szCs w:val="17"/>
              </w:rPr>
            </w:pPr>
            <w:r w:rsidRPr="00722521">
              <w:rPr>
                <w:szCs w:val="17"/>
              </w:rPr>
              <w:t>(neutral)</w:t>
            </w:r>
          </w:p>
        </w:tc>
        <w:tc>
          <w:tcPr>
            <w:tcW w:w="672" w:type="pct"/>
            <w:tcBorders>
              <w:top w:val="single" w:sz="8" w:space="0" w:color="BABABA"/>
              <w:left w:val="single" w:sz="8" w:space="0" w:color="BABABA"/>
              <w:bottom w:val="single" w:sz="8" w:space="0" w:color="BABABA"/>
              <w:right w:val="single" w:sz="8" w:space="0" w:color="BABABA"/>
            </w:tcBorders>
            <w:hideMark/>
          </w:tcPr>
          <w:p w14:paraId="114BBDFD" w14:textId="77777777" w:rsidR="00BA160A" w:rsidRPr="00722521" w:rsidRDefault="00BA160A" w:rsidP="00A903E6">
            <w:pPr>
              <w:pStyle w:val="TableParagraph"/>
              <w:mirrorIndents/>
              <w:rPr>
                <w:szCs w:val="17"/>
              </w:rPr>
            </w:pPr>
            <w:r w:rsidRPr="00722521">
              <w:rPr>
                <w:w w:val="99"/>
                <w:szCs w:val="17"/>
              </w:rPr>
              <w:t>4</w:t>
            </w:r>
          </w:p>
          <w:p w14:paraId="21C45646" w14:textId="77777777" w:rsidR="00BA160A" w:rsidRPr="00722521" w:rsidRDefault="00BA160A" w:rsidP="00A903E6">
            <w:pPr>
              <w:pStyle w:val="TableParagraph"/>
              <w:ind w:hanging="55"/>
              <w:mirrorIndents/>
              <w:rPr>
                <w:szCs w:val="17"/>
              </w:rPr>
            </w:pPr>
            <w:r w:rsidRPr="00722521">
              <w:rPr>
                <w:szCs w:val="17"/>
              </w:rPr>
              <w:t>(significant contribution)</w:t>
            </w:r>
          </w:p>
        </w:tc>
        <w:tc>
          <w:tcPr>
            <w:tcW w:w="658" w:type="pct"/>
            <w:tcBorders>
              <w:top w:val="single" w:sz="8" w:space="0" w:color="BABABA"/>
              <w:left w:val="single" w:sz="8" w:space="0" w:color="BABABA"/>
              <w:bottom w:val="single" w:sz="8" w:space="0" w:color="BABABA"/>
              <w:right w:val="single" w:sz="8" w:space="0" w:color="BABABA"/>
            </w:tcBorders>
            <w:hideMark/>
          </w:tcPr>
          <w:p w14:paraId="042E7A39" w14:textId="77777777" w:rsidR="00BA160A" w:rsidRPr="00722521" w:rsidRDefault="00BA160A" w:rsidP="00A903E6">
            <w:pPr>
              <w:pStyle w:val="TableParagraph"/>
              <w:mirrorIndents/>
              <w:rPr>
                <w:szCs w:val="17"/>
              </w:rPr>
            </w:pPr>
            <w:r w:rsidRPr="00722521">
              <w:rPr>
                <w:w w:val="99"/>
                <w:szCs w:val="17"/>
              </w:rPr>
              <w:t>5</w:t>
            </w:r>
          </w:p>
          <w:p w14:paraId="0613986E" w14:textId="77777777" w:rsidR="00BA160A" w:rsidRPr="00722521" w:rsidRDefault="00BA160A" w:rsidP="00A903E6">
            <w:pPr>
              <w:pStyle w:val="TableParagraph"/>
              <w:ind w:hanging="55"/>
              <w:mirrorIndents/>
              <w:rPr>
                <w:szCs w:val="17"/>
              </w:rPr>
            </w:pPr>
            <w:r w:rsidRPr="00722521">
              <w:rPr>
                <w:szCs w:val="17"/>
              </w:rPr>
              <w:t>(most significant contribution)</w:t>
            </w:r>
          </w:p>
        </w:tc>
        <w:tc>
          <w:tcPr>
            <w:tcW w:w="629" w:type="pct"/>
            <w:tcBorders>
              <w:top w:val="single" w:sz="8" w:space="0" w:color="BABABA"/>
              <w:left w:val="single" w:sz="8" w:space="0" w:color="BABABA"/>
              <w:bottom w:val="single" w:sz="8" w:space="0" w:color="BABABA"/>
              <w:right w:val="single" w:sz="8" w:space="0" w:color="BABABA"/>
            </w:tcBorders>
            <w:hideMark/>
          </w:tcPr>
          <w:p w14:paraId="38CB5E85" w14:textId="77777777" w:rsidR="00BA160A" w:rsidRPr="00722521" w:rsidRDefault="00BA160A" w:rsidP="00A903E6">
            <w:pPr>
              <w:pStyle w:val="TableParagraph"/>
              <w:ind w:hanging="54"/>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6CF5F4BF" w14:textId="77777777" w:rsidR="00BA160A" w:rsidRPr="00722521" w:rsidRDefault="00BA160A" w:rsidP="00A903E6">
            <w:pPr>
              <w:pStyle w:val="TableParagraph"/>
              <w:ind w:hanging="1"/>
              <w:mirrorIndents/>
              <w:rPr>
                <w:szCs w:val="17"/>
              </w:rPr>
            </w:pPr>
            <w:r w:rsidRPr="00722521">
              <w:rPr>
                <w:szCs w:val="17"/>
              </w:rPr>
              <w:t>Not applicable</w:t>
            </w:r>
          </w:p>
        </w:tc>
      </w:tr>
      <w:tr w:rsidR="00AA4E82" w:rsidRPr="00722521" w14:paraId="130101E4" w14:textId="77777777" w:rsidTr="008451AD">
        <w:trPr>
          <w:trHeight w:val="1134"/>
        </w:trPr>
        <w:tc>
          <w:tcPr>
            <w:tcW w:w="1118" w:type="pct"/>
            <w:tcBorders>
              <w:top w:val="single" w:sz="8" w:space="0" w:color="BABABA"/>
              <w:left w:val="single" w:sz="8" w:space="0" w:color="BABABA"/>
              <w:bottom w:val="single" w:sz="8" w:space="0" w:color="BABABA"/>
              <w:right w:val="single" w:sz="8" w:space="0" w:color="BABABA"/>
            </w:tcBorders>
            <w:hideMark/>
          </w:tcPr>
          <w:p w14:paraId="53CC78CF" w14:textId="77777777" w:rsidR="00BA160A" w:rsidRPr="00722521" w:rsidRDefault="00BA160A" w:rsidP="00A903E6">
            <w:pPr>
              <w:pStyle w:val="TableParagraph"/>
              <w:mirrorIndents/>
              <w:rPr>
                <w:szCs w:val="17"/>
              </w:rPr>
            </w:pPr>
            <w:r w:rsidRPr="00722521">
              <w:rPr>
                <w:szCs w:val="17"/>
              </w:rPr>
              <w:t>Convergence in the application of Union law</w:t>
            </w:r>
          </w:p>
        </w:tc>
        <w:tc>
          <w:tcPr>
            <w:tcW w:w="621" w:type="pct"/>
            <w:tcBorders>
              <w:top w:val="single" w:sz="8" w:space="0" w:color="BABABA"/>
              <w:left w:val="single" w:sz="8" w:space="0" w:color="BABABA"/>
              <w:bottom w:val="single" w:sz="8" w:space="0" w:color="BABABA"/>
              <w:right w:val="single" w:sz="8" w:space="0" w:color="BABABA"/>
            </w:tcBorders>
          </w:tcPr>
          <w:p w14:paraId="664373F7" w14:textId="77777777" w:rsidR="00BA160A" w:rsidRPr="00722521" w:rsidRDefault="00BA160A" w:rsidP="00A903E6">
            <w:pPr>
              <w:pStyle w:val="TableParagraph"/>
              <w:mirrorIndents/>
              <w:rPr>
                <w:b/>
                <w:szCs w:val="17"/>
              </w:rPr>
            </w:pPr>
          </w:p>
        </w:tc>
        <w:tc>
          <w:tcPr>
            <w:tcW w:w="676" w:type="pct"/>
            <w:tcBorders>
              <w:top w:val="single" w:sz="8" w:space="0" w:color="BABABA"/>
              <w:left w:val="single" w:sz="8" w:space="0" w:color="BABABA"/>
              <w:bottom w:val="single" w:sz="8" w:space="0" w:color="BABABA"/>
              <w:right w:val="single" w:sz="8" w:space="0" w:color="BABABA"/>
            </w:tcBorders>
          </w:tcPr>
          <w:p w14:paraId="44C4B19B" w14:textId="77777777" w:rsidR="00BA160A" w:rsidRPr="00722521" w:rsidRDefault="00BA160A" w:rsidP="00A903E6">
            <w:pPr>
              <w:pStyle w:val="TableParagraph"/>
              <w:mirrorIndents/>
              <w:rPr>
                <w:b/>
                <w:szCs w:val="17"/>
              </w:rPr>
            </w:pPr>
          </w:p>
        </w:tc>
        <w:tc>
          <w:tcPr>
            <w:tcW w:w="627" w:type="pct"/>
            <w:tcBorders>
              <w:top w:val="single" w:sz="8" w:space="0" w:color="BABABA"/>
              <w:left w:val="single" w:sz="8" w:space="0" w:color="BABABA"/>
              <w:bottom w:val="single" w:sz="8" w:space="0" w:color="BABABA"/>
              <w:right w:val="single" w:sz="8" w:space="0" w:color="BABABA"/>
            </w:tcBorders>
          </w:tcPr>
          <w:p w14:paraId="48DE7035" w14:textId="14B711E5" w:rsidR="00BA160A" w:rsidRPr="00722521" w:rsidRDefault="00637792" w:rsidP="00A903E6">
            <w:pPr>
              <w:pStyle w:val="TableParagraph"/>
              <w:mirrorIndents/>
              <w:rPr>
                <w:b/>
                <w:szCs w:val="17"/>
              </w:rPr>
            </w:pPr>
            <w:r w:rsidRPr="00722521">
              <w:rPr>
                <w:b/>
                <w:szCs w:val="17"/>
              </w:rPr>
              <w:t>x</w:t>
            </w:r>
          </w:p>
        </w:tc>
        <w:tc>
          <w:tcPr>
            <w:tcW w:w="672" w:type="pct"/>
            <w:tcBorders>
              <w:top w:val="single" w:sz="8" w:space="0" w:color="BABABA"/>
              <w:left w:val="single" w:sz="8" w:space="0" w:color="BABABA"/>
              <w:bottom w:val="single" w:sz="8" w:space="0" w:color="BABABA"/>
              <w:right w:val="single" w:sz="8" w:space="0" w:color="BABABA"/>
            </w:tcBorders>
          </w:tcPr>
          <w:p w14:paraId="1883867C" w14:textId="77777777" w:rsidR="00BA160A" w:rsidRPr="00722521" w:rsidRDefault="00BA160A" w:rsidP="00A903E6">
            <w:pPr>
              <w:pStyle w:val="TableParagraph"/>
              <w:mirrorIndents/>
              <w:rPr>
                <w:b/>
                <w:szCs w:val="17"/>
              </w:rPr>
            </w:pPr>
          </w:p>
        </w:tc>
        <w:tc>
          <w:tcPr>
            <w:tcW w:w="658" w:type="pct"/>
            <w:tcBorders>
              <w:top w:val="single" w:sz="8" w:space="0" w:color="BABABA"/>
              <w:left w:val="single" w:sz="8" w:space="0" w:color="BABABA"/>
              <w:bottom w:val="single" w:sz="8" w:space="0" w:color="BABABA"/>
              <w:right w:val="single" w:sz="8" w:space="0" w:color="BABABA"/>
            </w:tcBorders>
          </w:tcPr>
          <w:p w14:paraId="08CB05BD" w14:textId="77777777" w:rsidR="00BA160A" w:rsidRPr="00722521" w:rsidRDefault="00BA160A" w:rsidP="00A903E6">
            <w:pPr>
              <w:pStyle w:val="TableParagraph"/>
              <w:mirrorIndents/>
              <w:rPr>
                <w:b/>
                <w:szCs w:val="17"/>
              </w:rPr>
            </w:pPr>
          </w:p>
        </w:tc>
        <w:tc>
          <w:tcPr>
            <w:tcW w:w="629" w:type="pct"/>
            <w:tcBorders>
              <w:top w:val="single" w:sz="8" w:space="0" w:color="BABABA"/>
              <w:left w:val="single" w:sz="8" w:space="0" w:color="BABABA"/>
              <w:bottom w:val="single" w:sz="8" w:space="0" w:color="BABABA"/>
              <w:right w:val="single" w:sz="8" w:space="0" w:color="BABABA"/>
            </w:tcBorders>
          </w:tcPr>
          <w:p w14:paraId="6FA7CA19" w14:textId="77777777" w:rsidR="00BA160A" w:rsidRPr="00722521" w:rsidRDefault="00BA160A" w:rsidP="00A903E6">
            <w:pPr>
              <w:pStyle w:val="TableParagraph"/>
              <w:mirrorIndents/>
              <w:rPr>
                <w:b/>
                <w:szCs w:val="17"/>
              </w:rPr>
            </w:pPr>
          </w:p>
        </w:tc>
      </w:tr>
      <w:tr w:rsidR="00AA4E82" w:rsidRPr="00722521" w14:paraId="5F30EDDC" w14:textId="77777777" w:rsidTr="008451AD">
        <w:trPr>
          <w:trHeight w:val="1134"/>
        </w:trPr>
        <w:tc>
          <w:tcPr>
            <w:tcW w:w="1118" w:type="pct"/>
            <w:tcBorders>
              <w:top w:val="single" w:sz="8" w:space="0" w:color="BABABA"/>
              <w:left w:val="single" w:sz="8" w:space="0" w:color="BABABA"/>
              <w:bottom w:val="single" w:sz="8" w:space="0" w:color="BABABA"/>
              <w:right w:val="single" w:sz="8" w:space="0" w:color="BABABA"/>
            </w:tcBorders>
            <w:hideMark/>
          </w:tcPr>
          <w:p w14:paraId="28B25561" w14:textId="77777777" w:rsidR="00BA160A" w:rsidRPr="00722521" w:rsidRDefault="00BA160A" w:rsidP="00A903E6">
            <w:pPr>
              <w:pStyle w:val="TableParagraph"/>
              <w:mirrorIndents/>
              <w:rPr>
                <w:szCs w:val="17"/>
              </w:rPr>
            </w:pPr>
            <w:r w:rsidRPr="00722521">
              <w:rPr>
                <w:szCs w:val="17"/>
              </w:rPr>
              <w:t>Convergence in supervisory practices</w:t>
            </w:r>
          </w:p>
        </w:tc>
        <w:tc>
          <w:tcPr>
            <w:tcW w:w="621" w:type="pct"/>
            <w:tcBorders>
              <w:top w:val="single" w:sz="8" w:space="0" w:color="BABABA"/>
              <w:left w:val="single" w:sz="8" w:space="0" w:color="BABABA"/>
              <w:bottom w:val="single" w:sz="8" w:space="0" w:color="BABABA"/>
              <w:right w:val="single" w:sz="8" w:space="0" w:color="BABABA"/>
            </w:tcBorders>
          </w:tcPr>
          <w:p w14:paraId="5C824400" w14:textId="77777777" w:rsidR="00BA160A" w:rsidRPr="00722521" w:rsidRDefault="00BA160A" w:rsidP="00A903E6">
            <w:pPr>
              <w:pStyle w:val="TableParagraph"/>
              <w:mirrorIndents/>
              <w:rPr>
                <w:b/>
                <w:szCs w:val="17"/>
              </w:rPr>
            </w:pPr>
          </w:p>
        </w:tc>
        <w:tc>
          <w:tcPr>
            <w:tcW w:w="676" w:type="pct"/>
            <w:tcBorders>
              <w:top w:val="single" w:sz="8" w:space="0" w:color="BABABA"/>
              <w:left w:val="single" w:sz="8" w:space="0" w:color="BABABA"/>
              <w:bottom w:val="single" w:sz="8" w:space="0" w:color="BABABA"/>
              <w:right w:val="single" w:sz="8" w:space="0" w:color="BABABA"/>
            </w:tcBorders>
          </w:tcPr>
          <w:p w14:paraId="0C77A512" w14:textId="77777777" w:rsidR="00BA160A" w:rsidRPr="00722521" w:rsidRDefault="00BA160A" w:rsidP="00A903E6">
            <w:pPr>
              <w:pStyle w:val="TableParagraph"/>
              <w:mirrorIndents/>
              <w:rPr>
                <w:b/>
                <w:szCs w:val="17"/>
              </w:rPr>
            </w:pPr>
          </w:p>
        </w:tc>
        <w:tc>
          <w:tcPr>
            <w:tcW w:w="627" w:type="pct"/>
            <w:tcBorders>
              <w:top w:val="single" w:sz="8" w:space="0" w:color="BABABA"/>
              <w:left w:val="single" w:sz="8" w:space="0" w:color="BABABA"/>
              <w:bottom w:val="single" w:sz="8" w:space="0" w:color="BABABA"/>
              <w:right w:val="single" w:sz="8" w:space="0" w:color="BABABA"/>
            </w:tcBorders>
          </w:tcPr>
          <w:p w14:paraId="65045AAF" w14:textId="65701EE3" w:rsidR="00BA160A" w:rsidRPr="00722521" w:rsidRDefault="00637792" w:rsidP="00A903E6">
            <w:pPr>
              <w:pStyle w:val="TableParagraph"/>
              <w:mirrorIndents/>
              <w:rPr>
                <w:b/>
                <w:szCs w:val="17"/>
              </w:rPr>
            </w:pPr>
            <w:r w:rsidRPr="00722521">
              <w:rPr>
                <w:b/>
                <w:szCs w:val="17"/>
              </w:rPr>
              <w:t>x</w:t>
            </w:r>
          </w:p>
        </w:tc>
        <w:tc>
          <w:tcPr>
            <w:tcW w:w="672" w:type="pct"/>
            <w:tcBorders>
              <w:top w:val="single" w:sz="8" w:space="0" w:color="BABABA"/>
              <w:left w:val="single" w:sz="8" w:space="0" w:color="BABABA"/>
              <w:bottom w:val="single" w:sz="8" w:space="0" w:color="BABABA"/>
              <w:right w:val="single" w:sz="8" w:space="0" w:color="BABABA"/>
            </w:tcBorders>
          </w:tcPr>
          <w:p w14:paraId="7317DFC9" w14:textId="77777777" w:rsidR="00BA160A" w:rsidRPr="00722521" w:rsidRDefault="00BA160A" w:rsidP="00A903E6">
            <w:pPr>
              <w:pStyle w:val="TableParagraph"/>
              <w:mirrorIndents/>
              <w:rPr>
                <w:b/>
                <w:szCs w:val="17"/>
              </w:rPr>
            </w:pPr>
          </w:p>
        </w:tc>
        <w:tc>
          <w:tcPr>
            <w:tcW w:w="658" w:type="pct"/>
            <w:tcBorders>
              <w:top w:val="single" w:sz="8" w:space="0" w:color="BABABA"/>
              <w:left w:val="single" w:sz="8" w:space="0" w:color="BABABA"/>
              <w:bottom w:val="single" w:sz="8" w:space="0" w:color="BABABA"/>
              <w:right w:val="single" w:sz="8" w:space="0" w:color="BABABA"/>
            </w:tcBorders>
          </w:tcPr>
          <w:p w14:paraId="75F117A7" w14:textId="77777777" w:rsidR="00BA160A" w:rsidRPr="00722521" w:rsidRDefault="00BA160A" w:rsidP="00A903E6">
            <w:pPr>
              <w:pStyle w:val="TableParagraph"/>
              <w:mirrorIndents/>
              <w:rPr>
                <w:b/>
                <w:szCs w:val="17"/>
              </w:rPr>
            </w:pPr>
          </w:p>
        </w:tc>
        <w:tc>
          <w:tcPr>
            <w:tcW w:w="629" w:type="pct"/>
            <w:tcBorders>
              <w:top w:val="single" w:sz="8" w:space="0" w:color="BABABA"/>
              <w:left w:val="single" w:sz="8" w:space="0" w:color="BABABA"/>
              <w:bottom w:val="single" w:sz="8" w:space="0" w:color="BABABA"/>
              <w:right w:val="single" w:sz="8" w:space="0" w:color="BABABA"/>
            </w:tcBorders>
          </w:tcPr>
          <w:p w14:paraId="3D2568C4" w14:textId="77777777" w:rsidR="00BA160A" w:rsidRPr="00722521" w:rsidRDefault="00BA160A" w:rsidP="00A903E6">
            <w:pPr>
              <w:pStyle w:val="TableParagraph"/>
              <w:mirrorIndents/>
              <w:rPr>
                <w:b/>
                <w:szCs w:val="17"/>
              </w:rPr>
            </w:pPr>
          </w:p>
        </w:tc>
      </w:tr>
      <w:tr w:rsidR="00AA4E82" w:rsidRPr="00722521" w14:paraId="48B21974" w14:textId="77777777" w:rsidTr="008451AD">
        <w:trPr>
          <w:trHeight w:val="1134"/>
        </w:trPr>
        <w:tc>
          <w:tcPr>
            <w:tcW w:w="1118" w:type="pct"/>
            <w:tcBorders>
              <w:top w:val="single" w:sz="8" w:space="0" w:color="BABABA"/>
              <w:left w:val="single" w:sz="8" w:space="0" w:color="BABABA"/>
              <w:bottom w:val="single" w:sz="8" w:space="0" w:color="BABABA"/>
              <w:right w:val="single" w:sz="8" w:space="0" w:color="BABABA"/>
            </w:tcBorders>
            <w:hideMark/>
          </w:tcPr>
          <w:p w14:paraId="7321F5C6" w14:textId="77777777" w:rsidR="00BA160A" w:rsidRPr="00722521" w:rsidRDefault="00BA160A" w:rsidP="00A903E6">
            <w:pPr>
              <w:pStyle w:val="TableParagraph"/>
              <w:mirrorIndents/>
              <w:rPr>
                <w:szCs w:val="17"/>
              </w:rPr>
            </w:pPr>
            <w:r w:rsidRPr="00722521">
              <w:rPr>
                <w:w w:val="105"/>
                <w:szCs w:val="17"/>
              </w:rPr>
              <w:t>More wide spread application of best practices</w:t>
            </w:r>
            <w:r w:rsidRPr="00722521">
              <w:rPr>
                <w:w w:val="102"/>
                <w:szCs w:val="17"/>
              </w:rPr>
              <w:t xml:space="preserve"> </w:t>
            </w:r>
            <w:r w:rsidRPr="00722521">
              <w:rPr>
                <w:w w:val="105"/>
                <w:szCs w:val="17"/>
              </w:rPr>
              <w:t>developed by other competent authorities</w:t>
            </w:r>
          </w:p>
        </w:tc>
        <w:tc>
          <w:tcPr>
            <w:tcW w:w="621" w:type="pct"/>
            <w:tcBorders>
              <w:top w:val="single" w:sz="8" w:space="0" w:color="BABABA"/>
              <w:left w:val="single" w:sz="8" w:space="0" w:color="BABABA"/>
              <w:bottom w:val="single" w:sz="8" w:space="0" w:color="BABABA"/>
              <w:right w:val="single" w:sz="8" w:space="0" w:color="BABABA"/>
            </w:tcBorders>
          </w:tcPr>
          <w:p w14:paraId="78DE997F" w14:textId="77777777" w:rsidR="00BA160A" w:rsidRPr="00722521" w:rsidRDefault="00BA160A" w:rsidP="00A903E6">
            <w:pPr>
              <w:pStyle w:val="TableParagraph"/>
              <w:mirrorIndents/>
              <w:rPr>
                <w:b/>
                <w:szCs w:val="17"/>
              </w:rPr>
            </w:pPr>
          </w:p>
        </w:tc>
        <w:tc>
          <w:tcPr>
            <w:tcW w:w="676" w:type="pct"/>
            <w:tcBorders>
              <w:top w:val="single" w:sz="8" w:space="0" w:color="BABABA"/>
              <w:left w:val="single" w:sz="8" w:space="0" w:color="BABABA"/>
              <w:bottom w:val="single" w:sz="8" w:space="0" w:color="BABABA"/>
              <w:right w:val="single" w:sz="8" w:space="0" w:color="BABABA"/>
            </w:tcBorders>
          </w:tcPr>
          <w:p w14:paraId="0EB3A4FC" w14:textId="77777777" w:rsidR="00BA160A" w:rsidRPr="00722521" w:rsidRDefault="00BA160A" w:rsidP="00A903E6">
            <w:pPr>
              <w:pStyle w:val="TableParagraph"/>
              <w:mirrorIndents/>
              <w:rPr>
                <w:b/>
                <w:szCs w:val="17"/>
              </w:rPr>
            </w:pPr>
          </w:p>
        </w:tc>
        <w:tc>
          <w:tcPr>
            <w:tcW w:w="627" w:type="pct"/>
            <w:tcBorders>
              <w:top w:val="single" w:sz="8" w:space="0" w:color="BABABA"/>
              <w:left w:val="single" w:sz="8" w:space="0" w:color="BABABA"/>
              <w:bottom w:val="single" w:sz="8" w:space="0" w:color="BABABA"/>
              <w:right w:val="single" w:sz="8" w:space="0" w:color="BABABA"/>
            </w:tcBorders>
          </w:tcPr>
          <w:p w14:paraId="1CCD172A" w14:textId="77777777" w:rsidR="00BA160A" w:rsidRPr="00722521" w:rsidRDefault="00BA160A" w:rsidP="00A903E6">
            <w:pPr>
              <w:pStyle w:val="TableParagraph"/>
              <w:mirrorIndents/>
              <w:rPr>
                <w:b/>
                <w:szCs w:val="17"/>
              </w:rPr>
            </w:pPr>
          </w:p>
        </w:tc>
        <w:tc>
          <w:tcPr>
            <w:tcW w:w="672" w:type="pct"/>
            <w:tcBorders>
              <w:top w:val="single" w:sz="8" w:space="0" w:color="BABABA"/>
              <w:left w:val="single" w:sz="8" w:space="0" w:color="BABABA"/>
              <w:bottom w:val="single" w:sz="8" w:space="0" w:color="BABABA"/>
              <w:right w:val="single" w:sz="8" w:space="0" w:color="BABABA"/>
            </w:tcBorders>
          </w:tcPr>
          <w:p w14:paraId="02FE61E8" w14:textId="0E556F3D" w:rsidR="00BA160A" w:rsidRPr="00722521" w:rsidRDefault="00637792" w:rsidP="00A903E6">
            <w:pPr>
              <w:pStyle w:val="TableParagraph"/>
              <w:mirrorIndents/>
              <w:rPr>
                <w:b/>
                <w:szCs w:val="17"/>
              </w:rPr>
            </w:pPr>
            <w:r w:rsidRPr="00722521">
              <w:rPr>
                <w:b/>
                <w:szCs w:val="17"/>
              </w:rPr>
              <w:t>x</w:t>
            </w:r>
          </w:p>
        </w:tc>
        <w:tc>
          <w:tcPr>
            <w:tcW w:w="658" w:type="pct"/>
            <w:tcBorders>
              <w:top w:val="single" w:sz="8" w:space="0" w:color="BABABA"/>
              <w:left w:val="single" w:sz="8" w:space="0" w:color="BABABA"/>
              <w:bottom w:val="single" w:sz="8" w:space="0" w:color="BABABA"/>
              <w:right w:val="single" w:sz="8" w:space="0" w:color="BABABA"/>
            </w:tcBorders>
          </w:tcPr>
          <w:p w14:paraId="73FEA4DF" w14:textId="77777777" w:rsidR="00BA160A" w:rsidRPr="00722521" w:rsidRDefault="00BA160A" w:rsidP="00A903E6">
            <w:pPr>
              <w:pStyle w:val="TableParagraph"/>
              <w:mirrorIndents/>
              <w:rPr>
                <w:b/>
                <w:szCs w:val="17"/>
              </w:rPr>
            </w:pPr>
          </w:p>
        </w:tc>
        <w:tc>
          <w:tcPr>
            <w:tcW w:w="629" w:type="pct"/>
            <w:tcBorders>
              <w:top w:val="single" w:sz="8" w:space="0" w:color="BABABA"/>
              <w:left w:val="single" w:sz="8" w:space="0" w:color="BABABA"/>
              <w:bottom w:val="single" w:sz="8" w:space="0" w:color="BABABA"/>
              <w:right w:val="single" w:sz="8" w:space="0" w:color="BABABA"/>
            </w:tcBorders>
          </w:tcPr>
          <w:p w14:paraId="0B07E392" w14:textId="77777777" w:rsidR="00BA160A" w:rsidRPr="00722521" w:rsidRDefault="00BA160A" w:rsidP="00A903E6">
            <w:pPr>
              <w:pStyle w:val="TableParagraph"/>
              <w:mirrorIndents/>
              <w:rPr>
                <w:b/>
                <w:szCs w:val="17"/>
              </w:rPr>
            </w:pPr>
          </w:p>
        </w:tc>
      </w:tr>
      <w:tr w:rsidR="008451AD" w:rsidRPr="00722521" w14:paraId="0DE065A3" w14:textId="77777777" w:rsidTr="008451AD">
        <w:trPr>
          <w:trHeight w:val="1134"/>
        </w:trPr>
        <w:tc>
          <w:tcPr>
            <w:tcW w:w="1118" w:type="pct"/>
            <w:tcBorders>
              <w:top w:val="single" w:sz="8" w:space="0" w:color="BABABA"/>
              <w:left w:val="single" w:sz="8" w:space="0" w:color="BABABA"/>
              <w:bottom w:val="single" w:sz="8" w:space="0" w:color="BABABA"/>
              <w:right w:val="single" w:sz="8" w:space="0" w:color="BABABA"/>
            </w:tcBorders>
          </w:tcPr>
          <w:p w14:paraId="48B62588" w14:textId="120422FF" w:rsidR="008451AD" w:rsidRPr="00722521" w:rsidRDefault="008451AD" w:rsidP="008451AD">
            <w:pPr>
              <w:pStyle w:val="TableParagraph"/>
              <w:mirrorIndents/>
              <w:rPr>
                <w:w w:val="105"/>
                <w:szCs w:val="17"/>
              </w:rPr>
            </w:pPr>
            <w:r w:rsidRPr="00722521">
              <w:rPr>
                <w:szCs w:val="17"/>
              </w:rPr>
              <w:t>Convergence in the enforcement of provisions adopted in the implementation of Union</w:t>
            </w:r>
            <w:r w:rsidRPr="00722521">
              <w:rPr>
                <w:spacing w:val="28"/>
                <w:szCs w:val="17"/>
              </w:rPr>
              <w:t xml:space="preserve"> </w:t>
            </w:r>
            <w:r w:rsidRPr="00722521">
              <w:rPr>
                <w:szCs w:val="17"/>
              </w:rPr>
              <w:t>law</w:t>
            </w:r>
          </w:p>
        </w:tc>
        <w:tc>
          <w:tcPr>
            <w:tcW w:w="621" w:type="pct"/>
            <w:tcBorders>
              <w:top w:val="single" w:sz="8" w:space="0" w:color="BABABA"/>
              <w:left w:val="single" w:sz="8" w:space="0" w:color="BABABA"/>
              <w:bottom w:val="single" w:sz="8" w:space="0" w:color="BABABA"/>
              <w:right w:val="single" w:sz="8" w:space="0" w:color="BABABA"/>
            </w:tcBorders>
          </w:tcPr>
          <w:p w14:paraId="0ECAAA00" w14:textId="77777777" w:rsidR="008451AD" w:rsidRPr="00722521" w:rsidRDefault="008451AD" w:rsidP="008451AD">
            <w:pPr>
              <w:pStyle w:val="TableParagraph"/>
              <w:mirrorIndents/>
              <w:rPr>
                <w:b/>
                <w:szCs w:val="17"/>
              </w:rPr>
            </w:pPr>
          </w:p>
        </w:tc>
        <w:tc>
          <w:tcPr>
            <w:tcW w:w="676" w:type="pct"/>
            <w:tcBorders>
              <w:top w:val="single" w:sz="8" w:space="0" w:color="BABABA"/>
              <w:left w:val="single" w:sz="8" w:space="0" w:color="BABABA"/>
              <w:bottom w:val="single" w:sz="8" w:space="0" w:color="BABABA"/>
              <w:right w:val="single" w:sz="8" w:space="0" w:color="BABABA"/>
            </w:tcBorders>
          </w:tcPr>
          <w:p w14:paraId="0FE88271" w14:textId="77777777" w:rsidR="008451AD" w:rsidRPr="00722521" w:rsidRDefault="008451AD" w:rsidP="008451AD">
            <w:pPr>
              <w:pStyle w:val="TableParagraph"/>
              <w:mirrorIndents/>
              <w:rPr>
                <w:b/>
                <w:szCs w:val="17"/>
              </w:rPr>
            </w:pPr>
          </w:p>
        </w:tc>
        <w:tc>
          <w:tcPr>
            <w:tcW w:w="627" w:type="pct"/>
            <w:tcBorders>
              <w:top w:val="single" w:sz="8" w:space="0" w:color="BABABA"/>
              <w:left w:val="single" w:sz="8" w:space="0" w:color="BABABA"/>
              <w:bottom w:val="single" w:sz="8" w:space="0" w:color="BABABA"/>
              <w:right w:val="single" w:sz="8" w:space="0" w:color="BABABA"/>
            </w:tcBorders>
          </w:tcPr>
          <w:p w14:paraId="65E0E49E" w14:textId="6BF8C9D5" w:rsidR="008451AD" w:rsidRPr="00722521" w:rsidRDefault="00637792" w:rsidP="008451AD">
            <w:pPr>
              <w:pStyle w:val="TableParagraph"/>
              <w:mirrorIndents/>
              <w:rPr>
                <w:b/>
                <w:szCs w:val="17"/>
              </w:rPr>
            </w:pPr>
            <w:r w:rsidRPr="00722521">
              <w:rPr>
                <w:b/>
                <w:szCs w:val="17"/>
              </w:rPr>
              <w:t>x</w:t>
            </w:r>
          </w:p>
        </w:tc>
        <w:tc>
          <w:tcPr>
            <w:tcW w:w="672" w:type="pct"/>
            <w:tcBorders>
              <w:top w:val="single" w:sz="8" w:space="0" w:color="BABABA"/>
              <w:left w:val="single" w:sz="8" w:space="0" w:color="BABABA"/>
              <w:bottom w:val="single" w:sz="8" w:space="0" w:color="BABABA"/>
              <w:right w:val="single" w:sz="8" w:space="0" w:color="BABABA"/>
            </w:tcBorders>
          </w:tcPr>
          <w:p w14:paraId="7FAF6ABE" w14:textId="77777777" w:rsidR="008451AD" w:rsidRPr="00722521" w:rsidRDefault="008451AD" w:rsidP="008451AD">
            <w:pPr>
              <w:pStyle w:val="TableParagraph"/>
              <w:mirrorIndents/>
              <w:rPr>
                <w:b/>
                <w:szCs w:val="17"/>
              </w:rPr>
            </w:pPr>
          </w:p>
        </w:tc>
        <w:tc>
          <w:tcPr>
            <w:tcW w:w="658" w:type="pct"/>
            <w:tcBorders>
              <w:top w:val="single" w:sz="8" w:space="0" w:color="BABABA"/>
              <w:left w:val="single" w:sz="8" w:space="0" w:color="BABABA"/>
              <w:bottom w:val="single" w:sz="8" w:space="0" w:color="BABABA"/>
              <w:right w:val="single" w:sz="8" w:space="0" w:color="BABABA"/>
            </w:tcBorders>
          </w:tcPr>
          <w:p w14:paraId="079F0A11" w14:textId="77777777" w:rsidR="008451AD" w:rsidRPr="00722521" w:rsidRDefault="008451AD" w:rsidP="008451AD">
            <w:pPr>
              <w:pStyle w:val="TableParagraph"/>
              <w:mirrorIndents/>
              <w:rPr>
                <w:b/>
                <w:szCs w:val="17"/>
              </w:rPr>
            </w:pPr>
          </w:p>
        </w:tc>
        <w:tc>
          <w:tcPr>
            <w:tcW w:w="629" w:type="pct"/>
            <w:tcBorders>
              <w:top w:val="single" w:sz="8" w:space="0" w:color="BABABA"/>
              <w:left w:val="single" w:sz="8" w:space="0" w:color="BABABA"/>
              <w:bottom w:val="single" w:sz="8" w:space="0" w:color="BABABA"/>
              <w:right w:val="single" w:sz="8" w:space="0" w:color="BABABA"/>
            </w:tcBorders>
          </w:tcPr>
          <w:p w14:paraId="7B51D835" w14:textId="63A37D20" w:rsidR="008451AD" w:rsidRPr="00722521" w:rsidRDefault="008451AD" w:rsidP="008451AD">
            <w:pPr>
              <w:pStyle w:val="TableParagraph"/>
              <w:mirrorIndents/>
              <w:rPr>
                <w:b/>
                <w:szCs w:val="17"/>
              </w:rPr>
            </w:pPr>
          </w:p>
        </w:tc>
      </w:tr>
      <w:tr w:rsidR="008451AD" w:rsidRPr="00722521" w14:paraId="4BB0C96A" w14:textId="77777777" w:rsidTr="008451AD">
        <w:trPr>
          <w:trHeight w:val="1134"/>
        </w:trPr>
        <w:tc>
          <w:tcPr>
            <w:tcW w:w="1118" w:type="pct"/>
            <w:tcBorders>
              <w:top w:val="single" w:sz="8" w:space="0" w:color="BABABA"/>
              <w:left w:val="single" w:sz="8" w:space="0" w:color="BABABA"/>
              <w:bottom w:val="single" w:sz="8" w:space="0" w:color="BABABA"/>
              <w:right w:val="single" w:sz="8" w:space="0" w:color="BABABA"/>
            </w:tcBorders>
          </w:tcPr>
          <w:p w14:paraId="1C75EF5D" w14:textId="4D08BF66" w:rsidR="008451AD" w:rsidRPr="00722521" w:rsidRDefault="008451AD" w:rsidP="008451AD">
            <w:pPr>
              <w:pStyle w:val="TableParagraph"/>
              <w:mirrorIndents/>
              <w:rPr>
                <w:w w:val="105"/>
                <w:szCs w:val="17"/>
              </w:rPr>
            </w:pPr>
            <w:r w:rsidRPr="00722521">
              <w:rPr>
                <w:szCs w:val="17"/>
              </w:rPr>
              <w:lastRenderedPageBreak/>
              <w:t xml:space="preserve">Further </w:t>
            </w:r>
            <w:proofErr w:type="spellStart"/>
            <w:r w:rsidRPr="00722521">
              <w:rPr>
                <w:szCs w:val="17"/>
              </w:rPr>
              <w:t>harmonisation</w:t>
            </w:r>
            <w:proofErr w:type="spellEnd"/>
            <w:r w:rsidRPr="00722521">
              <w:rPr>
                <w:szCs w:val="17"/>
              </w:rPr>
              <w:t xml:space="preserve"> of Union rules</w:t>
            </w:r>
          </w:p>
        </w:tc>
        <w:tc>
          <w:tcPr>
            <w:tcW w:w="621" w:type="pct"/>
            <w:tcBorders>
              <w:top w:val="single" w:sz="8" w:space="0" w:color="BABABA"/>
              <w:left w:val="single" w:sz="8" w:space="0" w:color="BABABA"/>
              <w:bottom w:val="single" w:sz="8" w:space="0" w:color="BABABA"/>
              <w:right w:val="single" w:sz="8" w:space="0" w:color="BABABA"/>
            </w:tcBorders>
          </w:tcPr>
          <w:p w14:paraId="736C8C36" w14:textId="77777777" w:rsidR="008451AD" w:rsidRPr="00722521" w:rsidRDefault="008451AD" w:rsidP="008451AD">
            <w:pPr>
              <w:pStyle w:val="TableParagraph"/>
              <w:mirrorIndents/>
              <w:rPr>
                <w:b/>
                <w:szCs w:val="17"/>
              </w:rPr>
            </w:pPr>
          </w:p>
        </w:tc>
        <w:tc>
          <w:tcPr>
            <w:tcW w:w="676" w:type="pct"/>
            <w:tcBorders>
              <w:top w:val="single" w:sz="8" w:space="0" w:color="BABABA"/>
              <w:left w:val="single" w:sz="8" w:space="0" w:color="BABABA"/>
              <w:bottom w:val="single" w:sz="8" w:space="0" w:color="BABABA"/>
              <w:right w:val="single" w:sz="8" w:space="0" w:color="BABABA"/>
            </w:tcBorders>
          </w:tcPr>
          <w:p w14:paraId="264BF41F" w14:textId="77777777" w:rsidR="008451AD" w:rsidRPr="00722521" w:rsidRDefault="008451AD" w:rsidP="008451AD">
            <w:pPr>
              <w:pStyle w:val="TableParagraph"/>
              <w:mirrorIndents/>
              <w:rPr>
                <w:b/>
                <w:szCs w:val="17"/>
              </w:rPr>
            </w:pPr>
          </w:p>
        </w:tc>
        <w:tc>
          <w:tcPr>
            <w:tcW w:w="627" w:type="pct"/>
            <w:tcBorders>
              <w:top w:val="single" w:sz="8" w:space="0" w:color="BABABA"/>
              <w:left w:val="single" w:sz="8" w:space="0" w:color="BABABA"/>
              <w:bottom w:val="single" w:sz="8" w:space="0" w:color="BABABA"/>
              <w:right w:val="single" w:sz="8" w:space="0" w:color="BABABA"/>
            </w:tcBorders>
          </w:tcPr>
          <w:p w14:paraId="4AE11085" w14:textId="5633159D" w:rsidR="008451AD" w:rsidRPr="00722521" w:rsidRDefault="00637792" w:rsidP="008451AD">
            <w:pPr>
              <w:pStyle w:val="TableParagraph"/>
              <w:mirrorIndents/>
              <w:rPr>
                <w:b/>
                <w:szCs w:val="17"/>
              </w:rPr>
            </w:pPr>
            <w:r w:rsidRPr="00722521">
              <w:rPr>
                <w:b/>
                <w:szCs w:val="17"/>
              </w:rPr>
              <w:t>x</w:t>
            </w:r>
          </w:p>
        </w:tc>
        <w:tc>
          <w:tcPr>
            <w:tcW w:w="672" w:type="pct"/>
            <w:tcBorders>
              <w:top w:val="single" w:sz="8" w:space="0" w:color="BABABA"/>
              <w:left w:val="single" w:sz="8" w:space="0" w:color="BABABA"/>
              <w:bottom w:val="single" w:sz="8" w:space="0" w:color="BABABA"/>
              <w:right w:val="single" w:sz="8" w:space="0" w:color="BABABA"/>
            </w:tcBorders>
          </w:tcPr>
          <w:p w14:paraId="37438E31" w14:textId="77777777" w:rsidR="008451AD" w:rsidRPr="00722521" w:rsidRDefault="008451AD" w:rsidP="008451AD">
            <w:pPr>
              <w:pStyle w:val="TableParagraph"/>
              <w:mirrorIndents/>
              <w:rPr>
                <w:b/>
                <w:szCs w:val="17"/>
              </w:rPr>
            </w:pPr>
          </w:p>
        </w:tc>
        <w:tc>
          <w:tcPr>
            <w:tcW w:w="658" w:type="pct"/>
            <w:tcBorders>
              <w:top w:val="single" w:sz="8" w:space="0" w:color="BABABA"/>
              <w:left w:val="single" w:sz="8" w:space="0" w:color="BABABA"/>
              <w:bottom w:val="single" w:sz="8" w:space="0" w:color="BABABA"/>
              <w:right w:val="single" w:sz="8" w:space="0" w:color="BABABA"/>
            </w:tcBorders>
          </w:tcPr>
          <w:p w14:paraId="35B2B968" w14:textId="77777777" w:rsidR="008451AD" w:rsidRPr="00722521" w:rsidRDefault="008451AD" w:rsidP="008451AD">
            <w:pPr>
              <w:pStyle w:val="TableParagraph"/>
              <w:mirrorIndents/>
              <w:rPr>
                <w:b/>
                <w:szCs w:val="17"/>
              </w:rPr>
            </w:pPr>
          </w:p>
        </w:tc>
        <w:tc>
          <w:tcPr>
            <w:tcW w:w="629" w:type="pct"/>
            <w:tcBorders>
              <w:top w:val="single" w:sz="8" w:space="0" w:color="BABABA"/>
              <w:left w:val="single" w:sz="8" w:space="0" w:color="BABABA"/>
              <w:bottom w:val="single" w:sz="8" w:space="0" w:color="BABABA"/>
              <w:right w:val="single" w:sz="8" w:space="0" w:color="BABABA"/>
            </w:tcBorders>
          </w:tcPr>
          <w:p w14:paraId="247F88D3" w14:textId="519E9D63" w:rsidR="008451AD" w:rsidRPr="00722521" w:rsidRDefault="008451AD" w:rsidP="008451AD">
            <w:pPr>
              <w:pStyle w:val="TableParagraph"/>
              <w:mirrorIndents/>
              <w:rPr>
                <w:b/>
                <w:szCs w:val="17"/>
              </w:rPr>
            </w:pPr>
          </w:p>
        </w:tc>
      </w:tr>
      <w:tr w:rsidR="008451AD" w:rsidRPr="00722521" w14:paraId="7FE554B8" w14:textId="77777777" w:rsidTr="008451AD">
        <w:trPr>
          <w:trHeight w:val="1134"/>
        </w:trPr>
        <w:tc>
          <w:tcPr>
            <w:tcW w:w="1118" w:type="pct"/>
            <w:tcBorders>
              <w:top w:val="single" w:sz="8" w:space="0" w:color="BABABA"/>
              <w:left w:val="single" w:sz="8" w:space="0" w:color="BABABA"/>
              <w:bottom w:val="single" w:sz="8" w:space="0" w:color="BABABA"/>
              <w:right w:val="single" w:sz="8" w:space="0" w:color="BABABA"/>
            </w:tcBorders>
          </w:tcPr>
          <w:p w14:paraId="6249B9B6" w14:textId="296CE51F" w:rsidR="008451AD" w:rsidRPr="00722521" w:rsidRDefault="008451AD" w:rsidP="008451AD">
            <w:pPr>
              <w:pStyle w:val="TableParagraph"/>
              <w:mirrorIndents/>
              <w:rPr>
                <w:w w:val="105"/>
                <w:szCs w:val="17"/>
              </w:rPr>
            </w:pPr>
            <w:r w:rsidRPr="00722521">
              <w:rPr>
                <w:w w:val="105"/>
                <w:szCs w:val="17"/>
              </w:rPr>
              <w:t>Other</w:t>
            </w:r>
          </w:p>
        </w:tc>
        <w:tc>
          <w:tcPr>
            <w:tcW w:w="621" w:type="pct"/>
            <w:tcBorders>
              <w:top w:val="single" w:sz="8" w:space="0" w:color="BABABA"/>
              <w:left w:val="single" w:sz="8" w:space="0" w:color="BABABA"/>
              <w:bottom w:val="single" w:sz="8" w:space="0" w:color="BABABA"/>
              <w:right w:val="single" w:sz="8" w:space="0" w:color="BABABA"/>
            </w:tcBorders>
          </w:tcPr>
          <w:p w14:paraId="41665D0C" w14:textId="77777777" w:rsidR="008451AD" w:rsidRPr="00722521" w:rsidRDefault="008451AD" w:rsidP="008451AD">
            <w:pPr>
              <w:pStyle w:val="TableParagraph"/>
              <w:mirrorIndents/>
              <w:rPr>
                <w:b/>
                <w:szCs w:val="17"/>
              </w:rPr>
            </w:pPr>
          </w:p>
        </w:tc>
        <w:tc>
          <w:tcPr>
            <w:tcW w:w="676" w:type="pct"/>
            <w:tcBorders>
              <w:top w:val="single" w:sz="8" w:space="0" w:color="BABABA"/>
              <w:left w:val="single" w:sz="8" w:space="0" w:color="BABABA"/>
              <w:bottom w:val="single" w:sz="8" w:space="0" w:color="BABABA"/>
              <w:right w:val="single" w:sz="8" w:space="0" w:color="BABABA"/>
            </w:tcBorders>
          </w:tcPr>
          <w:p w14:paraId="0F0C7EB6" w14:textId="77777777" w:rsidR="008451AD" w:rsidRPr="00722521" w:rsidRDefault="008451AD" w:rsidP="008451AD">
            <w:pPr>
              <w:pStyle w:val="TableParagraph"/>
              <w:mirrorIndents/>
              <w:rPr>
                <w:b/>
                <w:szCs w:val="17"/>
              </w:rPr>
            </w:pPr>
          </w:p>
        </w:tc>
        <w:tc>
          <w:tcPr>
            <w:tcW w:w="627" w:type="pct"/>
            <w:tcBorders>
              <w:top w:val="single" w:sz="8" w:space="0" w:color="BABABA"/>
              <w:left w:val="single" w:sz="8" w:space="0" w:color="BABABA"/>
              <w:bottom w:val="single" w:sz="8" w:space="0" w:color="BABABA"/>
              <w:right w:val="single" w:sz="8" w:space="0" w:color="BABABA"/>
            </w:tcBorders>
          </w:tcPr>
          <w:p w14:paraId="6D65CE6D" w14:textId="77777777" w:rsidR="008451AD" w:rsidRPr="00722521" w:rsidRDefault="008451AD" w:rsidP="008451AD">
            <w:pPr>
              <w:pStyle w:val="TableParagraph"/>
              <w:mirrorIndents/>
              <w:rPr>
                <w:b/>
                <w:szCs w:val="17"/>
              </w:rPr>
            </w:pPr>
          </w:p>
        </w:tc>
        <w:tc>
          <w:tcPr>
            <w:tcW w:w="672" w:type="pct"/>
            <w:tcBorders>
              <w:top w:val="single" w:sz="8" w:space="0" w:color="BABABA"/>
              <w:left w:val="single" w:sz="8" w:space="0" w:color="BABABA"/>
              <w:bottom w:val="single" w:sz="8" w:space="0" w:color="BABABA"/>
              <w:right w:val="single" w:sz="8" w:space="0" w:color="BABABA"/>
            </w:tcBorders>
          </w:tcPr>
          <w:p w14:paraId="75AD2248" w14:textId="77777777" w:rsidR="008451AD" w:rsidRPr="00722521" w:rsidRDefault="008451AD" w:rsidP="008451AD">
            <w:pPr>
              <w:pStyle w:val="TableParagraph"/>
              <w:mirrorIndents/>
              <w:rPr>
                <w:b/>
                <w:szCs w:val="17"/>
              </w:rPr>
            </w:pPr>
          </w:p>
        </w:tc>
        <w:tc>
          <w:tcPr>
            <w:tcW w:w="658" w:type="pct"/>
            <w:tcBorders>
              <w:top w:val="single" w:sz="8" w:space="0" w:color="BABABA"/>
              <w:left w:val="single" w:sz="8" w:space="0" w:color="BABABA"/>
              <w:bottom w:val="single" w:sz="8" w:space="0" w:color="BABABA"/>
              <w:right w:val="single" w:sz="8" w:space="0" w:color="BABABA"/>
            </w:tcBorders>
          </w:tcPr>
          <w:p w14:paraId="0E091992" w14:textId="77777777" w:rsidR="008451AD" w:rsidRPr="00722521" w:rsidRDefault="008451AD" w:rsidP="008451AD">
            <w:pPr>
              <w:pStyle w:val="TableParagraph"/>
              <w:mirrorIndents/>
              <w:rPr>
                <w:b/>
                <w:szCs w:val="17"/>
              </w:rPr>
            </w:pPr>
          </w:p>
        </w:tc>
        <w:tc>
          <w:tcPr>
            <w:tcW w:w="629" w:type="pct"/>
            <w:tcBorders>
              <w:top w:val="single" w:sz="8" w:space="0" w:color="BABABA"/>
              <w:left w:val="single" w:sz="8" w:space="0" w:color="BABABA"/>
              <w:bottom w:val="single" w:sz="8" w:space="0" w:color="BABABA"/>
              <w:right w:val="single" w:sz="8" w:space="0" w:color="BABABA"/>
            </w:tcBorders>
          </w:tcPr>
          <w:p w14:paraId="0E26C1CC" w14:textId="08404522" w:rsidR="008451AD" w:rsidRPr="00722521" w:rsidRDefault="00637792" w:rsidP="008451AD">
            <w:pPr>
              <w:pStyle w:val="TableParagraph"/>
              <w:mirrorIndents/>
              <w:rPr>
                <w:b/>
                <w:szCs w:val="17"/>
              </w:rPr>
            </w:pPr>
            <w:r w:rsidRPr="00722521">
              <w:rPr>
                <w:b/>
                <w:szCs w:val="17"/>
              </w:rPr>
              <w:t>x</w:t>
            </w:r>
          </w:p>
        </w:tc>
      </w:tr>
    </w:tbl>
    <w:p w14:paraId="4D91A43F" w14:textId="77777777" w:rsidR="00BA160A" w:rsidRPr="00722521" w:rsidRDefault="00BA160A" w:rsidP="00A903E6">
      <w:pPr>
        <w:pStyle w:val="Textkrper"/>
        <w:mirrorIndents/>
        <w:rPr>
          <w:rFonts w:ascii="Verdana" w:hAnsi="Verdana"/>
          <w:sz w:val="17"/>
          <w:szCs w:val="17"/>
        </w:rPr>
      </w:pPr>
    </w:p>
    <w:p w14:paraId="6756D9EE" w14:textId="77777777" w:rsidR="00BA160A" w:rsidRPr="00722521" w:rsidRDefault="00BA160A" w:rsidP="008451AD">
      <w:pPr>
        <w:pStyle w:val="Textkrper"/>
        <w:ind w:left="0"/>
        <w:mirrorIndents/>
        <w:rPr>
          <w:rFonts w:ascii="Verdana" w:hAnsi="Verdana"/>
          <w:sz w:val="17"/>
          <w:szCs w:val="17"/>
        </w:rPr>
      </w:pPr>
      <w:r w:rsidRPr="00722521">
        <w:rPr>
          <w:rFonts w:ascii="Verdana" w:hAnsi="Verdana"/>
          <w:sz w:val="17"/>
          <w:szCs w:val="17"/>
          <w:highlight w:val="lightGray"/>
        </w:rPr>
        <w:t>Please specify what you mean by other:</w:t>
      </w:r>
    </w:p>
    <w:p w14:paraId="311AD842" w14:textId="77777777" w:rsidR="00BA160A" w:rsidRPr="00722521" w:rsidRDefault="00BA160A" w:rsidP="00A903E6">
      <w:pPr>
        <w:mirrorIndents/>
        <w:rPr>
          <w:sz w:val="17"/>
          <w:szCs w:val="17"/>
        </w:rPr>
      </w:pPr>
    </w:p>
    <w:p w14:paraId="57340530" w14:textId="77F8A016" w:rsidR="00BA160A" w:rsidRPr="00722521" w:rsidRDefault="0002519C" w:rsidP="00A903E6">
      <w:pPr>
        <w:mirrorIndents/>
        <w:rPr>
          <w:sz w:val="17"/>
          <w:szCs w:val="17"/>
        </w:rPr>
      </w:pPr>
      <w:r w:rsidRPr="00722521">
        <w:rPr>
          <w:sz w:val="17"/>
          <w:szCs w:val="17"/>
        </w:rPr>
        <w:t>N/A</w:t>
      </w:r>
    </w:p>
    <w:p w14:paraId="01B7DEAE" w14:textId="77777777" w:rsidR="00BA160A" w:rsidRPr="00722521" w:rsidRDefault="00BA160A" w:rsidP="00A903E6">
      <w:pPr>
        <w:mirrorIndents/>
        <w:rPr>
          <w:sz w:val="17"/>
          <w:szCs w:val="17"/>
        </w:rPr>
      </w:pPr>
    </w:p>
    <w:p w14:paraId="05E65D55" w14:textId="77777777" w:rsidR="00BA160A" w:rsidRPr="00722521" w:rsidRDefault="00BA160A" w:rsidP="008451AD">
      <w:pPr>
        <w:pStyle w:val="Textkrper"/>
        <w:ind w:left="0"/>
        <w:mirrorIndents/>
        <w:rPr>
          <w:rFonts w:ascii="Verdana" w:hAnsi="Verdana"/>
          <w:sz w:val="17"/>
          <w:szCs w:val="17"/>
        </w:rPr>
      </w:pPr>
      <w:r w:rsidRPr="00722521">
        <w:rPr>
          <w:rFonts w:ascii="Verdana" w:hAnsi="Verdana"/>
          <w:sz w:val="17"/>
          <w:szCs w:val="17"/>
          <w:highlight w:val="lightGray"/>
        </w:rPr>
        <w:t>Situation after the 2019 ESAs review for EIOPA:</w:t>
      </w:r>
    </w:p>
    <w:p w14:paraId="7197281F" w14:textId="77777777" w:rsidR="00BA160A" w:rsidRPr="00722521" w:rsidRDefault="00BA160A" w:rsidP="00A903E6">
      <w:pPr>
        <w:pStyle w:val="Textkrper"/>
        <w:mirrorIndents/>
        <w:rPr>
          <w:rFonts w:ascii="Verdana" w:hAnsi="Verdana"/>
          <w:sz w:val="17"/>
          <w:szCs w:val="17"/>
        </w:rPr>
      </w:pP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661"/>
        <w:gridCol w:w="1276"/>
        <w:gridCol w:w="1353"/>
        <w:gridCol w:w="1275"/>
        <w:gridCol w:w="1353"/>
        <w:gridCol w:w="1353"/>
        <w:gridCol w:w="1231"/>
        <w:gridCol w:w="9"/>
      </w:tblGrid>
      <w:tr w:rsidR="00AA4E82" w:rsidRPr="00722521" w14:paraId="0E2BE83E" w14:textId="77777777" w:rsidTr="00AA4E82">
        <w:trPr>
          <w:trHeight w:val="1134"/>
        </w:trPr>
        <w:tc>
          <w:tcPr>
            <w:tcW w:w="897" w:type="pct"/>
            <w:tcBorders>
              <w:top w:val="single" w:sz="8" w:space="0" w:color="BABABA"/>
              <w:left w:val="single" w:sz="8" w:space="0" w:color="BABABA"/>
              <w:bottom w:val="single" w:sz="8" w:space="0" w:color="BABABA"/>
              <w:right w:val="single" w:sz="8" w:space="0" w:color="BABABA"/>
            </w:tcBorders>
          </w:tcPr>
          <w:p w14:paraId="4EEB1E78" w14:textId="77777777" w:rsidR="00BA160A" w:rsidRPr="00722521" w:rsidRDefault="00BA160A" w:rsidP="00A903E6">
            <w:pPr>
              <w:mirrorIndents/>
              <w:rPr>
                <w:sz w:val="17"/>
                <w:szCs w:val="17"/>
              </w:rPr>
            </w:pPr>
          </w:p>
        </w:tc>
        <w:tc>
          <w:tcPr>
            <w:tcW w:w="530" w:type="pct"/>
            <w:tcBorders>
              <w:top w:val="single" w:sz="8" w:space="0" w:color="BABABA"/>
              <w:left w:val="single" w:sz="8" w:space="0" w:color="BABABA"/>
              <w:bottom w:val="single" w:sz="8" w:space="0" w:color="BABABA"/>
              <w:right w:val="single" w:sz="8" w:space="0" w:color="BABABA"/>
            </w:tcBorders>
            <w:hideMark/>
          </w:tcPr>
          <w:p w14:paraId="2CFCBDD5" w14:textId="77777777" w:rsidR="00BA160A" w:rsidRPr="00722521" w:rsidRDefault="00BA160A" w:rsidP="00A903E6">
            <w:pPr>
              <w:pStyle w:val="TableParagraph"/>
              <w:mirrorIndents/>
              <w:rPr>
                <w:szCs w:val="17"/>
              </w:rPr>
            </w:pPr>
            <w:r w:rsidRPr="00722521">
              <w:rPr>
                <w:w w:val="99"/>
                <w:szCs w:val="17"/>
              </w:rPr>
              <w:t>1</w:t>
            </w:r>
          </w:p>
          <w:p w14:paraId="770B5EDB" w14:textId="77777777" w:rsidR="00BA160A" w:rsidRPr="00722521" w:rsidRDefault="00BA160A" w:rsidP="00A903E6">
            <w:pPr>
              <w:pStyle w:val="TableParagraph"/>
              <w:ind w:hanging="55"/>
              <w:mirrorIndents/>
              <w:rPr>
                <w:szCs w:val="17"/>
              </w:rPr>
            </w:pPr>
            <w:r w:rsidRPr="00722521">
              <w:rPr>
                <w:szCs w:val="17"/>
              </w:rPr>
              <w:t>(less significant contribution</w:t>
            </w:r>
          </w:p>
        </w:tc>
        <w:tc>
          <w:tcPr>
            <w:tcW w:w="714" w:type="pct"/>
            <w:tcBorders>
              <w:top w:val="single" w:sz="8" w:space="0" w:color="BABABA"/>
              <w:left w:val="single" w:sz="8" w:space="0" w:color="BABABA"/>
              <w:bottom w:val="single" w:sz="8" w:space="0" w:color="BABABA"/>
              <w:right w:val="single" w:sz="8" w:space="0" w:color="BABABA"/>
            </w:tcBorders>
            <w:hideMark/>
          </w:tcPr>
          <w:p w14:paraId="0A42E688" w14:textId="77777777" w:rsidR="00BA160A" w:rsidRPr="00722521" w:rsidRDefault="00BA160A" w:rsidP="00A903E6">
            <w:pPr>
              <w:pStyle w:val="TableParagraph"/>
              <w:mirrorIndents/>
              <w:rPr>
                <w:szCs w:val="17"/>
              </w:rPr>
            </w:pPr>
            <w:r w:rsidRPr="00722521">
              <w:rPr>
                <w:w w:val="99"/>
                <w:szCs w:val="17"/>
              </w:rPr>
              <w:t>2</w:t>
            </w:r>
          </w:p>
          <w:p w14:paraId="4392A355" w14:textId="77777777" w:rsidR="00BA160A" w:rsidRPr="00722521" w:rsidRDefault="00BA160A" w:rsidP="00A903E6">
            <w:pPr>
              <w:pStyle w:val="TableParagraph"/>
              <w:ind w:hanging="56"/>
              <w:mirrorIndents/>
              <w:rPr>
                <w:szCs w:val="17"/>
              </w:rPr>
            </w:pPr>
            <w:r w:rsidRPr="00722521">
              <w:rPr>
                <w:szCs w:val="17"/>
              </w:rPr>
              <w:t>(not so significant contribution)</w:t>
            </w:r>
          </w:p>
        </w:tc>
        <w:tc>
          <w:tcPr>
            <w:tcW w:w="715" w:type="pct"/>
            <w:tcBorders>
              <w:top w:val="single" w:sz="8" w:space="0" w:color="BABABA"/>
              <w:left w:val="single" w:sz="8" w:space="0" w:color="BABABA"/>
              <w:bottom w:val="single" w:sz="8" w:space="0" w:color="BABABA"/>
              <w:right w:val="single" w:sz="8" w:space="0" w:color="BABABA"/>
            </w:tcBorders>
            <w:hideMark/>
          </w:tcPr>
          <w:p w14:paraId="6B90C8FF" w14:textId="77777777" w:rsidR="00BA160A" w:rsidRPr="00722521" w:rsidRDefault="00BA160A" w:rsidP="00A903E6">
            <w:pPr>
              <w:pStyle w:val="TableParagraph"/>
              <w:mirrorIndents/>
              <w:rPr>
                <w:szCs w:val="17"/>
              </w:rPr>
            </w:pPr>
            <w:r w:rsidRPr="00722521">
              <w:rPr>
                <w:w w:val="99"/>
                <w:szCs w:val="17"/>
              </w:rPr>
              <w:t>3</w:t>
            </w:r>
          </w:p>
          <w:p w14:paraId="2C7BC5AA" w14:textId="77777777" w:rsidR="00BA160A" w:rsidRPr="00722521" w:rsidRDefault="00BA160A" w:rsidP="00A903E6">
            <w:pPr>
              <w:pStyle w:val="TableParagraph"/>
              <w:mirrorIndents/>
              <w:rPr>
                <w:szCs w:val="17"/>
              </w:rPr>
            </w:pPr>
            <w:r w:rsidRPr="00722521">
              <w:rPr>
                <w:szCs w:val="17"/>
              </w:rPr>
              <w:t>(neutral)</w:t>
            </w:r>
          </w:p>
        </w:tc>
        <w:tc>
          <w:tcPr>
            <w:tcW w:w="714" w:type="pct"/>
            <w:tcBorders>
              <w:top w:val="single" w:sz="8" w:space="0" w:color="BABABA"/>
              <w:left w:val="single" w:sz="8" w:space="0" w:color="BABABA"/>
              <w:bottom w:val="single" w:sz="8" w:space="0" w:color="BABABA"/>
              <w:right w:val="single" w:sz="8" w:space="0" w:color="BABABA"/>
            </w:tcBorders>
            <w:hideMark/>
          </w:tcPr>
          <w:p w14:paraId="235ADB4F" w14:textId="77777777" w:rsidR="00BA160A" w:rsidRPr="00722521" w:rsidRDefault="00BA160A" w:rsidP="00A903E6">
            <w:pPr>
              <w:pStyle w:val="TableParagraph"/>
              <w:mirrorIndents/>
              <w:rPr>
                <w:szCs w:val="17"/>
              </w:rPr>
            </w:pPr>
            <w:r w:rsidRPr="00722521">
              <w:rPr>
                <w:w w:val="99"/>
                <w:szCs w:val="17"/>
              </w:rPr>
              <w:t>4</w:t>
            </w:r>
          </w:p>
          <w:p w14:paraId="6F9C234A" w14:textId="77777777" w:rsidR="00BA160A" w:rsidRPr="00722521" w:rsidRDefault="00BA160A" w:rsidP="00A903E6">
            <w:pPr>
              <w:pStyle w:val="TableParagraph"/>
              <w:ind w:hanging="55"/>
              <w:mirrorIndents/>
              <w:rPr>
                <w:szCs w:val="17"/>
              </w:rPr>
            </w:pPr>
            <w:r w:rsidRPr="00722521">
              <w:rPr>
                <w:szCs w:val="17"/>
              </w:rPr>
              <w:t>(significant contribution)</w:t>
            </w:r>
          </w:p>
        </w:tc>
        <w:tc>
          <w:tcPr>
            <w:tcW w:w="714" w:type="pct"/>
            <w:tcBorders>
              <w:top w:val="single" w:sz="8" w:space="0" w:color="BABABA"/>
              <w:left w:val="single" w:sz="8" w:space="0" w:color="BABABA"/>
              <w:bottom w:val="single" w:sz="8" w:space="0" w:color="BABABA"/>
              <w:right w:val="single" w:sz="8" w:space="0" w:color="BABABA"/>
            </w:tcBorders>
            <w:hideMark/>
          </w:tcPr>
          <w:p w14:paraId="5402B38F" w14:textId="77777777" w:rsidR="00BA160A" w:rsidRPr="00722521" w:rsidRDefault="00BA160A" w:rsidP="00A903E6">
            <w:pPr>
              <w:pStyle w:val="TableParagraph"/>
              <w:mirrorIndents/>
              <w:rPr>
                <w:szCs w:val="17"/>
              </w:rPr>
            </w:pPr>
            <w:r w:rsidRPr="00722521">
              <w:rPr>
                <w:w w:val="99"/>
                <w:szCs w:val="17"/>
              </w:rPr>
              <w:t>5</w:t>
            </w:r>
          </w:p>
          <w:p w14:paraId="06AF6186" w14:textId="77777777" w:rsidR="00BA160A" w:rsidRPr="00722521" w:rsidRDefault="00BA160A" w:rsidP="00A903E6">
            <w:pPr>
              <w:pStyle w:val="TableParagraph"/>
              <w:ind w:hanging="55"/>
              <w:mirrorIndents/>
              <w:rPr>
                <w:szCs w:val="17"/>
              </w:rPr>
            </w:pPr>
            <w:r w:rsidRPr="00722521">
              <w:rPr>
                <w:szCs w:val="17"/>
              </w:rPr>
              <w:t>(most significant contribution)</w:t>
            </w:r>
          </w:p>
        </w:tc>
        <w:tc>
          <w:tcPr>
            <w:tcW w:w="716" w:type="pct"/>
            <w:gridSpan w:val="2"/>
            <w:tcBorders>
              <w:top w:val="single" w:sz="8" w:space="0" w:color="BABABA"/>
              <w:left w:val="single" w:sz="8" w:space="0" w:color="BABABA"/>
              <w:bottom w:val="single" w:sz="8" w:space="0" w:color="BABABA"/>
              <w:right w:val="single" w:sz="8" w:space="0" w:color="BABABA"/>
            </w:tcBorders>
            <w:hideMark/>
          </w:tcPr>
          <w:p w14:paraId="113D0CBA" w14:textId="77777777" w:rsidR="00BA160A" w:rsidRPr="00722521" w:rsidRDefault="00BA160A" w:rsidP="00A903E6">
            <w:pPr>
              <w:pStyle w:val="TableParagraph"/>
              <w:ind w:hanging="54"/>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6E1DF424" w14:textId="77777777" w:rsidR="00BA160A" w:rsidRPr="00722521" w:rsidRDefault="00BA160A" w:rsidP="00A903E6">
            <w:pPr>
              <w:pStyle w:val="TableParagraph"/>
              <w:ind w:hanging="1"/>
              <w:mirrorIndents/>
              <w:rPr>
                <w:szCs w:val="17"/>
              </w:rPr>
            </w:pPr>
            <w:r w:rsidRPr="00722521">
              <w:rPr>
                <w:szCs w:val="17"/>
              </w:rPr>
              <w:t>Not applicable</w:t>
            </w:r>
          </w:p>
        </w:tc>
      </w:tr>
      <w:tr w:rsidR="00AA4E82" w:rsidRPr="00722521" w14:paraId="0FB0D7B6" w14:textId="77777777" w:rsidTr="00AA4E82">
        <w:trPr>
          <w:trHeight w:val="1134"/>
        </w:trPr>
        <w:tc>
          <w:tcPr>
            <w:tcW w:w="897" w:type="pct"/>
            <w:tcBorders>
              <w:top w:val="single" w:sz="8" w:space="0" w:color="BABABA"/>
              <w:left w:val="single" w:sz="8" w:space="0" w:color="BABABA"/>
              <w:bottom w:val="single" w:sz="8" w:space="0" w:color="BABABA"/>
              <w:right w:val="single" w:sz="8" w:space="0" w:color="BABABA"/>
            </w:tcBorders>
            <w:hideMark/>
          </w:tcPr>
          <w:p w14:paraId="45793A03" w14:textId="77777777" w:rsidR="00BA160A" w:rsidRPr="00722521" w:rsidRDefault="00BA160A" w:rsidP="00A903E6">
            <w:pPr>
              <w:pStyle w:val="TableParagraph"/>
              <w:mirrorIndents/>
              <w:rPr>
                <w:szCs w:val="17"/>
              </w:rPr>
            </w:pPr>
            <w:r w:rsidRPr="00722521">
              <w:rPr>
                <w:szCs w:val="17"/>
              </w:rPr>
              <w:t>Convergence in the application of Union law</w:t>
            </w:r>
          </w:p>
        </w:tc>
        <w:tc>
          <w:tcPr>
            <w:tcW w:w="530" w:type="pct"/>
            <w:tcBorders>
              <w:top w:val="single" w:sz="8" w:space="0" w:color="BABABA"/>
              <w:left w:val="single" w:sz="8" w:space="0" w:color="BABABA"/>
              <w:bottom w:val="single" w:sz="8" w:space="0" w:color="BABABA"/>
              <w:right w:val="single" w:sz="8" w:space="0" w:color="BABABA"/>
            </w:tcBorders>
          </w:tcPr>
          <w:p w14:paraId="56B3545D"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38B8545E"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12897929"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3EF9D9A9" w14:textId="72B95D5D" w:rsidR="00BA160A" w:rsidRPr="00722521" w:rsidRDefault="00637792" w:rsidP="00A903E6">
            <w:pPr>
              <w:pStyle w:val="TableParagraph"/>
              <w:mirrorIndents/>
              <w:rPr>
                <w:b/>
                <w:szCs w:val="17"/>
              </w:rPr>
            </w:pPr>
            <w:r w:rsidRPr="00722521">
              <w:rPr>
                <w:b/>
                <w:szCs w:val="17"/>
              </w:rPr>
              <w:t>x</w:t>
            </w:r>
          </w:p>
        </w:tc>
        <w:tc>
          <w:tcPr>
            <w:tcW w:w="714" w:type="pct"/>
            <w:tcBorders>
              <w:top w:val="single" w:sz="8" w:space="0" w:color="BABABA"/>
              <w:left w:val="single" w:sz="8" w:space="0" w:color="BABABA"/>
              <w:bottom w:val="single" w:sz="8" w:space="0" w:color="BABABA"/>
              <w:right w:val="single" w:sz="8" w:space="0" w:color="BABABA"/>
            </w:tcBorders>
          </w:tcPr>
          <w:p w14:paraId="121FF1FA" w14:textId="77777777" w:rsidR="00BA160A" w:rsidRPr="00722521" w:rsidRDefault="00BA160A" w:rsidP="00A903E6">
            <w:pPr>
              <w:pStyle w:val="TableParagraph"/>
              <w:mirrorIndents/>
              <w:rPr>
                <w:b/>
                <w:szCs w:val="17"/>
              </w:rPr>
            </w:pPr>
          </w:p>
        </w:tc>
        <w:tc>
          <w:tcPr>
            <w:tcW w:w="716" w:type="pct"/>
            <w:gridSpan w:val="2"/>
            <w:tcBorders>
              <w:top w:val="single" w:sz="8" w:space="0" w:color="BABABA"/>
              <w:left w:val="single" w:sz="8" w:space="0" w:color="BABABA"/>
              <w:bottom w:val="single" w:sz="8" w:space="0" w:color="BABABA"/>
              <w:right w:val="single" w:sz="8" w:space="0" w:color="BABABA"/>
            </w:tcBorders>
          </w:tcPr>
          <w:p w14:paraId="6E92C588" w14:textId="77777777" w:rsidR="00BA160A" w:rsidRPr="00722521" w:rsidRDefault="00BA160A" w:rsidP="00A903E6">
            <w:pPr>
              <w:pStyle w:val="TableParagraph"/>
              <w:mirrorIndents/>
              <w:rPr>
                <w:b/>
                <w:szCs w:val="17"/>
              </w:rPr>
            </w:pPr>
          </w:p>
        </w:tc>
      </w:tr>
      <w:tr w:rsidR="00AA4E82" w:rsidRPr="00722521" w14:paraId="2AFCB71D" w14:textId="77777777" w:rsidTr="00AA4E82">
        <w:trPr>
          <w:trHeight w:val="1134"/>
        </w:trPr>
        <w:tc>
          <w:tcPr>
            <w:tcW w:w="897" w:type="pct"/>
            <w:tcBorders>
              <w:top w:val="single" w:sz="8" w:space="0" w:color="BABABA"/>
              <w:left w:val="single" w:sz="8" w:space="0" w:color="BABABA"/>
              <w:bottom w:val="single" w:sz="8" w:space="0" w:color="BABABA"/>
              <w:right w:val="single" w:sz="8" w:space="0" w:color="BABABA"/>
            </w:tcBorders>
            <w:hideMark/>
          </w:tcPr>
          <w:p w14:paraId="0E502AC6" w14:textId="77777777" w:rsidR="00BA160A" w:rsidRPr="00722521" w:rsidRDefault="00BA160A" w:rsidP="00A903E6">
            <w:pPr>
              <w:pStyle w:val="TableParagraph"/>
              <w:mirrorIndents/>
              <w:rPr>
                <w:szCs w:val="17"/>
              </w:rPr>
            </w:pPr>
            <w:r w:rsidRPr="00722521">
              <w:rPr>
                <w:szCs w:val="17"/>
              </w:rPr>
              <w:t>Convergence in supervisory practices</w:t>
            </w:r>
          </w:p>
        </w:tc>
        <w:tc>
          <w:tcPr>
            <w:tcW w:w="530" w:type="pct"/>
            <w:tcBorders>
              <w:top w:val="single" w:sz="8" w:space="0" w:color="BABABA"/>
              <w:left w:val="single" w:sz="8" w:space="0" w:color="BABABA"/>
              <w:bottom w:val="single" w:sz="8" w:space="0" w:color="BABABA"/>
              <w:right w:val="single" w:sz="8" w:space="0" w:color="BABABA"/>
            </w:tcBorders>
          </w:tcPr>
          <w:p w14:paraId="3485B69C"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08BB5FDC"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17591E97"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50F74C03"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3A2C0208" w14:textId="15CE4A84" w:rsidR="00BA160A" w:rsidRPr="00722521" w:rsidRDefault="00637792" w:rsidP="00A903E6">
            <w:pPr>
              <w:pStyle w:val="TableParagraph"/>
              <w:mirrorIndents/>
              <w:rPr>
                <w:b/>
                <w:szCs w:val="17"/>
              </w:rPr>
            </w:pPr>
            <w:r w:rsidRPr="00722521">
              <w:rPr>
                <w:b/>
                <w:szCs w:val="17"/>
              </w:rPr>
              <w:t>x</w:t>
            </w:r>
          </w:p>
        </w:tc>
        <w:tc>
          <w:tcPr>
            <w:tcW w:w="716" w:type="pct"/>
            <w:gridSpan w:val="2"/>
            <w:tcBorders>
              <w:top w:val="single" w:sz="8" w:space="0" w:color="BABABA"/>
              <w:left w:val="single" w:sz="8" w:space="0" w:color="BABABA"/>
              <w:bottom w:val="single" w:sz="8" w:space="0" w:color="BABABA"/>
              <w:right w:val="single" w:sz="8" w:space="0" w:color="BABABA"/>
            </w:tcBorders>
          </w:tcPr>
          <w:p w14:paraId="4556B8CF" w14:textId="77777777" w:rsidR="00BA160A" w:rsidRPr="00722521" w:rsidRDefault="00BA160A" w:rsidP="00A903E6">
            <w:pPr>
              <w:pStyle w:val="TableParagraph"/>
              <w:mirrorIndents/>
              <w:rPr>
                <w:b/>
                <w:szCs w:val="17"/>
              </w:rPr>
            </w:pPr>
          </w:p>
        </w:tc>
      </w:tr>
      <w:tr w:rsidR="00AA4E82" w:rsidRPr="00722521" w14:paraId="2246F741" w14:textId="77777777" w:rsidTr="00AA4E82">
        <w:trPr>
          <w:trHeight w:val="1134"/>
        </w:trPr>
        <w:tc>
          <w:tcPr>
            <w:tcW w:w="897" w:type="pct"/>
            <w:tcBorders>
              <w:top w:val="single" w:sz="8" w:space="0" w:color="BABABA"/>
              <w:left w:val="single" w:sz="8" w:space="0" w:color="BABABA"/>
              <w:bottom w:val="single" w:sz="8" w:space="0" w:color="BABABA"/>
              <w:right w:val="single" w:sz="8" w:space="0" w:color="BABABA"/>
            </w:tcBorders>
            <w:hideMark/>
          </w:tcPr>
          <w:p w14:paraId="3C09AC2D" w14:textId="77777777" w:rsidR="00BA160A" w:rsidRPr="00722521" w:rsidRDefault="00BA160A" w:rsidP="00A903E6">
            <w:pPr>
              <w:pStyle w:val="TableParagraph"/>
              <w:mirrorIndents/>
              <w:rPr>
                <w:szCs w:val="17"/>
              </w:rPr>
            </w:pPr>
            <w:r w:rsidRPr="00722521">
              <w:rPr>
                <w:w w:val="105"/>
                <w:szCs w:val="17"/>
              </w:rPr>
              <w:t>More wide spread application of best practices</w:t>
            </w:r>
            <w:r w:rsidRPr="00722521">
              <w:rPr>
                <w:w w:val="102"/>
                <w:szCs w:val="17"/>
              </w:rPr>
              <w:t xml:space="preserve"> </w:t>
            </w:r>
            <w:r w:rsidRPr="00722521">
              <w:rPr>
                <w:w w:val="105"/>
                <w:szCs w:val="17"/>
              </w:rPr>
              <w:t>developed by other competent authorities</w:t>
            </w:r>
          </w:p>
        </w:tc>
        <w:tc>
          <w:tcPr>
            <w:tcW w:w="530" w:type="pct"/>
            <w:tcBorders>
              <w:top w:val="single" w:sz="8" w:space="0" w:color="BABABA"/>
              <w:left w:val="single" w:sz="8" w:space="0" w:color="BABABA"/>
              <w:bottom w:val="single" w:sz="8" w:space="0" w:color="BABABA"/>
              <w:right w:val="single" w:sz="8" w:space="0" w:color="BABABA"/>
            </w:tcBorders>
          </w:tcPr>
          <w:p w14:paraId="5A1F0F9D"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74A6EEFF"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432B9B3B"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7AEF042A" w14:textId="696C37D5" w:rsidR="00BA160A" w:rsidRPr="00722521" w:rsidRDefault="00637792" w:rsidP="00A903E6">
            <w:pPr>
              <w:pStyle w:val="TableParagraph"/>
              <w:mirrorIndents/>
              <w:rPr>
                <w:b/>
                <w:szCs w:val="17"/>
              </w:rPr>
            </w:pPr>
            <w:r w:rsidRPr="00722521">
              <w:rPr>
                <w:b/>
                <w:szCs w:val="17"/>
              </w:rPr>
              <w:t>x</w:t>
            </w:r>
          </w:p>
        </w:tc>
        <w:tc>
          <w:tcPr>
            <w:tcW w:w="714" w:type="pct"/>
            <w:tcBorders>
              <w:top w:val="single" w:sz="8" w:space="0" w:color="BABABA"/>
              <w:left w:val="single" w:sz="8" w:space="0" w:color="BABABA"/>
              <w:bottom w:val="single" w:sz="8" w:space="0" w:color="BABABA"/>
              <w:right w:val="single" w:sz="8" w:space="0" w:color="BABABA"/>
            </w:tcBorders>
          </w:tcPr>
          <w:p w14:paraId="3E7FC861" w14:textId="77777777" w:rsidR="00BA160A" w:rsidRPr="00722521" w:rsidRDefault="00BA160A" w:rsidP="00A903E6">
            <w:pPr>
              <w:pStyle w:val="TableParagraph"/>
              <w:mirrorIndents/>
              <w:rPr>
                <w:b/>
                <w:szCs w:val="17"/>
              </w:rPr>
            </w:pPr>
          </w:p>
        </w:tc>
        <w:tc>
          <w:tcPr>
            <w:tcW w:w="716" w:type="pct"/>
            <w:gridSpan w:val="2"/>
            <w:tcBorders>
              <w:top w:val="single" w:sz="8" w:space="0" w:color="BABABA"/>
              <w:left w:val="single" w:sz="8" w:space="0" w:color="BABABA"/>
              <w:bottom w:val="single" w:sz="8" w:space="0" w:color="BABABA"/>
              <w:right w:val="single" w:sz="8" w:space="0" w:color="BABABA"/>
            </w:tcBorders>
          </w:tcPr>
          <w:p w14:paraId="4736F44D" w14:textId="77777777" w:rsidR="00BA160A" w:rsidRPr="00722521" w:rsidRDefault="00BA160A" w:rsidP="00A903E6">
            <w:pPr>
              <w:pStyle w:val="TableParagraph"/>
              <w:mirrorIndents/>
              <w:rPr>
                <w:b/>
                <w:szCs w:val="17"/>
              </w:rPr>
            </w:pPr>
          </w:p>
        </w:tc>
      </w:tr>
      <w:tr w:rsidR="00AA4E82" w:rsidRPr="00722521" w14:paraId="263F8E61" w14:textId="77777777" w:rsidTr="00AA4E82">
        <w:trPr>
          <w:gridAfter w:val="1"/>
          <w:wAfter w:w="6" w:type="pct"/>
          <w:trHeight w:val="1134"/>
        </w:trPr>
        <w:tc>
          <w:tcPr>
            <w:tcW w:w="897" w:type="pct"/>
            <w:tcBorders>
              <w:top w:val="single" w:sz="8" w:space="0" w:color="BABABA"/>
              <w:left w:val="single" w:sz="8" w:space="0" w:color="BABABA"/>
              <w:bottom w:val="single" w:sz="8" w:space="0" w:color="BABABA"/>
              <w:right w:val="single" w:sz="8" w:space="0" w:color="BABABA"/>
            </w:tcBorders>
            <w:hideMark/>
          </w:tcPr>
          <w:p w14:paraId="178844D1" w14:textId="77777777" w:rsidR="00BA160A" w:rsidRPr="00722521" w:rsidRDefault="00BA160A" w:rsidP="00A903E6">
            <w:pPr>
              <w:pStyle w:val="TableParagraph"/>
              <w:mirrorIndents/>
              <w:rPr>
                <w:szCs w:val="17"/>
              </w:rPr>
            </w:pPr>
            <w:r w:rsidRPr="00722521">
              <w:rPr>
                <w:szCs w:val="17"/>
              </w:rPr>
              <w:t>Convergence in the enforcement of provisions adopted in the implementation of Union</w:t>
            </w:r>
            <w:r w:rsidRPr="00722521">
              <w:rPr>
                <w:spacing w:val="28"/>
                <w:szCs w:val="17"/>
              </w:rPr>
              <w:t xml:space="preserve"> </w:t>
            </w:r>
            <w:r w:rsidRPr="00722521">
              <w:rPr>
                <w:szCs w:val="17"/>
              </w:rPr>
              <w:t>law</w:t>
            </w:r>
          </w:p>
        </w:tc>
        <w:tc>
          <w:tcPr>
            <w:tcW w:w="530" w:type="pct"/>
            <w:tcBorders>
              <w:top w:val="single" w:sz="8" w:space="0" w:color="BABABA"/>
              <w:left w:val="single" w:sz="8" w:space="0" w:color="BABABA"/>
              <w:bottom w:val="single" w:sz="8" w:space="0" w:color="BABABA"/>
              <w:right w:val="single" w:sz="8" w:space="0" w:color="BABABA"/>
            </w:tcBorders>
          </w:tcPr>
          <w:p w14:paraId="6DE7BD82"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5C0B169D" w14:textId="77777777" w:rsidR="00BA160A" w:rsidRPr="00722521" w:rsidRDefault="00BA160A" w:rsidP="00A903E6">
            <w:pPr>
              <w:pStyle w:val="TableParagraph"/>
              <w:mirrorIndents/>
              <w:rPr>
                <w:b/>
                <w:szCs w:val="17"/>
              </w:rPr>
            </w:pPr>
          </w:p>
        </w:tc>
        <w:tc>
          <w:tcPr>
            <w:tcW w:w="713" w:type="pct"/>
            <w:tcBorders>
              <w:top w:val="single" w:sz="8" w:space="0" w:color="BABABA"/>
              <w:left w:val="single" w:sz="8" w:space="0" w:color="BABABA"/>
              <w:bottom w:val="single" w:sz="8" w:space="0" w:color="BABABA"/>
              <w:right w:val="single" w:sz="8" w:space="0" w:color="BABABA"/>
            </w:tcBorders>
          </w:tcPr>
          <w:p w14:paraId="6334402E"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4A12218E"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2CA29658" w14:textId="0FE5FBDC" w:rsidR="00BA160A" w:rsidRPr="00722521" w:rsidRDefault="00637792" w:rsidP="00A903E6">
            <w:pPr>
              <w:pStyle w:val="TableParagraph"/>
              <w:mirrorIndents/>
              <w:rPr>
                <w:b/>
                <w:szCs w:val="17"/>
              </w:rPr>
            </w:pPr>
            <w:r w:rsidRPr="00722521">
              <w:rPr>
                <w:b/>
                <w:szCs w:val="17"/>
              </w:rPr>
              <w:t>x</w:t>
            </w:r>
          </w:p>
        </w:tc>
        <w:tc>
          <w:tcPr>
            <w:tcW w:w="713" w:type="pct"/>
            <w:tcBorders>
              <w:top w:val="single" w:sz="8" w:space="0" w:color="BABABA"/>
              <w:left w:val="single" w:sz="8" w:space="0" w:color="BABABA"/>
              <w:bottom w:val="single" w:sz="8" w:space="0" w:color="BABABA"/>
              <w:right w:val="single" w:sz="8" w:space="0" w:color="BABABA"/>
            </w:tcBorders>
          </w:tcPr>
          <w:p w14:paraId="524117EC" w14:textId="77777777" w:rsidR="00BA160A" w:rsidRPr="00722521" w:rsidRDefault="00BA160A" w:rsidP="00A903E6">
            <w:pPr>
              <w:pStyle w:val="TableParagraph"/>
              <w:mirrorIndents/>
              <w:rPr>
                <w:b/>
                <w:szCs w:val="17"/>
              </w:rPr>
            </w:pPr>
          </w:p>
        </w:tc>
      </w:tr>
      <w:tr w:rsidR="00AA4E82" w:rsidRPr="00722521" w14:paraId="28668A6D" w14:textId="77777777" w:rsidTr="00AA4E82">
        <w:trPr>
          <w:gridAfter w:val="1"/>
          <w:wAfter w:w="6" w:type="pct"/>
          <w:trHeight w:val="1134"/>
        </w:trPr>
        <w:tc>
          <w:tcPr>
            <w:tcW w:w="897" w:type="pct"/>
            <w:tcBorders>
              <w:top w:val="single" w:sz="8" w:space="0" w:color="BABABA"/>
              <w:left w:val="single" w:sz="8" w:space="0" w:color="BABABA"/>
              <w:bottom w:val="single" w:sz="8" w:space="0" w:color="BABABA"/>
              <w:right w:val="single" w:sz="8" w:space="0" w:color="BABABA"/>
            </w:tcBorders>
            <w:hideMark/>
          </w:tcPr>
          <w:p w14:paraId="6F45EA50" w14:textId="77777777" w:rsidR="00BA160A" w:rsidRPr="00722521" w:rsidRDefault="00BA160A" w:rsidP="00A903E6">
            <w:pPr>
              <w:pStyle w:val="TableParagraph"/>
              <w:mirrorIndents/>
              <w:rPr>
                <w:szCs w:val="17"/>
              </w:rPr>
            </w:pPr>
            <w:r w:rsidRPr="00722521">
              <w:rPr>
                <w:szCs w:val="17"/>
              </w:rPr>
              <w:t xml:space="preserve">Further </w:t>
            </w:r>
            <w:proofErr w:type="spellStart"/>
            <w:r w:rsidRPr="00722521">
              <w:rPr>
                <w:szCs w:val="17"/>
              </w:rPr>
              <w:t>harmonisation</w:t>
            </w:r>
            <w:proofErr w:type="spellEnd"/>
            <w:r w:rsidRPr="00722521">
              <w:rPr>
                <w:szCs w:val="17"/>
              </w:rPr>
              <w:t xml:space="preserve"> of Union rules</w:t>
            </w:r>
          </w:p>
        </w:tc>
        <w:tc>
          <w:tcPr>
            <w:tcW w:w="530" w:type="pct"/>
            <w:tcBorders>
              <w:top w:val="single" w:sz="8" w:space="0" w:color="BABABA"/>
              <w:left w:val="single" w:sz="8" w:space="0" w:color="BABABA"/>
              <w:bottom w:val="single" w:sz="8" w:space="0" w:color="BABABA"/>
              <w:right w:val="single" w:sz="8" w:space="0" w:color="BABABA"/>
            </w:tcBorders>
          </w:tcPr>
          <w:p w14:paraId="70411027"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08B2670F" w14:textId="77777777" w:rsidR="00BA160A" w:rsidRPr="00722521" w:rsidRDefault="00BA160A" w:rsidP="00A903E6">
            <w:pPr>
              <w:pStyle w:val="TableParagraph"/>
              <w:mirrorIndents/>
              <w:rPr>
                <w:b/>
                <w:szCs w:val="17"/>
              </w:rPr>
            </w:pPr>
          </w:p>
        </w:tc>
        <w:tc>
          <w:tcPr>
            <w:tcW w:w="713" w:type="pct"/>
            <w:tcBorders>
              <w:top w:val="single" w:sz="8" w:space="0" w:color="BABABA"/>
              <w:left w:val="single" w:sz="8" w:space="0" w:color="BABABA"/>
              <w:bottom w:val="single" w:sz="8" w:space="0" w:color="BABABA"/>
              <w:right w:val="single" w:sz="8" w:space="0" w:color="BABABA"/>
            </w:tcBorders>
          </w:tcPr>
          <w:p w14:paraId="0C6C6D5E" w14:textId="0BCD665D" w:rsidR="00BA160A" w:rsidRPr="00722521" w:rsidRDefault="00637792" w:rsidP="00A903E6">
            <w:pPr>
              <w:pStyle w:val="TableParagraph"/>
              <w:mirrorIndents/>
              <w:rPr>
                <w:b/>
                <w:szCs w:val="17"/>
              </w:rPr>
            </w:pPr>
            <w:r w:rsidRPr="00722521">
              <w:rPr>
                <w:b/>
                <w:szCs w:val="17"/>
              </w:rPr>
              <w:t>x</w:t>
            </w:r>
          </w:p>
        </w:tc>
        <w:tc>
          <w:tcPr>
            <w:tcW w:w="714" w:type="pct"/>
            <w:tcBorders>
              <w:top w:val="single" w:sz="8" w:space="0" w:color="BABABA"/>
              <w:left w:val="single" w:sz="8" w:space="0" w:color="BABABA"/>
              <w:bottom w:val="single" w:sz="8" w:space="0" w:color="BABABA"/>
              <w:right w:val="single" w:sz="8" w:space="0" w:color="BABABA"/>
            </w:tcBorders>
          </w:tcPr>
          <w:p w14:paraId="140C795C"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31BC8F0D" w14:textId="77777777" w:rsidR="00BA160A" w:rsidRPr="00722521" w:rsidRDefault="00BA160A" w:rsidP="00A903E6">
            <w:pPr>
              <w:pStyle w:val="TableParagraph"/>
              <w:mirrorIndents/>
              <w:rPr>
                <w:b/>
                <w:szCs w:val="17"/>
              </w:rPr>
            </w:pPr>
          </w:p>
        </w:tc>
        <w:tc>
          <w:tcPr>
            <w:tcW w:w="713" w:type="pct"/>
            <w:tcBorders>
              <w:top w:val="single" w:sz="8" w:space="0" w:color="BABABA"/>
              <w:left w:val="single" w:sz="8" w:space="0" w:color="BABABA"/>
              <w:bottom w:val="single" w:sz="8" w:space="0" w:color="BABABA"/>
              <w:right w:val="single" w:sz="8" w:space="0" w:color="BABABA"/>
            </w:tcBorders>
          </w:tcPr>
          <w:p w14:paraId="65AFE810" w14:textId="77777777" w:rsidR="00BA160A" w:rsidRPr="00722521" w:rsidRDefault="00BA160A" w:rsidP="00A903E6">
            <w:pPr>
              <w:pStyle w:val="TableParagraph"/>
              <w:mirrorIndents/>
              <w:rPr>
                <w:b/>
                <w:szCs w:val="17"/>
              </w:rPr>
            </w:pPr>
          </w:p>
        </w:tc>
      </w:tr>
      <w:tr w:rsidR="00AA4E82" w:rsidRPr="00722521" w14:paraId="78422E02" w14:textId="77777777" w:rsidTr="00AA4E82">
        <w:trPr>
          <w:gridAfter w:val="1"/>
          <w:wAfter w:w="6" w:type="pct"/>
          <w:trHeight w:val="1134"/>
        </w:trPr>
        <w:tc>
          <w:tcPr>
            <w:tcW w:w="897" w:type="pct"/>
            <w:tcBorders>
              <w:top w:val="single" w:sz="8" w:space="0" w:color="BABABA"/>
              <w:left w:val="single" w:sz="8" w:space="0" w:color="BABABA"/>
              <w:bottom w:val="single" w:sz="8" w:space="0" w:color="BABABA"/>
              <w:right w:val="single" w:sz="8" w:space="0" w:color="BABABA"/>
            </w:tcBorders>
            <w:hideMark/>
          </w:tcPr>
          <w:p w14:paraId="00D93E8F" w14:textId="77777777" w:rsidR="00BA160A" w:rsidRPr="00722521" w:rsidRDefault="00BA160A" w:rsidP="00A903E6">
            <w:pPr>
              <w:pStyle w:val="TableParagraph"/>
              <w:mirrorIndents/>
              <w:rPr>
                <w:szCs w:val="17"/>
              </w:rPr>
            </w:pPr>
            <w:r w:rsidRPr="00722521">
              <w:rPr>
                <w:w w:val="105"/>
                <w:szCs w:val="17"/>
              </w:rPr>
              <w:lastRenderedPageBreak/>
              <w:t>Other</w:t>
            </w:r>
          </w:p>
        </w:tc>
        <w:tc>
          <w:tcPr>
            <w:tcW w:w="530" w:type="pct"/>
            <w:tcBorders>
              <w:top w:val="single" w:sz="8" w:space="0" w:color="BABABA"/>
              <w:left w:val="single" w:sz="8" w:space="0" w:color="BABABA"/>
              <w:bottom w:val="single" w:sz="8" w:space="0" w:color="BABABA"/>
              <w:right w:val="single" w:sz="8" w:space="0" w:color="BABABA"/>
            </w:tcBorders>
          </w:tcPr>
          <w:p w14:paraId="2941A7F3"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56D4F15D" w14:textId="77777777" w:rsidR="00BA160A" w:rsidRPr="00722521" w:rsidRDefault="00BA160A" w:rsidP="00A903E6">
            <w:pPr>
              <w:pStyle w:val="TableParagraph"/>
              <w:mirrorIndents/>
              <w:rPr>
                <w:b/>
                <w:szCs w:val="17"/>
              </w:rPr>
            </w:pPr>
          </w:p>
        </w:tc>
        <w:tc>
          <w:tcPr>
            <w:tcW w:w="713" w:type="pct"/>
            <w:tcBorders>
              <w:top w:val="single" w:sz="8" w:space="0" w:color="BABABA"/>
              <w:left w:val="single" w:sz="8" w:space="0" w:color="BABABA"/>
              <w:bottom w:val="single" w:sz="8" w:space="0" w:color="BABABA"/>
              <w:right w:val="single" w:sz="8" w:space="0" w:color="BABABA"/>
            </w:tcBorders>
          </w:tcPr>
          <w:p w14:paraId="423C6B31"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22E91643"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6307CB8C" w14:textId="77777777" w:rsidR="00BA160A" w:rsidRPr="00722521" w:rsidRDefault="00BA160A" w:rsidP="00A903E6">
            <w:pPr>
              <w:pStyle w:val="TableParagraph"/>
              <w:mirrorIndents/>
              <w:rPr>
                <w:b/>
                <w:szCs w:val="17"/>
              </w:rPr>
            </w:pPr>
          </w:p>
        </w:tc>
        <w:tc>
          <w:tcPr>
            <w:tcW w:w="713" w:type="pct"/>
            <w:tcBorders>
              <w:top w:val="single" w:sz="8" w:space="0" w:color="BABABA"/>
              <w:left w:val="single" w:sz="8" w:space="0" w:color="BABABA"/>
              <w:bottom w:val="single" w:sz="8" w:space="0" w:color="BABABA"/>
              <w:right w:val="single" w:sz="8" w:space="0" w:color="BABABA"/>
            </w:tcBorders>
          </w:tcPr>
          <w:p w14:paraId="3D18B771" w14:textId="681CDB62" w:rsidR="00BA160A" w:rsidRPr="00722521" w:rsidRDefault="00637792" w:rsidP="00A903E6">
            <w:pPr>
              <w:pStyle w:val="TableParagraph"/>
              <w:mirrorIndents/>
              <w:rPr>
                <w:b/>
                <w:szCs w:val="17"/>
              </w:rPr>
            </w:pPr>
            <w:r w:rsidRPr="00722521">
              <w:rPr>
                <w:b/>
                <w:szCs w:val="17"/>
              </w:rPr>
              <w:t>x</w:t>
            </w:r>
          </w:p>
        </w:tc>
      </w:tr>
    </w:tbl>
    <w:p w14:paraId="2F3C1887" w14:textId="77777777" w:rsidR="00A903E6" w:rsidRPr="00722521" w:rsidRDefault="00A903E6" w:rsidP="00A903E6">
      <w:pPr>
        <w:pStyle w:val="Textkrper"/>
        <w:ind w:left="0"/>
        <w:mirrorIndents/>
        <w:rPr>
          <w:rFonts w:ascii="Verdana" w:hAnsi="Verdana"/>
          <w:sz w:val="17"/>
          <w:szCs w:val="17"/>
        </w:rPr>
      </w:pPr>
    </w:p>
    <w:p w14:paraId="1355A3E1" w14:textId="2CF10303" w:rsidR="00BA160A" w:rsidRPr="00722521" w:rsidRDefault="00BA160A" w:rsidP="00637792">
      <w:pPr>
        <w:pStyle w:val="Textkrper"/>
        <w:ind w:left="0"/>
        <w:mirrorIndents/>
        <w:rPr>
          <w:rFonts w:ascii="Verdana" w:hAnsi="Verdana"/>
          <w:sz w:val="17"/>
          <w:szCs w:val="17"/>
        </w:rPr>
      </w:pPr>
      <w:r w:rsidRPr="00722521">
        <w:rPr>
          <w:rFonts w:ascii="Verdana" w:hAnsi="Verdana"/>
          <w:sz w:val="17"/>
          <w:szCs w:val="17"/>
          <w:highlight w:val="lightGray"/>
        </w:rPr>
        <w:t>Please specify what you mean by other:</w:t>
      </w:r>
    </w:p>
    <w:p w14:paraId="36CC1D49" w14:textId="58227219" w:rsidR="00A903E6" w:rsidRPr="00722521" w:rsidRDefault="00A903E6" w:rsidP="00A903E6">
      <w:pPr>
        <w:mirrorIndents/>
        <w:rPr>
          <w:sz w:val="17"/>
          <w:szCs w:val="17"/>
        </w:rPr>
      </w:pPr>
    </w:p>
    <w:p w14:paraId="3C801308" w14:textId="2900A448" w:rsidR="00A903E6" w:rsidRPr="00722521" w:rsidRDefault="0002519C" w:rsidP="00A903E6">
      <w:pPr>
        <w:mirrorIndents/>
        <w:rPr>
          <w:sz w:val="17"/>
          <w:szCs w:val="17"/>
        </w:rPr>
      </w:pPr>
      <w:r w:rsidRPr="00722521">
        <w:rPr>
          <w:sz w:val="17"/>
          <w:szCs w:val="17"/>
        </w:rPr>
        <w:t>N/A</w:t>
      </w:r>
    </w:p>
    <w:p w14:paraId="0732A41B" w14:textId="77777777" w:rsidR="00A903E6" w:rsidRPr="00722521" w:rsidRDefault="00A903E6" w:rsidP="00A903E6">
      <w:pPr>
        <w:mirrorIndents/>
        <w:rPr>
          <w:sz w:val="17"/>
          <w:szCs w:val="17"/>
        </w:rPr>
      </w:pPr>
    </w:p>
    <w:p w14:paraId="5413292E" w14:textId="3FE796F1" w:rsidR="00BA160A" w:rsidRPr="00722521" w:rsidRDefault="00BA160A" w:rsidP="00C97AE7">
      <w:pPr>
        <w:pStyle w:val="Textkrper"/>
        <w:ind w:left="0"/>
        <w:mirrorIndents/>
        <w:rPr>
          <w:rFonts w:ascii="Verdana" w:hAnsi="Verdana"/>
          <w:sz w:val="17"/>
          <w:szCs w:val="17"/>
        </w:rPr>
      </w:pPr>
      <w:r w:rsidRPr="00722521">
        <w:rPr>
          <w:rFonts w:ascii="Verdana" w:hAnsi="Verdana"/>
          <w:sz w:val="17"/>
          <w:szCs w:val="17"/>
          <w:highlight w:val="lightGray"/>
        </w:rPr>
        <w:t>Please explain your reasoning when answering question 1.3.1 for EIOPA and give examples:</w:t>
      </w:r>
    </w:p>
    <w:p w14:paraId="7B53D32C" w14:textId="77777777" w:rsidR="00BA160A" w:rsidRPr="00722521" w:rsidRDefault="00BA160A" w:rsidP="00A903E6">
      <w:pPr>
        <w:mirrorIndents/>
        <w:rPr>
          <w:sz w:val="17"/>
          <w:szCs w:val="17"/>
        </w:rPr>
      </w:pPr>
    </w:p>
    <w:p w14:paraId="3F76075C" w14:textId="7E1100A0" w:rsidR="00C97AE7" w:rsidRPr="00722521" w:rsidRDefault="00C97AE7" w:rsidP="00C97AE7">
      <w:pPr>
        <w:mirrorIndents/>
        <w:rPr>
          <w:sz w:val="17"/>
          <w:szCs w:val="17"/>
        </w:rPr>
      </w:pPr>
      <w:r w:rsidRPr="00722521">
        <w:rPr>
          <w:sz w:val="17"/>
          <w:szCs w:val="17"/>
        </w:rPr>
        <w:t xml:space="preserve">Peer </w:t>
      </w:r>
      <w:r w:rsidR="00C71299" w:rsidRPr="00722521">
        <w:rPr>
          <w:sz w:val="17"/>
          <w:szCs w:val="17"/>
        </w:rPr>
        <w:t>r</w:t>
      </w:r>
      <w:r w:rsidRPr="00722521">
        <w:rPr>
          <w:sz w:val="17"/>
          <w:szCs w:val="17"/>
        </w:rPr>
        <w:t xml:space="preserve">eviews are an essential element of the work of EIOPA. </w:t>
      </w:r>
      <w:r w:rsidR="00722521">
        <w:rPr>
          <w:sz w:val="17"/>
          <w:szCs w:val="17"/>
        </w:rPr>
        <w:t>VVO</w:t>
      </w:r>
      <w:r w:rsidRPr="00722521">
        <w:rPr>
          <w:sz w:val="17"/>
          <w:szCs w:val="17"/>
        </w:rPr>
        <w:t xml:space="preserve"> is not in the position to differentiate between their impact before and after the ESA</w:t>
      </w:r>
      <w:r w:rsidR="0002519C" w:rsidRPr="00722521">
        <w:rPr>
          <w:sz w:val="17"/>
          <w:szCs w:val="17"/>
        </w:rPr>
        <w:t>s r</w:t>
      </w:r>
      <w:r w:rsidRPr="00722521">
        <w:rPr>
          <w:sz w:val="17"/>
          <w:szCs w:val="17"/>
        </w:rPr>
        <w:t>eview. There is a subjective feeling that the peer reviews conducted after the ESA</w:t>
      </w:r>
      <w:r w:rsidR="0002519C" w:rsidRPr="00722521">
        <w:rPr>
          <w:sz w:val="17"/>
          <w:szCs w:val="17"/>
        </w:rPr>
        <w:t>s r</w:t>
      </w:r>
      <w:r w:rsidRPr="00722521">
        <w:rPr>
          <w:sz w:val="17"/>
          <w:szCs w:val="17"/>
        </w:rPr>
        <w:t xml:space="preserve">eview are more ambitious and provide more direct recommendations and best practices to </w:t>
      </w:r>
      <w:r w:rsidR="0002519C" w:rsidRPr="00722521">
        <w:rPr>
          <w:sz w:val="17"/>
          <w:szCs w:val="17"/>
        </w:rPr>
        <w:t>NSAs</w:t>
      </w:r>
      <w:r w:rsidRPr="00722521">
        <w:rPr>
          <w:sz w:val="17"/>
          <w:szCs w:val="17"/>
        </w:rPr>
        <w:t>.</w:t>
      </w:r>
    </w:p>
    <w:p w14:paraId="2E05318F" w14:textId="77777777" w:rsidR="00C97AE7" w:rsidRPr="00722521" w:rsidRDefault="00C97AE7" w:rsidP="00C97AE7">
      <w:pPr>
        <w:mirrorIndents/>
        <w:rPr>
          <w:sz w:val="17"/>
          <w:szCs w:val="17"/>
        </w:rPr>
      </w:pPr>
    </w:p>
    <w:p w14:paraId="184B0C53" w14:textId="4CD7C563" w:rsidR="00C97AE7" w:rsidRPr="00722521" w:rsidRDefault="00C97AE7" w:rsidP="00C97AE7">
      <w:pPr>
        <w:mirrorIndents/>
        <w:rPr>
          <w:sz w:val="17"/>
          <w:szCs w:val="17"/>
          <w:highlight w:val="yellow"/>
        </w:rPr>
      </w:pPr>
      <w:r w:rsidRPr="00722521">
        <w:rPr>
          <w:sz w:val="17"/>
          <w:szCs w:val="17"/>
        </w:rPr>
        <w:t xml:space="preserve">In general, </w:t>
      </w:r>
      <w:r w:rsidR="0002519C" w:rsidRPr="00722521">
        <w:rPr>
          <w:sz w:val="17"/>
          <w:szCs w:val="17"/>
        </w:rPr>
        <w:t>t</w:t>
      </w:r>
      <w:r w:rsidRPr="00722521">
        <w:rPr>
          <w:sz w:val="17"/>
          <w:szCs w:val="17"/>
        </w:rPr>
        <w:t xml:space="preserve">he new provisions and the increased degree of freedom for EIOPA had a positive impact on the quality of the peer reviews and the comparability of the contained information. Particularly, the adoption on a non-objection basis, the greater influence on and lead of the </w:t>
      </w:r>
      <w:r w:rsidR="007458D1" w:rsidRPr="00722521">
        <w:rPr>
          <w:sz w:val="17"/>
          <w:szCs w:val="17"/>
        </w:rPr>
        <w:t>peer review committees (</w:t>
      </w:r>
      <w:r w:rsidRPr="00722521">
        <w:rPr>
          <w:sz w:val="17"/>
          <w:szCs w:val="17"/>
        </w:rPr>
        <w:t>PRCs</w:t>
      </w:r>
      <w:r w:rsidR="007458D1" w:rsidRPr="00722521">
        <w:rPr>
          <w:sz w:val="17"/>
          <w:szCs w:val="17"/>
        </w:rPr>
        <w:t>)</w:t>
      </w:r>
      <w:r w:rsidRPr="00722521">
        <w:rPr>
          <w:sz w:val="17"/>
          <w:szCs w:val="17"/>
        </w:rPr>
        <w:t xml:space="preserve"> by EIOPA seem to have had an impact. In addition, the ability for EIOPA and N</w:t>
      </w:r>
      <w:r w:rsidR="00C71299" w:rsidRPr="00722521">
        <w:rPr>
          <w:sz w:val="17"/>
          <w:szCs w:val="17"/>
        </w:rPr>
        <w:t>S</w:t>
      </w:r>
      <w:r w:rsidRPr="00722521">
        <w:rPr>
          <w:sz w:val="17"/>
          <w:szCs w:val="17"/>
        </w:rPr>
        <w:t xml:space="preserve">As to consider dissenting views in the reports </w:t>
      </w:r>
      <w:r w:rsidR="00C71299" w:rsidRPr="00722521">
        <w:rPr>
          <w:sz w:val="17"/>
          <w:szCs w:val="17"/>
        </w:rPr>
        <w:t xml:space="preserve">is </w:t>
      </w:r>
      <w:r w:rsidRPr="00722521">
        <w:rPr>
          <w:sz w:val="17"/>
          <w:szCs w:val="17"/>
        </w:rPr>
        <w:t xml:space="preserve">important. The necessity to ensure consent might have limited the provision of critical views and diverging opinions. </w:t>
      </w:r>
      <w:r w:rsidR="00C71299" w:rsidRPr="00722521">
        <w:rPr>
          <w:sz w:val="17"/>
          <w:szCs w:val="17"/>
        </w:rPr>
        <w:t>T</w:t>
      </w:r>
      <w:r w:rsidRPr="00722521">
        <w:rPr>
          <w:sz w:val="17"/>
          <w:szCs w:val="17"/>
        </w:rPr>
        <w:t xml:space="preserve">he provision allowing EIOPA </w:t>
      </w:r>
      <w:r w:rsidR="00C71299" w:rsidRPr="00722521">
        <w:rPr>
          <w:sz w:val="17"/>
          <w:szCs w:val="17"/>
        </w:rPr>
        <w:t>to</w:t>
      </w:r>
      <w:r w:rsidRPr="00722521">
        <w:rPr>
          <w:sz w:val="17"/>
          <w:szCs w:val="17"/>
        </w:rPr>
        <w:t xml:space="preserve"> conduct ad-hoc and follow-up peer reviews is</w:t>
      </w:r>
      <w:r w:rsidR="00C71299" w:rsidRPr="00722521">
        <w:rPr>
          <w:sz w:val="17"/>
          <w:szCs w:val="17"/>
        </w:rPr>
        <w:t xml:space="preserve"> also</w:t>
      </w:r>
      <w:r w:rsidRPr="00722521">
        <w:rPr>
          <w:sz w:val="17"/>
          <w:szCs w:val="17"/>
        </w:rPr>
        <w:t xml:space="preserve"> important. </w:t>
      </w:r>
    </w:p>
    <w:p w14:paraId="122489AC" w14:textId="77777777" w:rsidR="00C97AE7" w:rsidRPr="00722521" w:rsidRDefault="00C97AE7" w:rsidP="00C97AE7">
      <w:pPr>
        <w:mirrorIndents/>
        <w:rPr>
          <w:sz w:val="17"/>
          <w:szCs w:val="17"/>
          <w:highlight w:val="yellow"/>
        </w:rPr>
      </w:pPr>
    </w:p>
    <w:p w14:paraId="1EC243D5" w14:textId="3F6E36F7" w:rsidR="00C97AE7" w:rsidRPr="00722521" w:rsidRDefault="00C97AE7" w:rsidP="00C97AE7">
      <w:pPr>
        <w:mirrorIndents/>
        <w:rPr>
          <w:sz w:val="17"/>
          <w:szCs w:val="17"/>
        </w:rPr>
      </w:pPr>
      <w:r w:rsidRPr="00722521">
        <w:rPr>
          <w:sz w:val="17"/>
          <w:szCs w:val="17"/>
        </w:rPr>
        <w:t>In order to ensure that peer revie</w:t>
      </w:r>
      <w:r w:rsidR="00C71299" w:rsidRPr="00722521">
        <w:rPr>
          <w:sz w:val="17"/>
          <w:szCs w:val="17"/>
        </w:rPr>
        <w:t>w</w:t>
      </w:r>
      <w:r w:rsidRPr="00722521">
        <w:rPr>
          <w:sz w:val="17"/>
          <w:szCs w:val="17"/>
        </w:rPr>
        <w:t>s improve the supervisory consistency and convergence, the newly implemented mandate for EIOPA to include recommendations and the mandatory follow-up after two years can play a significant role.</w:t>
      </w:r>
    </w:p>
    <w:p w14:paraId="023F7CFF" w14:textId="77777777" w:rsidR="00A444DA" w:rsidRPr="00722521" w:rsidRDefault="00A444DA" w:rsidP="00C97AE7">
      <w:pPr>
        <w:mirrorIndents/>
        <w:rPr>
          <w:sz w:val="17"/>
          <w:szCs w:val="17"/>
        </w:rPr>
      </w:pPr>
    </w:p>
    <w:p w14:paraId="767C5A6E" w14:textId="77777777" w:rsidR="00A444DA" w:rsidRPr="00722521" w:rsidRDefault="00A444DA" w:rsidP="00A444DA">
      <w:pPr>
        <w:mirrorIndents/>
        <w:rPr>
          <w:sz w:val="17"/>
          <w:szCs w:val="17"/>
        </w:rPr>
      </w:pPr>
      <w:r w:rsidRPr="00722521">
        <w:rPr>
          <w:sz w:val="17"/>
          <w:szCs w:val="17"/>
        </w:rPr>
        <w:t>From an industry perspective, the end impact is hard to appreciate. However, based on the public reports, the industry stresses a peer reviews should not systematically encourage the stricter application of requirements by highlighting national “best practice” that are actually gold plating.</w:t>
      </w:r>
    </w:p>
    <w:p w14:paraId="6F584E15" w14:textId="77777777" w:rsidR="00C71299" w:rsidRPr="00722521" w:rsidRDefault="00C71299" w:rsidP="00C97AE7">
      <w:pPr>
        <w:mirrorIndents/>
        <w:rPr>
          <w:sz w:val="17"/>
          <w:szCs w:val="17"/>
          <w:highlight w:val="yellow"/>
        </w:rPr>
      </w:pPr>
    </w:p>
    <w:p w14:paraId="59D93B37" w14:textId="7C454289" w:rsidR="00BA160A" w:rsidRPr="00722521" w:rsidRDefault="00C71299" w:rsidP="00A903E6">
      <w:pPr>
        <w:mirrorIndents/>
        <w:rPr>
          <w:sz w:val="17"/>
          <w:szCs w:val="17"/>
        </w:rPr>
      </w:pPr>
      <w:r w:rsidRPr="00722521">
        <w:rPr>
          <w:sz w:val="17"/>
          <w:szCs w:val="17"/>
        </w:rPr>
        <w:t xml:space="preserve">In conclusion, </w:t>
      </w:r>
      <w:r w:rsidR="00722521">
        <w:rPr>
          <w:sz w:val="17"/>
          <w:szCs w:val="17"/>
        </w:rPr>
        <w:t>VVO</w:t>
      </w:r>
      <w:r w:rsidRPr="00722521">
        <w:rPr>
          <w:sz w:val="17"/>
          <w:szCs w:val="17"/>
        </w:rPr>
        <w:t xml:space="preserve"> believes that the new tools improve the framework for supervisory peer reviews</w:t>
      </w:r>
      <w:r w:rsidR="00A444DA" w:rsidRPr="00722521">
        <w:rPr>
          <w:sz w:val="17"/>
          <w:szCs w:val="17"/>
        </w:rPr>
        <w:t>, keeping in mind that the need to avoid gold plating becoming the rule should remain one of the main objectives</w:t>
      </w:r>
      <w:r w:rsidRPr="00722521">
        <w:rPr>
          <w:sz w:val="17"/>
          <w:szCs w:val="17"/>
        </w:rPr>
        <w:t>.</w:t>
      </w:r>
    </w:p>
    <w:p w14:paraId="7DC18D1C" w14:textId="6E2B60C5" w:rsidR="00BA160A" w:rsidRPr="00722521" w:rsidRDefault="00BA160A" w:rsidP="00A903E6">
      <w:pPr>
        <w:mirrorIndents/>
        <w:rPr>
          <w:sz w:val="17"/>
          <w:szCs w:val="17"/>
        </w:rPr>
      </w:pPr>
    </w:p>
    <w:p w14:paraId="054F6D1A" w14:textId="77777777" w:rsidR="00BA160A" w:rsidRPr="00722521" w:rsidRDefault="00BA160A" w:rsidP="00A903E6">
      <w:pPr>
        <w:mirrorIndents/>
        <w:rPr>
          <w:sz w:val="17"/>
          <w:szCs w:val="17"/>
        </w:rPr>
      </w:pPr>
    </w:p>
    <w:p w14:paraId="25255CEC" w14:textId="77777777" w:rsidR="00BA160A" w:rsidRPr="00722521" w:rsidRDefault="00BA160A" w:rsidP="00770934">
      <w:pPr>
        <w:pStyle w:val="Textkrper"/>
        <w:ind w:left="0"/>
        <w:mirrorIndents/>
        <w:rPr>
          <w:rFonts w:ascii="Verdana" w:hAnsi="Verdana"/>
          <w:sz w:val="17"/>
          <w:szCs w:val="17"/>
        </w:rPr>
      </w:pPr>
      <w:r w:rsidRPr="00722521">
        <w:rPr>
          <w:rFonts w:ascii="Verdana" w:hAnsi="Verdana"/>
          <w:sz w:val="17"/>
          <w:szCs w:val="17"/>
          <w:highlight w:val="lightGray"/>
        </w:rPr>
        <w:t>Question 1.3.2 How do you assess the impact of each of the changes below introduced by 2019 ESAs review in the peer review process?</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3131"/>
        <w:gridCol w:w="1056"/>
        <w:gridCol w:w="17"/>
        <w:gridCol w:w="1079"/>
        <w:gridCol w:w="1012"/>
        <w:gridCol w:w="1056"/>
        <w:gridCol w:w="1056"/>
        <w:gridCol w:w="1104"/>
      </w:tblGrid>
      <w:tr w:rsidR="00BA160A" w:rsidRPr="00722521" w14:paraId="39050120" w14:textId="77777777" w:rsidTr="00C97577">
        <w:trPr>
          <w:trHeight w:val="1417"/>
        </w:trPr>
        <w:tc>
          <w:tcPr>
            <w:tcW w:w="1720" w:type="pct"/>
            <w:tcBorders>
              <w:top w:val="single" w:sz="8" w:space="0" w:color="BABABA"/>
              <w:left w:val="single" w:sz="8" w:space="0" w:color="BABABA"/>
              <w:bottom w:val="single" w:sz="8" w:space="0" w:color="BABABA"/>
              <w:right w:val="single" w:sz="8" w:space="0" w:color="BABABA"/>
            </w:tcBorders>
          </w:tcPr>
          <w:p w14:paraId="256A91F8" w14:textId="77777777" w:rsidR="00BA160A" w:rsidRPr="00722521" w:rsidRDefault="00BA160A" w:rsidP="00A903E6">
            <w:pPr>
              <w:mirrorIndents/>
              <w:rPr>
                <w:sz w:val="17"/>
                <w:szCs w:val="17"/>
              </w:rPr>
            </w:pPr>
          </w:p>
        </w:tc>
        <w:tc>
          <w:tcPr>
            <w:tcW w:w="535" w:type="pct"/>
            <w:tcBorders>
              <w:top w:val="single" w:sz="8" w:space="0" w:color="BABABA"/>
              <w:left w:val="single" w:sz="8" w:space="0" w:color="BABABA"/>
              <w:bottom w:val="single" w:sz="8" w:space="0" w:color="BABABA"/>
              <w:right w:val="single" w:sz="8" w:space="0" w:color="BABABA"/>
            </w:tcBorders>
            <w:hideMark/>
          </w:tcPr>
          <w:p w14:paraId="046E8E78" w14:textId="77777777" w:rsidR="00BA160A" w:rsidRPr="00722521" w:rsidRDefault="00BA160A" w:rsidP="00A903E6">
            <w:pPr>
              <w:pStyle w:val="TableParagraph"/>
              <w:mirrorIndents/>
              <w:rPr>
                <w:szCs w:val="17"/>
              </w:rPr>
            </w:pPr>
            <w:r w:rsidRPr="00722521">
              <w:rPr>
                <w:w w:val="99"/>
                <w:szCs w:val="17"/>
              </w:rPr>
              <w:t>1</w:t>
            </w:r>
          </w:p>
          <w:p w14:paraId="205C4DFD" w14:textId="77777777" w:rsidR="00BA160A" w:rsidRPr="00722521" w:rsidRDefault="00BA160A" w:rsidP="00A903E6">
            <w:pPr>
              <w:pStyle w:val="TableParagraph"/>
              <w:ind w:hanging="55"/>
              <w:mirrorIndents/>
              <w:rPr>
                <w:szCs w:val="17"/>
              </w:rPr>
            </w:pPr>
            <w:r w:rsidRPr="00722521">
              <w:rPr>
                <w:szCs w:val="17"/>
              </w:rPr>
              <w:t>(least effective)</w:t>
            </w:r>
          </w:p>
        </w:tc>
        <w:tc>
          <w:tcPr>
            <w:tcW w:w="604" w:type="pct"/>
            <w:gridSpan w:val="2"/>
            <w:tcBorders>
              <w:top w:val="single" w:sz="8" w:space="0" w:color="BABABA"/>
              <w:left w:val="single" w:sz="8" w:space="0" w:color="BABABA"/>
              <w:bottom w:val="single" w:sz="8" w:space="0" w:color="BABABA"/>
              <w:right w:val="single" w:sz="8" w:space="0" w:color="BABABA"/>
            </w:tcBorders>
            <w:hideMark/>
          </w:tcPr>
          <w:p w14:paraId="1028A5D3" w14:textId="77777777" w:rsidR="00BA160A" w:rsidRPr="00722521" w:rsidRDefault="00BA160A" w:rsidP="00A903E6">
            <w:pPr>
              <w:pStyle w:val="TableParagraph"/>
              <w:mirrorIndents/>
              <w:rPr>
                <w:szCs w:val="17"/>
              </w:rPr>
            </w:pPr>
            <w:r w:rsidRPr="00722521">
              <w:rPr>
                <w:w w:val="99"/>
                <w:szCs w:val="17"/>
              </w:rPr>
              <w:t>2</w:t>
            </w:r>
          </w:p>
          <w:p w14:paraId="026E4B00" w14:textId="77777777" w:rsidR="00BA160A" w:rsidRPr="00722521" w:rsidRDefault="00BA160A" w:rsidP="00A903E6">
            <w:pPr>
              <w:pStyle w:val="TableParagraph"/>
              <w:mirrorIndents/>
              <w:rPr>
                <w:szCs w:val="17"/>
              </w:rPr>
            </w:pPr>
            <w:r w:rsidRPr="00722521">
              <w:rPr>
                <w:w w:val="105"/>
                <w:szCs w:val="17"/>
              </w:rPr>
              <w:t>(rather not</w:t>
            </w:r>
            <w:r w:rsidRPr="00722521">
              <w:rPr>
                <w:w w:val="102"/>
                <w:szCs w:val="17"/>
              </w:rPr>
              <w:t xml:space="preserve"> </w:t>
            </w:r>
            <w:r w:rsidRPr="00722521">
              <w:rPr>
                <w:w w:val="105"/>
                <w:szCs w:val="17"/>
              </w:rPr>
              <w:t>effective)</w:t>
            </w:r>
          </w:p>
        </w:tc>
        <w:tc>
          <w:tcPr>
            <w:tcW w:w="512" w:type="pct"/>
            <w:tcBorders>
              <w:top w:val="single" w:sz="8" w:space="0" w:color="BABABA"/>
              <w:left w:val="single" w:sz="8" w:space="0" w:color="BABABA"/>
              <w:bottom w:val="single" w:sz="8" w:space="0" w:color="BABABA"/>
              <w:right w:val="single" w:sz="8" w:space="0" w:color="BABABA"/>
            </w:tcBorders>
            <w:hideMark/>
          </w:tcPr>
          <w:p w14:paraId="5C3FED14" w14:textId="77777777" w:rsidR="00BA160A" w:rsidRPr="00722521" w:rsidRDefault="00BA160A" w:rsidP="00A903E6">
            <w:pPr>
              <w:pStyle w:val="TableParagraph"/>
              <w:mirrorIndents/>
              <w:rPr>
                <w:szCs w:val="17"/>
              </w:rPr>
            </w:pPr>
            <w:r w:rsidRPr="00722521">
              <w:rPr>
                <w:w w:val="99"/>
                <w:szCs w:val="17"/>
              </w:rPr>
              <w:t>3</w:t>
            </w:r>
          </w:p>
          <w:p w14:paraId="1B770D4F" w14:textId="77777777" w:rsidR="00BA160A" w:rsidRPr="00722521" w:rsidRDefault="00BA160A" w:rsidP="00A903E6">
            <w:pPr>
              <w:pStyle w:val="TableParagraph"/>
              <w:mirrorIndents/>
              <w:rPr>
                <w:szCs w:val="17"/>
              </w:rPr>
            </w:pPr>
            <w:r w:rsidRPr="00722521">
              <w:rPr>
                <w:szCs w:val="17"/>
              </w:rPr>
              <w:t>(neutral)</w:t>
            </w:r>
          </w:p>
        </w:tc>
        <w:tc>
          <w:tcPr>
            <w:tcW w:w="535" w:type="pct"/>
            <w:tcBorders>
              <w:top w:val="single" w:sz="8" w:space="0" w:color="BABABA"/>
              <w:left w:val="single" w:sz="8" w:space="0" w:color="BABABA"/>
              <w:bottom w:val="single" w:sz="8" w:space="0" w:color="BABABA"/>
              <w:right w:val="single" w:sz="8" w:space="0" w:color="BABABA"/>
            </w:tcBorders>
            <w:hideMark/>
          </w:tcPr>
          <w:p w14:paraId="41464F8A" w14:textId="77777777" w:rsidR="00BA160A" w:rsidRPr="00722521" w:rsidRDefault="00BA160A" w:rsidP="00A903E6">
            <w:pPr>
              <w:pStyle w:val="TableParagraph"/>
              <w:mirrorIndents/>
              <w:rPr>
                <w:szCs w:val="17"/>
              </w:rPr>
            </w:pPr>
            <w:r w:rsidRPr="00722521">
              <w:rPr>
                <w:w w:val="99"/>
                <w:szCs w:val="17"/>
              </w:rPr>
              <w:t>4</w:t>
            </w:r>
          </w:p>
          <w:p w14:paraId="416631AE" w14:textId="77777777" w:rsidR="00BA160A" w:rsidRPr="00722521" w:rsidRDefault="00BA160A" w:rsidP="00A903E6">
            <w:pPr>
              <w:pStyle w:val="TableParagraph"/>
              <w:ind w:hanging="55"/>
              <w:mirrorIndents/>
              <w:rPr>
                <w:szCs w:val="17"/>
              </w:rPr>
            </w:pPr>
            <w:r w:rsidRPr="00722521">
              <w:rPr>
                <w:w w:val="105"/>
                <w:szCs w:val="17"/>
              </w:rPr>
              <w:t xml:space="preserve">(rather </w:t>
            </w:r>
            <w:r w:rsidRPr="00722521">
              <w:rPr>
                <w:szCs w:val="17"/>
              </w:rPr>
              <w:t>effective)</w:t>
            </w:r>
          </w:p>
        </w:tc>
        <w:tc>
          <w:tcPr>
            <w:tcW w:w="535" w:type="pct"/>
            <w:tcBorders>
              <w:top w:val="single" w:sz="8" w:space="0" w:color="BABABA"/>
              <w:left w:val="single" w:sz="8" w:space="0" w:color="BABABA"/>
              <w:bottom w:val="single" w:sz="8" w:space="0" w:color="BABABA"/>
              <w:right w:val="single" w:sz="8" w:space="0" w:color="BABABA"/>
            </w:tcBorders>
            <w:hideMark/>
          </w:tcPr>
          <w:p w14:paraId="088CC42B" w14:textId="77777777" w:rsidR="00BA160A" w:rsidRPr="00722521" w:rsidRDefault="00BA160A" w:rsidP="00A903E6">
            <w:pPr>
              <w:pStyle w:val="TableParagraph"/>
              <w:mirrorIndents/>
              <w:rPr>
                <w:szCs w:val="17"/>
              </w:rPr>
            </w:pPr>
            <w:r w:rsidRPr="00722521">
              <w:rPr>
                <w:w w:val="99"/>
                <w:szCs w:val="17"/>
              </w:rPr>
              <w:t>5</w:t>
            </w:r>
          </w:p>
          <w:p w14:paraId="1B4E64F0" w14:textId="77777777" w:rsidR="00BA160A" w:rsidRPr="00722521" w:rsidRDefault="00BA160A" w:rsidP="00A903E6">
            <w:pPr>
              <w:pStyle w:val="TableParagraph"/>
              <w:ind w:hanging="55"/>
              <w:mirrorIndents/>
              <w:rPr>
                <w:szCs w:val="17"/>
              </w:rPr>
            </w:pPr>
            <w:r w:rsidRPr="00722521">
              <w:rPr>
                <w:w w:val="105"/>
                <w:szCs w:val="17"/>
              </w:rPr>
              <w:t xml:space="preserve">(most </w:t>
            </w:r>
            <w:r w:rsidRPr="00722521">
              <w:rPr>
                <w:szCs w:val="17"/>
              </w:rPr>
              <w:t>effective)</w:t>
            </w:r>
          </w:p>
        </w:tc>
        <w:tc>
          <w:tcPr>
            <w:tcW w:w="559" w:type="pct"/>
            <w:tcBorders>
              <w:top w:val="single" w:sz="8" w:space="0" w:color="BABABA"/>
              <w:left w:val="single" w:sz="8" w:space="0" w:color="BABABA"/>
              <w:bottom w:val="single" w:sz="8" w:space="0" w:color="BABABA"/>
              <w:right w:val="single" w:sz="8" w:space="0" w:color="BABABA"/>
            </w:tcBorders>
            <w:hideMark/>
          </w:tcPr>
          <w:p w14:paraId="29831152"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243C513B" w14:textId="77777777" w:rsidR="00BA160A" w:rsidRPr="00722521" w:rsidRDefault="00BA160A" w:rsidP="00A903E6">
            <w:pPr>
              <w:pStyle w:val="TableParagraph"/>
              <w:ind w:hanging="1"/>
              <w:mirrorIndents/>
              <w:rPr>
                <w:szCs w:val="17"/>
              </w:rPr>
            </w:pPr>
            <w:r w:rsidRPr="00722521">
              <w:rPr>
                <w:szCs w:val="17"/>
              </w:rPr>
              <w:t>Not applicable</w:t>
            </w:r>
          </w:p>
        </w:tc>
      </w:tr>
      <w:tr w:rsidR="00BA160A" w:rsidRPr="00722521" w14:paraId="16FAAF18" w14:textId="77777777" w:rsidTr="00C97577">
        <w:trPr>
          <w:trHeight w:val="1417"/>
        </w:trPr>
        <w:tc>
          <w:tcPr>
            <w:tcW w:w="1720" w:type="pct"/>
            <w:tcBorders>
              <w:top w:val="single" w:sz="8" w:space="0" w:color="BABABA"/>
              <w:left w:val="single" w:sz="8" w:space="0" w:color="BABABA"/>
              <w:bottom w:val="single" w:sz="8" w:space="0" w:color="BABABA"/>
              <w:right w:val="single" w:sz="8" w:space="0" w:color="BABABA"/>
            </w:tcBorders>
            <w:hideMark/>
          </w:tcPr>
          <w:p w14:paraId="1009076A" w14:textId="77777777" w:rsidR="00BA160A" w:rsidRPr="00722521" w:rsidRDefault="00BA160A" w:rsidP="00A903E6">
            <w:pPr>
              <w:pStyle w:val="TableParagraph"/>
              <w:mirrorIndents/>
              <w:rPr>
                <w:szCs w:val="17"/>
              </w:rPr>
            </w:pPr>
            <w:r w:rsidRPr="00722521">
              <w:rPr>
                <w:w w:val="105"/>
                <w:szCs w:val="17"/>
              </w:rPr>
              <w:t>Ad-hoc Peer Review Committees (PRC) composed</w:t>
            </w:r>
            <w:r w:rsidRPr="00722521">
              <w:rPr>
                <w:w w:val="102"/>
                <w:szCs w:val="17"/>
              </w:rPr>
              <w:t xml:space="preserve"> </w:t>
            </w:r>
            <w:r w:rsidRPr="00722521">
              <w:rPr>
                <w:w w:val="105"/>
                <w:szCs w:val="17"/>
              </w:rPr>
              <w:t>of ESAs’ and NCAs’ staff and chaired by the ESA are responsible for preparing peer review reports and follow-ups.</w:t>
            </w:r>
          </w:p>
        </w:tc>
        <w:tc>
          <w:tcPr>
            <w:tcW w:w="535" w:type="pct"/>
            <w:tcBorders>
              <w:top w:val="single" w:sz="8" w:space="0" w:color="BABABA"/>
              <w:left w:val="single" w:sz="8" w:space="0" w:color="BABABA"/>
              <w:bottom w:val="single" w:sz="8" w:space="0" w:color="BABABA"/>
              <w:right w:val="single" w:sz="8" w:space="0" w:color="BABABA"/>
            </w:tcBorders>
          </w:tcPr>
          <w:p w14:paraId="456E185E" w14:textId="77777777" w:rsidR="00BA160A" w:rsidRPr="00722521" w:rsidRDefault="00BA160A" w:rsidP="00A903E6">
            <w:pPr>
              <w:pStyle w:val="TableParagraph"/>
              <w:mirrorIndents/>
              <w:rPr>
                <w:b/>
                <w:szCs w:val="17"/>
              </w:rPr>
            </w:pPr>
          </w:p>
        </w:tc>
        <w:tc>
          <w:tcPr>
            <w:tcW w:w="604" w:type="pct"/>
            <w:gridSpan w:val="2"/>
            <w:tcBorders>
              <w:top w:val="single" w:sz="8" w:space="0" w:color="BABABA"/>
              <w:left w:val="single" w:sz="8" w:space="0" w:color="BABABA"/>
              <w:bottom w:val="single" w:sz="8" w:space="0" w:color="BABABA"/>
              <w:right w:val="single" w:sz="8" w:space="0" w:color="BABABA"/>
            </w:tcBorders>
          </w:tcPr>
          <w:p w14:paraId="2BA9A418" w14:textId="77777777" w:rsidR="00BA160A" w:rsidRPr="00722521" w:rsidRDefault="00BA160A" w:rsidP="00A903E6">
            <w:pPr>
              <w:pStyle w:val="TableParagraph"/>
              <w:mirrorIndents/>
              <w:rPr>
                <w:b/>
                <w:szCs w:val="17"/>
              </w:rPr>
            </w:pPr>
          </w:p>
        </w:tc>
        <w:tc>
          <w:tcPr>
            <w:tcW w:w="512" w:type="pct"/>
            <w:tcBorders>
              <w:top w:val="single" w:sz="8" w:space="0" w:color="BABABA"/>
              <w:left w:val="single" w:sz="8" w:space="0" w:color="BABABA"/>
              <w:bottom w:val="single" w:sz="8" w:space="0" w:color="BABABA"/>
              <w:right w:val="single" w:sz="8" w:space="0" w:color="BABABA"/>
            </w:tcBorders>
          </w:tcPr>
          <w:p w14:paraId="2608ED4F" w14:textId="77777777" w:rsidR="00BA160A" w:rsidRPr="00722521" w:rsidRDefault="00BA160A" w:rsidP="00A903E6">
            <w:pPr>
              <w:pStyle w:val="TableParagraph"/>
              <w:mirrorIndents/>
              <w:rPr>
                <w:b/>
                <w:szCs w:val="17"/>
              </w:rPr>
            </w:pPr>
          </w:p>
        </w:tc>
        <w:tc>
          <w:tcPr>
            <w:tcW w:w="535" w:type="pct"/>
            <w:tcBorders>
              <w:top w:val="single" w:sz="8" w:space="0" w:color="BABABA"/>
              <w:left w:val="single" w:sz="8" w:space="0" w:color="BABABA"/>
              <w:bottom w:val="single" w:sz="8" w:space="0" w:color="BABABA"/>
              <w:right w:val="single" w:sz="8" w:space="0" w:color="BABABA"/>
            </w:tcBorders>
          </w:tcPr>
          <w:p w14:paraId="3F84B934" w14:textId="3C325A36" w:rsidR="00BA160A" w:rsidRPr="00722521" w:rsidRDefault="00C97AE7" w:rsidP="00A903E6">
            <w:pPr>
              <w:pStyle w:val="TableParagraph"/>
              <w:mirrorIndents/>
              <w:rPr>
                <w:b/>
                <w:szCs w:val="17"/>
              </w:rPr>
            </w:pPr>
            <w:r w:rsidRPr="00722521">
              <w:rPr>
                <w:b/>
                <w:szCs w:val="17"/>
              </w:rPr>
              <w:t>x</w:t>
            </w:r>
          </w:p>
        </w:tc>
        <w:tc>
          <w:tcPr>
            <w:tcW w:w="535" w:type="pct"/>
            <w:tcBorders>
              <w:top w:val="single" w:sz="8" w:space="0" w:color="BABABA"/>
              <w:left w:val="single" w:sz="8" w:space="0" w:color="BABABA"/>
              <w:bottom w:val="single" w:sz="8" w:space="0" w:color="BABABA"/>
              <w:right w:val="single" w:sz="8" w:space="0" w:color="BABABA"/>
            </w:tcBorders>
          </w:tcPr>
          <w:p w14:paraId="61C1E0FF" w14:textId="77777777" w:rsidR="00BA160A" w:rsidRPr="00722521" w:rsidRDefault="00BA160A" w:rsidP="00A903E6">
            <w:pPr>
              <w:pStyle w:val="TableParagraph"/>
              <w:mirrorIndents/>
              <w:rPr>
                <w:b/>
                <w:szCs w:val="17"/>
              </w:rPr>
            </w:pPr>
          </w:p>
        </w:tc>
        <w:tc>
          <w:tcPr>
            <w:tcW w:w="559" w:type="pct"/>
            <w:tcBorders>
              <w:top w:val="single" w:sz="8" w:space="0" w:color="BABABA"/>
              <w:left w:val="single" w:sz="8" w:space="0" w:color="BABABA"/>
              <w:bottom w:val="single" w:sz="8" w:space="0" w:color="BABABA"/>
              <w:right w:val="single" w:sz="8" w:space="0" w:color="BABABA"/>
            </w:tcBorders>
          </w:tcPr>
          <w:p w14:paraId="65E1800F" w14:textId="77777777" w:rsidR="00BA160A" w:rsidRPr="00722521" w:rsidRDefault="00BA160A" w:rsidP="00A903E6">
            <w:pPr>
              <w:pStyle w:val="TableParagraph"/>
              <w:mirrorIndents/>
              <w:rPr>
                <w:b/>
                <w:szCs w:val="17"/>
              </w:rPr>
            </w:pPr>
          </w:p>
        </w:tc>
      </w:tr>
      <w:tr w:rsidR="00BA160A" w:rsidRPr="00722521" w14:paraId="33981CE5" w14:textId="77777777" w:rsidTr="00C97577">
        <w:trPr>
          <w:trHeight w:val="1417"/>
        </w:trPr>
        <w:tc>
          <w:tcPr>
            <w:tcW w:w="1720" w:type="pct"/>
            <w:tcBorders>
              <w:top w:val="single" w:sz="8" w:space="0" w:color="BABABA"/>
              <w:left w:val="single" w:sz="8" w:space="0" w:color="BABABA"/>
              <w:bottom w:val="single" w:sz="8" w:space="0" w:color="BABABA"/>
              <w:right w:val="single" w:sz="8" w:space="0" w:color="BABABA"/>
            </w:tcBorders>
            <w:hideMark/>
          </w:tcPr>
          <w:p w14:paraId="2A1BF7EC" w14:textId="77777777" w:rsidR="00BA160A" w:rsidRPr="00722521" w:rsidRDefault="00BA160A" w:rsidP="00A903E6">
            <w:pPr>
              <w:pStyle w:val="TableParagraph"/>
              <w:mirrorIndents/>
              <w:rPr>
                <w:szCs w:val="17"/>
              </w:rPr>
            </w:pPr>
            <w:r w:rsidRPr="00722521">
              <w:rPr>
                <w:w w:val="105"/>
                <w:szCs w:val="17"/>
              </w:rPr>
              <w:lastRenderedPageBreak/>
              <w:t xml:space="preserve">The peer review report is now adopted by written procedure on non-objection basis by the </w:t>
            </w:r>
            <w:proofErr w:type="spellStart"/>
            <w:r w:rsidRPr="00722521">
              <w:rPr>
                <w:w w:val="105"/>
                <w:szCs w:val="17"/>
              </w:rPr>
              <w:t>BoS</w:t>
            </w:r>
            <w:proofErr w:type="spellEnd"/>
            <w:r w:rsidRPr="00722521">
              <w:rPr>
                <w:w w:val="105"/>
                <w:szCs w:val="17"/>
              </w:rPr>
              <w:t>.</w:t>
            </w:r>
          </w:p>
        </w:tc>
        <w:tc>
          <w:tcPr>
            <w:tcW w:w="535" w:type="pct"/>
            <w:tcBorders>
              <w:top w:val="single" w:sz="8" w:space="0" w:color="BABABA"/>
              <w:left w:val="single" w:sz="8" w:space="0" w:color="BABABA"/>
              <w:bottom w:val="single" w:sz="8" w:space="0" w:color="BABABA"/>
              <w:right w:val="single" w:sz="8" w:space="0" w:color="BABABA"/>
            </w:tcBorders>
          </w:tcPr>
          <w:p w14:paraId="0E02E829" w14:textId="77777777" w:rsidR="00BA160A" w:rsidRPr="00722521" w:rsidRDefault="00BA160A" w:rsidP="00A903E6">
            <w:pPr>
              <w:pStyle w:val="TableParagraph"/>
              <w:mirrorIndents/>
              <w:rPr>
                <w:b/>
                <w:szCs w:val="17"/>
              </w:rPr>
            </w:pPr>
          </w:p>
        </w:tc>
        <w:tc>
          <w:tcPr>
            <w:tcW w:w="604" w:type="pct"/>
            <w:gridSpan w:val="2"/>
            <w:tcBorders>
              <w:top w:val="single" w:sz="8" w:space="0" w:color="BABABA"/>
              <w:left w:val="single" w:sz="8" w:space="0" w:color="BABABA"/>
              <w:bottom w:val="single" w:sz="8" w:space="0" w:color="BABABA"/>
              <w:right w:val="single" w:sz="8" w:space="0" w:color="BABABA"/>
            </w:tcBorders>
          </w:tcPr>
          <w:p w14:paraId="2091350D" w14:textId="77777777" w:rsidR="00BA160A" w:rsidRPr="00722521" w:rsidRDefault="00BA160A" w:rsidP="00A903E6">
            <w:pPr>
              <w:pStyle w:val="TableParagraph"/>
              <w:mirrorIndents/>
              <w:rPr>
                <w:b/>
                <w:szCs w:val="17"/>
              </w:rPr>
            </w:pPr>
          </w:p>
        </w:tc>
        <w:tc>
          <w:tcPr>
            <w:tcW w:w="512" w:type="pct"/>
            <w:tcBorders>
              <w:top w:val="single" w:sz="8" w:space="0" w:color="BABABA"/>
              <w:left w:val="single" w:sz="8" w:space="0" w:color="BABABA"/>
              <w:bottom w:val="single" w:sz="8" w:space="0" w:color="BABABA"/>
              <w:right w:val="single" w:sz="8" w:space="0" w:color="BABABA"/>
            </w:tcBorders>
          </w:tcPr>
          <w:p w14:paraId="7DAD0A7C" w14:textId="77777777" w:rsidR="00BA160A" w:rsidRPr="00722521" w:rsidRDefault="00BA160A" w:rsidP="00A903E6">
            <w:pPr>
              <w:pStyle w:val="TableParagraph"/>
              <w:mirrorIndents/>
              <w:rPr>
                <w:b/>
                <w:szCs w:val="17"/>
              </w:rPr>
            </w:pPr>
          </w:p>
        </w:tc>
        <w:tc>
          <w:tcPr>
            <w:tcW w:w="535" w:type="pct"/>
            <w:tcBorders>
              <w:top w:val="single" w:sz="8" w:space="0" w:color="BABABA"/>
              <w:left w:val="single" w:sz="8" w:space="0" w:color="BABABA"/>
              <w:bottom w:val="single" w:sz="8" w:space="0" w:color="BABABA"/>
              <w:right w:val="single" w:sz="8" w:space="0" w:color="BABABA"/>
            </w:tcBorders>
          </w:tcPr>
          <w:p w14:paraId="72784449" w14:textId="168CE43C" w:rsidR="00BA160A" w:rsidRPr="00722521" w:rsidRDefault="00C97AE7" w:rsidP="00A903E6">
            <w:pPr>
              <w:pStyle w:val="TableParagraph"/>
              <w:mirrorIndents/>
              <w:rPr>
                <w:b/>
                <w:szCs w:val="17"/>
              </w:rPr>
            </w:pPr>
            <w:r w:rsidRPr="00722521">
              <w:rPr>
                <w:b/>
                <w:szCs w:val="17"/>
              </w:rPr>
              <w:t>x</w:t>
            </w:r>
          </w:p>
        </w:tc>
        <w:tc>
          <w:tcPr>
            <w:tcW w:w="535" w:type="pct"/>
            <w:tcBorders>
              <w:top w:val="single" w:sz="8" w:space="0" w:color="BABABA"/>
              <w:left w:val="single" w:sz="8" w:space="0" w:color="BABABA"/>
              <w:bottom w:val="single" w:sz="8" w:space="0" w:color="BABABA"/>
              <w:right w:val="single" w:sz="8" w:space="0" w:color="BABABA"/>
            </w:tcBorders>
          </w:tcPr>
          <w:p w14:paraId="0AE08D7F" w14:textId="77777777" w:rsidR="00BA160A" w:rsidRPr="00722521" w:rsidRDefault="00BA160A" w:rsidP="00A903E6">
            <w:pPr>
              <w:pStyle w:val="TableParagraph"/>
              <w:mirrorIndents/>
              <w:rPr>
                <w:b/>
                <w:szCs w:val="17"/>
              </w:rPr>
            </w:pPr>
          </w:p>
        </w:tc>
        <w:tc>
          <w:tcPr>
            <w:tcW w:w="559" w:type="pct"/>
            <w:tcBorders>
              <w:top w:val="single" w:sz="8" w:space="0" w:color="BABABA"/>
              <w:left w:val="single" w:sz="8" w:space="0" w:color="BABABA"/>
              <w:bottom w:val="single" w:sz="8" w:space="0" w:color="BABABA"/>
              <w:right w:val="single" w:sz="8" w:space="0" w:color="BABABA"/>
            </w:tcBorders>
          </w:tcPr>
          <w:p w14:paraId="63A1070B" w14:textId="77777777" w:rsidR="00BA160A" w:rsidRPr="00722521" w:rsidRDefault="00BA160A" w:rsidP="00A903E6">
            <w:pPr>
              <w:pStyle w:val="TableParagraph"/>
              <w:mirrorIndents/>
              <w:rPr>
                <w:b/>
                <w:szCs w:val="17"/>
              </w:rPr>
            </w:pPr>
          </w:p>
        </w:tc>
      </w:tr>
      <w:tr w:rsidR="00770934" w:rsidRPr="00722521" w14:paraId="46BB7574" w14:textId="77777777" w:rsidTr="00C97577">
        <w:trPr>
          <w:trHeight w:val="1417"/>
        </w:trPr>
        <w:tc>
          <w:tcPr>
            <w:tcW w:w="1720" w:type="pct"/>
            <w:tcBorders>
              <w:top w:val="single" w:sz="8" w:space="0" w:color="BABABA"/>
              <w:left w:val="single" w:sz="8" w:space="0" w:color="BABABA"/>
              <w:bottom w:val="single" w:sz="8" w:space="0" w:color="BABABA"/>
              <w:right w:val="single" w:sz="8" w:space="0" w:color="BABABA"/>
            </w:tcBorders>
            <w:hideMark/>
          </w:tcPr>
          <w:p w14:paraId="6D99463E" w14:textId="5283104B" w:rsidR="00BA160A" w:rsidRPr="00722521" w:rsidRDefault="00BA160A" w:rsidP="00A903E6">
            <w:pPr>
              <w:pStyle w:val="TableParagraph"/>
              <w:mirrorIndents/>
              <w:rPr>
                <w:szCs w:val="17"/>
              </w:rPr>
            </w:pPr>
            <w:r w:rsidRPr="00722521">
              <w:rPr>
                <w:szCs w:val="17"/>
              </w:rPr>
              <w:t>Transparency provisions: if the PRC main findings differ from those published in the report, dissenting views should be transmitted to the three European Institutions.</w:t>
            </w:r>
          </w:p>
        </w:tc>
        <w:tc>
          <w:tcPr>
            <w:tcW w:w="544" w:type="pct"/>
            <w:gridSpan w:val="2"/>
            <w:tcBorders>
              <w:top w:val="single" w:sz="8" w:space="0" w:color="BABABA"/>
              <w:left w:val="single" w:sz="8" w:space="0" w:color="BABABA"/>
              <w:bottom w:val="single" w:sz="8" w:space="0" w:color="BABABA"/>
              <w:right w:val="single" w:sz="8" w:space="0" w:color="BABABA"/>
            </w:tcBorders>
          </w:tcPr>
          <w:p w14:paraId="2C28BC8C" w14:textId="77777777" w:rsidR="00BA160A" w:rsidRPr="00722521" w:rsidRDefault="00BA160A" w:rsidP="00A903E6">
            <w:pPr>
              <w:pStyle w:val="TableParagraph"/>
              <w:mirrorIndents/>
              <w:rPr>
                <w:b/>
                <w:szCs w:val="17"/>
              </w:rPr>
            </w:pPr>
          </w:p>
        </w:tc>
        <w:tc>
          <w:tcPr>
            <w:tcW w:w="594" w:type="pct"/>
            <w:tcBorders>
              <w:top w:val="single" w:sz="8" w:space="0" w:color="BABABA"/>
              <w:left w:val="single" w:sz="8" w:space="0" w:color="BABABA"/>
              <w:bottom w:val="single" w:sz="8" w:space="0" w:color="BABABA"/>
              <w:right w:val="single" w:sz="8" w:space="0" w:color="BABABA"/>
            </w:tcBorders>
          </w:tcPr>
          <w:p w14:paraId="31D622CC" w14:textId="77777777" w:rsidR="00BA160A" w:rsidRPr="00722521" w:rsidRDefault="00BA160A" w:rsidP="00A903E6">
            <w:pPr>
              <w:pStyle w:val="TableParagraph"/>
              <w:mirrorIndents/>
              <w:rPr>
                <w:b/>
                <w:szCs w:val="17"/>
              </w:rPr>
            </w:pPr>
          </w:p>
        </w:tc>
        <w:tc>
          <w:tcPr>
            <w:tcW w:w="512" w:type="pct"/>
            <w:tcBorders>
              <w:top w:val="single" w:sz="8" w:space="0" w:color="BABABA"/>
              <w:left w:val="single" w:sz="8" w:space="0" w:color="BABABA"/>
              <w:bottom w:val="single" w:sz="8" w:space="0" w:color="BABABA"/>
              <w:right w:val="single" w:sz="8" w:space="0" w:color="BABABA"/>
            </w:tcBorders>
          </w:tcPr>
          <w:p w14:paraId="7F01C113" w14:textId="77777777" w:rsidR="00BA160A" w:rsidRPr="00722521" w:rsidRDefault="00BA160A" w:rsidP="00A903E6">
            <w:pPr>
              <w:pStyle w:val="TableParagraph"/>
              <w:mirrorIndents/>
              <w:rPr>
                <w:b/>
                <w:szCs w:val="17"/>
              </w:rPr>
            </w:pPr>
          </w:p>
        </w:tc>
        <w:tc>
          <w:tcPr>
            <w:tcW w:w="535" w:type="pct"/>
            <w:tcBorders>
              <w:top w:val="single" w:sz="8" w:space="0" w:color="BABABA"/>
              <w:left w:val="single" w:sz="8" w:space="0" w:color="BABABA"/>
              <w:bottom w:val="single" w:sz="8" w:space="0" w:color="BABABA"/>
              <w:right w:val="single" w:sz="8" w:space="0" w:color="BABABA"/>
            </w:tcBorders>
          </w:tcPr>
          <w:p w14:paraId="0158F55C" w14:textId="05BD1EBE" w:rsidR="00BA160A" w:rsidRPr="00722521" w:rsidRDefault="00C97AE7" w:rsidP="00A903E6">
            <w:pPr>
              <w:pStyle w:val="TableParagraph"/>
              <w:mirrorIndents/>
              <w:rPr>
                <w:b/>
                <w:szCs w:val="17"/>
              </w:rPr>
            </w:pPr>
            <w:r w:rsidRPr="00722521">
              <w:rPr>
                <w:b/>
                <w:szCs w:val="17"/>
              </w:rPr>
              <w:t>x</w:t>
            </w:r>
          </w:p>
        </w:tc>
        <w:tc>
          <w:tcPr>
            <w:tcW w:w="535" w:type="pct"/>
            <w:tcBorders>
              <w:top w:val="single" w:sz="8" w:space="0" w:color="BABABA"/>
              <w:left w:val="single" w:sz="8" w:space="0" w:color="BABABA"/>
              <w:bottom w:val="single" w:sz="8" w:space="0" w:color="BABABA"/>
              <w:right w:val="single" w:sz="8" w:space="0" w:color="BABABA"/>
            </w:tcBorders>
          </w:tcPr>
          <w:p w14:paraId="4CC97CD9" w14:textId="77777777" w:rsidR="00BA160A" w:rsidRPr="00722521" w:rsidRDefault="00BA160A" w:rsidP="00A903E6">
            <w:pPr>
              <w:pStyle w:val="TableParagraph"/>
              <w:mirrorIndents/>
              <w:rPr>
                <w:b/>
                <w:szCs w:val="17"/>
              </w:rPr>
            </w:pPr>
          </w:p>
        </w:tc>
        <w:tc>
          <w:tcPr>
            <w:tcW w:w="559" w:type="pct"/>
            <w:tcBorders>
              <w:top w:val="single" w:sz="8" w:space="0" w:color="BABABA"/>
              <w:left w:val="single" w:sz="8" w:space="0" w:color="BABABA"/>
              <w:bottom w:val="single" w:sz="8" w:space="0" w:color="BABABA"/>
              <w:right w:val="single" w:sz="8" w:space="0" w:color="BABABA"/>
            </w:tcBorders>
          </w:tcPr>
          <w:p w14:paraId="68C77409" w14:textId="77777777" w:rsidR="00BA160A" w:rsidRPr="00722521" w:rsidRDefault="00BA160A" w:rsidP="00A903E6">
            <w:pPr>
              <w:pStyle w:val="TableParagraph"/>
              <w:mirrorIndents/>
              <w:rPr>
                <w:b/>
                <w:szCs w:val="17"/>
              </w:rPr>
            </w:pPr>
          </w:p>
        </w:tc>
      </w:tr>
      <w:tr w:rsidR="00770934" w:rsidRPr="00722521" w14:paraId="7D3EF9E3" w14:textId="77777777" w:rsidTr="00C97577">
        <w:trPr>
          <w:trHeight w:hRule="exact" w:val="2473"/>
        </w:trPr>
        <w:tc>
          <w:tcPr>
            <w:tcW w:w="1720" w:type="pct"/>
            <w:tcBorders>
              <w:top w:val="single" w:sz="8" w:space="0" w:color="BABABA"/>
              <w:left w:val="single" w:sz="8" w:space="0" w:color="BABABA"/>
              <w:bottom w:val="single" w:sz="8" w:space="0" w:color="BABABA"/>
              <w:right w:val="single" w:sz="8" w:space="0" w:color="BABABA"/>
            </w:tcBorders>
            <w:hideMark/>
          </w:tcPr>
          <w:p w14:paraId="2095CA78" w14:textId="7715ED3B" w:rsidR="00BA160A" w:rsidRPr="00722521" w:rsidRDefault="00BA160A" w:rsidP="00A903E6">
            <w:pPr>
              <w:pStyle w:val="TableParagraph"/>
              <w:mirrorIndents/>
              <w:rPr>
                <w:szCs w:val="17"/>
              </w:rPr>
            </w:pPr>
            <w:r w:rsidRPr="00722521">
              <w:rPr>
                <w:szCs w:val="17"/>
              </w:rPr>
              <w:t>PRC   findings may result in recommendations to NCAs under Article 16 of the ESAs</w:t>
            </w:r>
          </w:p>
          <w:p w14:paraId="2D852394" w14:textId="613D7BD8" w:rsidR="00BA160A" w:rsidRPr="00722521" w:rsidRDefault="00BA160A" w:rsidP="00A903E6">
            <w:pPr>
              <w:pStyle w:val="TableParagraph"/>
              <w:mirrorIndents/>
              <w:rPr>
                <w:szCs w:val="17"/>
              </w:rPr>
            </w:pPr>
            <w:r w:rsidRPr="00722521">
              <w:rPr>
                <w:szCs w:val="17"/>
              </w:rPr>
              <w:t xml:space="preserve">Regulations that are now </w:t>
            </w:r>
            <w:proofErr w:type="gramStart"/>
            <w:r w:rsidRPr="00722521">
              <w:rPr>
                <w:szCs w:val="17"/>
              </w:rPr>
              <w:t>distinguished  from</w:t>
            </w:r>
            <w:proofErr w:type="gramEnd"/>
            <w:r w:rsidRPr="00722521">
              <w:rPr>
                <w:szCs w:val="17"/>
              </w:rPr>
              <w:t xml:space="preserve"> guidelines, addressed to all NCAs. The use of this type of individual recommendations entails the application of the “comply or explain” mechanism and allows a close follow-up.</w:t>
            </w:r>
          </w:p>
        </w:tc>
        <w:tc>
          <w:tcPr>
            <w:tcW w:w="544" w:type="pct"/>
            <w:gridSpan w:val="2"/>
            <w:tcBorders>
              <w:top w:val="single" w:sz="8" w:space="0" w:color="BABABA"/>
              <w:left w:val="single" w:sz="8" w:space="0" w:color="BABABA"/>
              <w:bottom w:val="single" w:sz="8" w:space="0" w:color="BABABA"/>
              <w:right w:val="single" w:sz="8" w:space="0" w:color="BABABA"/>
            </w:tcBorders>
          </w:tcPr>
          <w:p w14:paraId="67B2B144" w14:textId="77777777" w:rsidR="00BA160A" w:rsidRPr="00722521" w:rsidRDefault="00BA160A" w:rsidP="00A903E6">
            <w:pPr>
              <w:pStyle w:val="TableParagraph"/>
              <w:mirrorIndents/>
              <w:rPr>
                <w:b/>
                <w:szCs w:val="17"/>
              </w:rPr>
            </w:pPr>
          </w:p>
        </w:tc>
        <w:tc>
          <w:tcPr>
            <w:tcW w:w="594" w:type="pct"/>
            <w:tcBorders>
              <w:top w:val="single" w:sz="8" w:space="0" w:color="BABABA"/>
              <w:left w:val="single" w:sz="8" w:space="0" w:color="BABABA"/>
              <w:bottom w:val="single" w:sz="8" w:space="0" w:color="BABABA"/>
              <w:right w:val="single" w:sz="8" w:space="0" w:color="BABABA"/>
            </w:tcBorders>
          </w:tcPr>
          <w:p w14:paraId="4D476900" w14:textId="77777777" w:rsidR="00BA160A" w:rsidRPr="00722521" w:rsidRDefault="00BA160A" w:rsidP="00A903E6">
            <w:pPr>
              <w:pStyle w:val="TableParagraph"/>
              <w:mirrorIndents/>
              <w:rPr>
                <w:b/>
                <w:szCs w:val="17"/>
              </w:rPr>
            </w:pPr>
          </w:p>
        </w:tc>
        <w:tc>
          <w:tcPr>
            <w:tcW w:w="512" w:type="pct"/>
            <w:tcBorders>
              <w:top w:val="single" w:sz="8" w:space="0" w:color="BABABA"/>
              <w:left w:val="single" w:sz="8" w:space="0" w:color="BABABA"/>
              <w:bottom w:val="single" w:sz="8" w:space="0" w:color="BABABA"/>
              <w:right w:val="single" w:sz="8" w:space="0" w:color="BABABA"/>
            </w:tcBorders>
          </w:tcPr>
          <w:p w14:paraId="47940309" w14:textId="77777777" w:rsidR="00BA160A" w:rsidRPr="00722521" w:rsidRDefault="00BA160A" w:rsidP="00A903E6">
            <w:pPr>
              <w:pStyle w:val="TableParagraph"/>
              <w:mirrorIndents/>
              <w:rPr>
                <w:b/>
                <w:szCs w:val="17"/>
              </w:rPr>
            </w:pPr>
          </w:p>
        </w:tc>
        <w:tc>
          <w:tcPr>
            <w:tcW w:w="535" w:type="pct"/>
            <w:tcBorders>
              <w:top w:val="single" w:sz="8" w:space="0" w:color="BABABA"/>
              <w:left w:val="single" w:sz="8" w:space="0" w:color="BABABA"/>
              <w:bottom w:val="single" w:sz="8" w:space="0" w:color="BABABA"/>
              <w:right w:val="single" w:sz="8" w:space="0" w:color="BABABA"/>
            </w:tcBorders>
          </w:tcPr>
          <w:p w14:paraId="1445488A" w14:textId="77777777" w:rsidR="00BA160A" w:rsidRPr="00722521" w:rsidRDefault="00BA160A" w:rsidP="00A903E6">
            <w:pPr>
              <w:pStyle w:val="TableParagraph"/>
              <w:mirrorIndents/>
              <w:rPr>
                <w:b/>
                <w:szCs w:val="17"/>
              </w:rPr>
            </w:pPr>
          </w:p>
        </w:tc>
        <w:tc>
          <w:tcPr>
            <w:tcW w:w="535" w:type="pct"/>
            <w:tcBorders>
              <w:top w:val="single" w:sz="8" w:space="0" w:color="BABABA"/>
              <w:left w:val="single" w:sz="8" w:space="0" w:color="BABABA"/>
              <w:bottom w:val="single" w:sz="8" w:space="0" w:color="BABABA"/>
              <w:right w:val="single" w:sz="8" w:space="0" w:color="BABABA"/>
            </w:tcBorders>
          </w:tcPr>
          <w:p w14:paraId="40FC888F" w14:textId="25015DCA" w:rsidR="00BA160A" w:rsidRPr="00722521" w:rsidRDefault="00C97AE7" w:rsidP="00A903E6">
            <w:pPr>
              <w:pStyle w:val="TableParagraph"/>
              <w:mirrorIndents/>
              <w:rPr>
                <w:b/>
                <w:szCs w:val="17"/>
              </w:rPr>
            </w:pPr>
            <w:r w:rsidRPr="00722521">
              <w:rPr>
                <w:b/>
                <w:szCs w:val="17"/>
              </w:rPr>
              <w:t>x</w:t>
            </w:r>
          </w:p>
        </w:tc>
        <w:tc>
          <w:tcPr>
            <w:tcW w:w="559" w:type="pct"/>
            <w:tcBorders>
              <w:top w:val="single" w:sz="8" w:space="0" w:color="BABABA"/>
              <w:left w:val="single" w:sz="8" w:space="0" w:color="BABABA"/>
              <w:bottom w:val="single" w:sz="8" w:space="0" w:color="BABABA"/>
              <w:right w:val="single" w:sz="8" w:space="0" w:color="BABABA"/>
            </w:tcBorders>
          </w:tcPr>
          <w:p w14:paraId="330FB928" w14:textId="77777777" w:rsidR="00BA160A" w:rsidRPr="00722521" w:rsidRDefault="00BA160A" w:rsidP="00A903E6">
            <w:pPr>
              <w:pStyle w:val="TableParagraph"/>
              <w:mirrorIndents/>
              <w:rPr>
                <w:b/>
                <w:szCs w:val="17"/>
              </w:rPr>
            </w:pPr>
          </w:p>
        </w:tc>
      </w:tr>
      <w:tr w:rsidR="0089156F" w:rsidRPr="00722521" w14:paraId="01060AF0" w14:textId="77777777" w:rsidTr="00C97577">
        <w:trPr>
          <w:trHeight w:hRule="exact" w:val="1417"/>
        </w:trPr>
        <w:tc>
          <w:tcPr>
            <w:tcW w:w="1720" w:type="pct"/>
            <w:tcBorders>
              <w:top w:val="single" w:sz="8" w:space="0" w:color="BABABA"/>
              <w:left w:val="single" w:sz="8" w:space="0" w:color="BABABA"/>
              <w:bottom w:val="single" w:sz="8" w:space="0" w:color="BABABA"/>
              <w:right w:val="single" w:sz="8" w:space="0" w:color="BABABA"/>
            </w:tcBorders>
          </w:tcPr>
          <w:p w14:paraId="6749440D" w14:textId="54D10BAC" w:rsidR="0089156F" w:rsidRPr="00722521" w:rsidRDefault="0089156F" w:rsidP="0089156F">
            <w:pPr>
              <w:pStyle w:val="TableParagraph"/>
              <w:mirrorIndents/>
              <w:rPr>
                <w:szCs w:val="17"/>
              </w:rPr>
            </w:pPr>
            <w:r w:rsidRPr="00722521">
              <w:rPr>
                <w:w w:val="105"/>
                <w:szCs w:val="17"/>
              </w:rPr>
              <w:t>Mandatory</w:t>
            </w:r>
            <w:r w:rsidRPr="00722521">
              <w:rPr>
                <w:spacing w:val="-35"/>
                <w:w w:val="105"/>
                <w:szCs w:val="17"/>
              </w:rPr>
              <w:t xml:space="preserve"> </w:t>
            </w:r>
            <w:r w:rsidRPr="00722521">
              <w:rPr>
                <w:w w:val="105"/>
                <w:szCs w:val="17"/>
              </w:rPr>
              <w:t>follow-</w:t>
            </w:r>
            <w:r w:rsidRPr="00722521">
              <w:rPr>
                <w:w w:val="102"/>
                <w:szCs w:val="17"/>
              </w:rPr>
              <w:t xml:space="preserve"> </w:t>
            </w:r>
            <w:r w:rsidRPr="00722521">
              <w:rPr>
                <w:w w:val="105"/>
                <w:szCs w:val="17"/>
              </w:rPr>
              <w:t>up to peer reviews within two years after the adoption of the peer review report.</w:t>
            </w:r>
          </w:p>
        </w:tc>
        <w:tc>
          <w:tcPr>
            <w:tcW w:w="544" w:type="pct"/>
            <w:gridSpan w:val="2"/>
            <w:tcBorders>
              <w:top w:val="single" w:sz="8" w:space="0" w:color="BABABA"/>
              <w:left w:val="single" w:sz="8" w:space="0" w:color="BABABA"/>
              <w:bottom w:val="single" w:sz="8" w:space="0" w:color="BABABA"/>
              <w:right w:val="single" w:sz="8" w:space="0" w:color="BABABA"/>
            </w:tcBorders>
          </w:tcPr>
          <w:p w14:paraId="00C48EE1" w14:textId="77777777" w:rsidR="0089156F" w:rsidRPr="00722521" w:rsidRDefault="0089156F" w:rsidP="0089156F">
            <w:pPr>
              <w:pStyle w:val="TableParagraph"/>
              <w:mirrorIndents/>
              <w:rPr>
                <w:b/>
                <w:szCs w:val="17"/>
              </w:rPr>
            </w:pPr>
          </w:p>
        </w:tc>
        <w:tc>
          <w:tcPr>
            <w:tcW w:w="594" w:type="pct"/>
            <w:tcBorders>
              <w:top w:val="single" w:sz="8" w:space="0" w:color="BABABA"/>
              <w:left w:val="single" w:sz="8" w:space="0" w:color="BABABA"/>
              <w:bottom w:val="single" w:sz="8" w:space="0" w:color="BABABA"/>
              <w:right w:val="single" w:sz="8" w:space="0" w:color="BABABA"/>
            </w:tcBorders>
          </w:tcPr>
          <w:p w14:paraId="0FA9ED49" w14:textId="77777777" w:rsidR="0089156F" w:rsidRPr="00722521" w:rsidRDefault="0089156F" w:rsidP="0089156F">
            <w:pPr>
              <w:pStyle w:val="TableParagraph"/>
              <w:mirrorIndents/>
              <w:rPr>
                <w:b/>
                <w:szCs w:val="17"/>
              </w:rPr>
            </w:pPr>
          </w:p>
        </w:tc>
        <w:tc>
          <w:tcPr>
            <w:tcW w:w="512" w:type="pct"/>
            <w:tcBorders>
              <w:top w:val="single" w:sz="8" w:space="0" w:color="BABABA"/>
              <w:left w:val="single" w:sz="8" w:space="0" w:color="BABABA"/>
              <w:bottom w:val="single" w:sz="8" w:space="0" w:color="BABABA"/>
              <w:right w:val="single" w:sz="8" w:space="0" w:color="BABABA"/>
            </w:tcBorders>
          </w:tcPr>
          <w:p w14:paraId="0500CF0F" w14:textId="77777777" w:rsidR="0089156F" w:rsidRPr="00722521" w:rsidRDefault="0089156F" w:rsidP="0089156F">
            <w:pPr>
              <w:pStyle w:val="TableParagraph"/>
              <w:mirrorIndents/>
              <w:rPr>
                <w:b/>
                <w:szCs w:val="17"/>
              </w:rPr>
            </w:pPr>
          </w:p>
        </w:tc>
        <w:tc>
          <w:tcPr>
            <w:tcW w:w="535" w:type="pct"/>
            <w:tcBorders>
              <w:top w:val="single" w:sz="8" w:space="0" w:color="BABABA"/>
              <w:left w:val="single" w:sz="8" w:space="0" w:color="BABABA"/>
              <w:bottom w:val="single" w:sz="8" w:space="0" w:color="BABABA"/>
              <w:right w:val="single" w:sz="8" w:space="0" w:color="BABABA"/>
            </w:tcBorders>
          </w:tcPr>
          <w:p w14:paraId="0B1420A5" w14:textId="79793D9C" w:rsidR="0089156F" w:rsidRPr="00722521" w:rsidRDefault="00C97AE7" w:rsidP="0089156F">
            <w:pPr>
              <w:pStyle w:val="TableParagraph"/>
              <w:mirrorIndents/>
              <w:rPr>
                <w:b/>
                <w:szCs w:val="17"/>
              </w:rPr>
            </w:pPr>
            <w:r w:rsidRPr="00722521">
              <w:rPr>
                <w:b/>
                <w:szCs w:val="17"/>
              </w:rPr>
              <w:t>x</w:t>
            </w:r>
          </w:p>
        </w:tc>
        <w:tc>
          <w:tcPr>
            <w:tcW w:w="535" w:type="pct"/>
            <w:tcBorders>
              <w:top w:val="single" w:sz="8" w:space="0" w:color="BABABA"/>
              <w:left w:val="single" w:sz="8" w:space="0" w:color="BABABA"/>
              <w:bottom w:val="single" w:sz="8" w:space="0" w:color="BABABA"/>
              <w:right w:val="single" w:sz="8" w:space="0" w:color="BABABA"/>
            </w:tcBorders>
          </w:tcPr>
          <w:p w14:paraId="1E351FE4" w14:textId="77777777" w:rsidR="0089156F" w:rsidRPr="00722521" w:rsidRDefault="0089156F" w:rsidP="0089156F">
            <w:pPr>
              <w:pStyle w:val="TableParagraph"/>
              <w:mirrorIndents/>
              <w:rPr>
                <w:b/>
                <w:szCs w:val="17"/>
              </w:rPr>
            </w:pPr>
          </w:p>
        </w:tc>
        <w:tc>
          <w:tcPr>
            <w:tcW w:w="559" w:type="pct"/>
            <w:tcBorders>
              <w:top w:val="single" w:sz="8" w:space="0" w:color="BABABA"/>
              <w:left w:val="single" w:sz="8" w:space="0" w:color="BABABA"/>
              <w:bottom w:val="single" w:sz="8" w:space="0" w:color="BABABA"/>
              <w:right w:val="single" w:sz="8" w:space="0" w:color="BABABA"/>
            </w:tcBorders>
          </w:tcPr>
          <w:p w14:paraId="771523A9" w14:textId="60E88F5F" w:rsidR="0089156F" w:rsidRPr="00722521" w:rsidRDefault="0089156F" w:rsidP="0089156F">
            <w:pPr>
              <w:pStyle w:val="TableParagraph"/>
              <w:mirrorIndents/>
              <w:rPr>
                <w:b/>
                <w:szCs w:val="17"/>
              </w:rPr>
            </w:pPr>
          </w:p>
        </w:tc>
      </w:tr>
      <w:tr w:rsidR="0089156F" w:rsidRPr="00722521" w14:paraId="2321081E" w14:textId="77777777" w:rsidTr="00C97577">
        <w:trPr>
          <w:trHeight w:hRule="exact" w:val="1417"/>
        </w:trPr>
        <w:tc>
          <w:tcPr>
            <w:tcW w:w="1720" w:type="pct"/>
            <w:tcBorders>
              <w:top w:val="single" w:sz="8" w:space="0" w:color="BABABA"/>
              <w:left w:val="single" w:sz="8" w:space="0" w:color="BABABA"/>
              <w:bottom w:val="single" w:sz="8" w:space="0" w:color="BABABA"/>
              <w:right w:val="single" w:sz="8" w:space="0" w:color="BABABA"/>
            </w:tcBorders>
          </w:tcPr>
          <w:p w14:paraId="42B304A7" w14:textId="3A467904" w:rsidR="0089156F" w:rsidRPr="00722521" w:rsidRDefault="0089156F" w:rsidP="0089156F">
            <w:pPr>
              <w:pStyle w:val="TableParagraph"/>
              <w:mirrorIndents/>
              <w:rPr>
                <w:w w:val="105"/>
                <w:szCs w:val="17"/>
              </w:rPr>
            </w:pPr>
            <w:r w:rsidRPr="00722521">
              <w:rPr>
                <w:w w:val="105"/>
                <w:szCs w:val="17"/>
              </w:rPr>
              <w:t>The possibility to carry out additional peer reviews in case of urgency or unforeseen events (fast track peer reviews)</w:t>
            </w:r>
          </w:p>
        </w:tc>
        <w:tc>
          <w:tcPr>
            <w:tcW w:w="544" w:type="pct"/>
            <w:gridSpan w:val="2"/>
            <w:tcBorders>
              <w:top w:val="single" w:sz="8" w:space="0" w:color="BABABA"/>
              <w:left w:val="single" w:sz="8" w:space="0" w:color="BABABA"/>
              <w:bottom w:val="single" w:sz="8" w:space="0" w:color="BABABA"/>
              <w:right w:val="single" w:sz="8" w:space="0" w:color="BABABA"/>
            </w:tcBorders>
          </w:tcPr>
          <w:p w14:paraId="68C6448C" w14:textId="77777777" w:rsidR="0089156F" w:rsidRPr="00722521" w:rsidRDefault="0089156F" w:rsidP="0089156F">
            <w:pPr>
              <w:pStyle w:val="TableParagraph"/>
              <w:mirrorIndents/>
              <w:rPr>
                <w:b/>
                <w:szCs w:val="17"/>
              </w:rPr>
            </w:pPr>
          </w:p>
        </w:tc>
        <w:tc>
          <w:tcPr>
            <w:tcW w:w="594" w:type="pct"/>
            <w:tcBorders>
              <w:top w:val="single" w:sz="8" w:space="0" w:color="BABABA"/>
              <w:left w:val="single" w:sz="8" w:space="0" w:color="BABABA"/>
              <w:bottom w:val="single" w:sz="8" w:space="0" w:color="BABABA"/>
              <w:right w:val="single" w:sz="8" w:space="0" w:color="BABABA"/>
            </w:tcBorders>
          </w:tcPr>
          <w:p w14:paraId="19408C73" w14:textId="77777777" w:rsidR="0089156F" w:rsidRPr="00722521" w:rsidRDefault="0089156F" w:rsidP="0089156F">
            <w:pPr>
              <w:pStyle w:val="TableParagraph"/>
              <w:mirrorIndents/>
              <w:rPr>
                <w:b/>
                <w:szCs w:val="17"/>
              </w:rPr>
            </w:pPr>
          </w:p>
        </w:tc>
        <w:tc>
          <w:tcPr>
            <w:tcW w:w="512" w:type="pct"/>
            <w:tcBorders>
              <w:top w:val="single" w:sz="8" w:space="0" w:color="BABABA"/>
              <w:left w:val="single" w:sz="8" w:space="0" w:color="BABABA"/>
              <w:bottom w:val="single" w:sz="8" w:space="0" w:color="BABABA"/>
              <w:right w:val="single" w:sz="8" w:space="0" w:color="BABABA"/>
            </w:tcBorders>
          </w:tcPr>
          <w:p w14:paraId="5C58C63B" w14:textId="77777777" w:rsidR="0089156F" w:rsidRPr="00722521" w:rsidRDefault="0089156F" w:rsidP="0089156F">
            <w:pPr>
              <w:pStyle w:val="TableParagraph"/>
              <w:mirrorIndents/>
              <w:rPr>
                <w:b/>
                <w:szCs w:val="17"/>
              </w:rPr>
            </w:pPr>
          </w:p>
        </w:tc>
        <w:tc>
          <w:tcPr>
            <w:tcW w:w="535" w:type="pct"/>
            <w:tcBorders>
              <w:top w:val="single" w:sz="8" w:space="0" w:color="BABABA"/>
              <w:left w:val="single" w:sz="8" w:space="0" w:color="BABABA"/>
              <w:bottom w:val="single" w:sz="8" w:space="0" w:color="BABABA"/>
              <w:right w:val="single" w:sz="8" w:space="0" w:color="BABABA"/>
            </w:tcBorders>
          </w:tcPr>
          <w:p w14:paraId="54B9B6F3" w14:textId="5F10537C" w:rsidR="0089156F" w:rsidRPr="00722521" w:rsidRDefault="00C97AE7" w:rsidP="0089156F">
            <w:pPr>
              <w:pStyle w:val="TableParagraph"/>
              <w:mirrorIndents/>
              <w:rPr>
                <w:b/>
                <w:szCs w:val="17"/>
              </w:rPr>
            </w:pPr>
            <w:r w:rsidRPr="00722521">
              <w:rPr>
                <w:b/>
                <w:szCs w:val="17"/>
              </w:rPr>
              <w:t>x</w:t>
            </w:r>
          </w:p>
        </w:tc>
        <w:tc>
          <w:tcPr>
            <w:tcW w:w="535" w:type="pct"/>
            <w:tcBorders>
              <w:top w:val="single" w:sz="8" w:space="0" w:color="BABABA"/>
              <w:left w:val="single" w:sz="8" w:space="0" w:color="BABABA"/>
              <w:bottom w:val="single" w:sz="8" w:space="0" w:color="BABABA"/>
              <w:right w:val="single" w:sz="8" w:space="0" w:color="BABABA"/>
            </w:tcBorders>
          </w:tcPr>
          <w:p w14:paraId="73AC693B" w14:textId="77777777" w:rsidR="0089156F" w:rsidRPr="00722521" w:rsidRDefault="0089156F" w:rsidP="0089156F">
            <w:pPr>
              <w:pStyle w:val="TableParagraph"/>
              <w:mirrorIndents/>
              <w:rPr>
                <w:b/>
                <w:szCs w:val="17"/>
              </w:rPr>
            </w:pPr>
          </w:p>
        </w:tc>
        <w:tc>
          <w:tcPr>
            <w:tcW w:w="559" w:type="pct"/>
            <w:tcBorders>
              <w:top w:val="single" w:sz="8" w:space="0" w:color="BABABA"/>
              <w:left w:val="single" w:sz="8" w:space="0" w:color="BABABA"/>
              <w:bottom w:val="single" w:sz="8" w:space="0" w:color="BABABA"/>
              <w:right w:val="single" w:sz="8" w:space="0" w:color="BABABA"/>
            </w:tcBorders>
          </w:tcPr>
          <w:p w14:paraId="384DFE49" w14:textId="77777777" w:rsidR="0089156F" w:rsidRPr="00722521" w:rsidRDefault="0089156F" w:rsidP="0089156F">
            <w:pPr>
              <w:pStyle w:val="TableParagraph"/>
              <w:mirrorIndents/>
              <w:rPr>
                <w:b/>
                <w:szCs w:val="17"/>
              </w:rPr>
            </w:pPr>
          </w:p>
        </w:tc>
      </w:tr>
      <w:tr w:rsidR="0089156F" w:rsidRPr="00722521" w14:paraId="1562524A" w14:textId="77777777" w:rsidTr="00C97577">
        <w:trPr>
          <w:trHeight w:hRule="exact" w:val="1417"/>
        </w:trPr>
        <w:tc>
          <w:tcPr>
            <w:tcW w:w="1720" w:type="pct"/>
            <w:tcBorders>
              <w:top w:val="single" w:sz="8" w:space="0" w:color="BABABA"/>
              <w:left w:val="single" w:sz="8" w:space="0" w:color="BABABA"/>
              <w:bottom w:val="single" w:sz="6" w:space="0" w:color="BABABA"/>
              <w:right w:val="single" w:sz="8" w:space="0" w:color="BABABA"/>
            </w:tcBorders>
          </w:tcPr>
          <w:p w14:paraId="15F93209" w14:textId="67425E31" w:rsidR="0089156F" w:rsidRPr="00722521" w:rsidRDefault="0089156F" w:rsidP="0089156F">
            <w:pPr>
              <w:pStyle w:val="TableParagraph"/>
              <w:mirrorIndents/>
              <w:rPr>
                <w:w w:val="105"/>
                <w:szCs w:val="17"/>
              </w:rPr>
            </w:pPr>
            <w:r w:rsidRPr="00722521">
              <w:rPr>
                <w:szCs w:val="17"/>
              </w:rPr>
              <w:t xml:space="preserve">The Management </w:t>
            </w:r>
            <w:proofErr w:type="gramStart"/>
            <w:r w:rsidRPr="00722521">
              <w:rPr>
                <w:szCs w:val="17"/>
              </w:rPr>
              <w:t>Board  is</w:t>
            </w:r>
            <w:proofErr w:type="gramEnd"/>
            <w:r w:rsidRPr="00722521">
              <w:rPr>
                <w:szCs w:val="17"/>
              </w:rPr>
              <w:t xml:space="preserve"> consulted   in order to maintain consistency with other  peer reviews reports and to ensure a level playing field.</w:t>
            </w:r>
          </w:p>
        </w:tc>
        <w:tc>
          <w:tcPr>
            <w:tcW w:w="544" w:type="pct"/>
            <w:gridSpan w:val="2"/>
            <w:tcBorders>
              <w:top w:val="single" w:sz="8" w:space="0" w:color="BABABA"/>
              <w:left w:val="single" w:sz="8" w:space="0" w:color="BABABA"/>
              <w:bottom w:val="single" w:sz="6" w:space="0" w:color="BABABA"/>
              <w:right w:val="single" w:sz="8" w:space="0" w:color="BABABA"/>
            </w:tcBorders>
          </w:tcPr>
          <w:p w14:paraId="1401376C" w14:textId="77777777" w:rsidR="0089156F" w:rsidRPr="00722521" w:rsidRDefault="0089156F" w:rsidP="0089156F">
            <w:pPr>
              <w:pStyle w:val="TableParagraph"/>
              <w:mirrorIndents/>
              <w:rPr>
                <w:b/>
                <w:szCs w:val="17"/>
              </w:rPr>
            </w:pPr>
          </w:p>
        </w:tc>
        <w:tc>
          <w:tcPr>
            <w:tcW w:w="594" w:type="pct"/>
            <w:tcBorders>
              <w:top w:val="single" w:sz="8" w:space="0" w:color="BABABA"/>
              <w:left w:val="single" w:sz="8" w:space="0" w:color="BABABA"/>
              <w:bottom w:val="single" w:sz="6" w:space="0" w:color="BABABA"/>
              <w:right w:val="single" w:sz="8" w:space="0" w:color="BABABA"/>
            </w:tcBorders>
          </w:tcPr>
          <w:p w14:paraId="0DB7EDE6" w14:textId="77777777" w:rsidR="0089156F" w:rsidRPr="00722521" w:rsidRDefault="0089156F" w:rsidP="0089156F">
            <w:pPr>
              <w:pStyle w:val="TableParagraph"/>
              <w:mirrorIndents/>
              <w:rPr>
                <w:b/>
                <w:szCs w:val="17"/>
              </w:rPr>
            </w:pPr>
          </w:p>
        </w:tc>
        <w:tc>
          <w:tcPr>
            <w:tcW w:w="512" w:type="pct"/>
            <w:tcBorders>
              <w:top w:val="single" w:sz="8" w:space="0" w:color="BABABA"/>
              <w:left w:val="single" w:sz="8" w:space="0" w:color="BABABA"/>
              <w:bottom w:val="single" w:sz="6" w:space="0" w:color="BABABA"/>
              <w:right w:val="single" w:sz="8" w:space="0" w:color="BABABA"/>
            </w:tcBorders>
          </w:tcPr>
          <w:p w14:paraId="642E44DA" w14:textId="7391AB75" w:rsidR="0089156F" w:rsidRPr="00722521" w:rsidRDefault="00C97AE7" w:rsidP="0089156F">
            <w:pPr>
              <w:pStyle w:val="TableParagraph"/>
              <w:mirrorIndents/>
              <w:rPr>
                <w:b/>
                <w:szCs w:val="17"/>
              </w:rPr>
            </w:pPr>
            <w:r w:rsidRPr="00722521">
              <w:rPr>
                <w:b/>
                <w:szCs w:val="17"/>
              </w:rPr>
              <w:t>x</w:t>
            </w:r>
          </w:p>
        </w:tc>
        <w:tc>
          <w:tcPr>
            <w:tcW w:w="535" w:type="pct"/>
            <w:tcBorders>
              <w:top w:val="single" w:sz="8" w:space="0" w:color="BABABA"/>
              <w:left w:val="single" w:sz="8" w:space="0" w:color="BABABA"/>
              <w:bottom w:val="single" w:sz="6" w:space="0" w:color="BABABA"/>
              <w:right w:val="single" w:sz="8" w:space="0" w:color="BABABA"/>
            </w:tcBorders>
          </w:tcPr>
          <w:p w14:paraId="5E145727" w14:textId="77777777" w:rsidR="0089156F" w:rsidRPr="00722521" w:rsidRDefault="0089156F" w:rsidP="0089156F">
            <w:pPr>
              <w:pStyle w:val="TableParagraph"/>
              <w:mirrorIndents/>
              <w:rPr>
                <w:b/>
                <w:szCs w:val="17"/>
              </w:rPr>
            </w:pPr>
          </w:p>
        </w:tc>
        <w:tc>
          <w:tcPr>
            <w:tcW w:w="535" w:type="pct"/>
            <w:tcBorders>
              <w:top w:val="single" w:sz="8" w:space="0" w:color="BABABA"/>
              <w:left w:val="single" w:sz="8" w:space="0" w:color="BABABA"/>
              <w:bottom w:val="single" w:sz="6" w:space="0" w:color="BABABA"/>
              <w:right w:val="single" w:sz="8" w:space="0" w:color="BABABA"/>
            </w:tcBorders>
          </w:tcPr>
          <w:p w14:paraId="4D606BF4" w14:textId="77777777" w:rsidR="0089156F" w:rsidRPr="00722521" w:rsidRDefault="0089156F" w:rsidP="0089156F">
            <w:pPr>
              <w:pStyle w:val="TableParagraph"/>
              <w:mirrorIndents/>
              <w:rPr>
                <w:b/>
                <w:szCs w:val="17"/>
              </w:rPr>
            </w:pPr>
          </w:p>
        </w:tc>
        <w:tc>
          <w:tcPr>
            <w:tcW w:w="559" w:type="pct"/>
            <w:tcBorders>
              <w:top w:val="single" w:sz="8" w:space="0" w:color="BABABA"/>
              <w:left w:val="single" w:sz="8" w:space="0" w:color="BABABA"/>
              <w:bottom w:val="single" w:sz="6" w:space="0" w:color="BABABA"/>
              <w:right w:val="single" w:sz="8" w:space="0" w:color="BABABA"/>
            </w:tcBorders>
          </w:tcPr>
          <w:p w14:paraId="071A41FE" w14:textId="77777777" w:rsidR="0089156F" w:rsidRPr="00722521" w:rsidRDefault="0089156F" w:rsidP="0089156F">
            <w:pPr>
              <w:pStyle w:val="TableParagraph"/>
              <w:mirrorIndents/>
              <w:rPr>
                <w:b/>
                <w:szCs w:val="17"/>
              </w:rPr>
            </w:pPr>
          </w:p>
        </w:tc>
      </w:tr>
    </w:tbl>
    <w:p w14:paraId="6A520992" w14:textId="70CB54EC" w:rsidR="003D111A" w:rsidRPr="00722521" w:rsidRDefault="00BA160A" w:rsidP="00A903E6">
      <w:pPr>
        <w:tabs>
          <w:tab w:val="left" w:pos="3445"/>
          <w:tab w:val="left" w:pos="4800"/>
          <w:tab w:val="left" w:pos="6155"/>
          <w:tab w:val="left" w:pos="7510"/>
          <w:tab w:val="left" w:pos="8866"/>
        </w:tabs>
        <w:mirrorIndents/>
        <w:rPr>
          <w:sz w:val="17"/>
          <w:szCs w:val="17"/>
        </w:rPr>
      </w:pPr>
      <w:r w:rsidRPr="00722521">
        <w:rPr>
          <w:rFonts w:eastAsia="Microsoft Sans Serif" w:cs="Microsoft Sans Serif"/>
          <w:noProof/>
          <w:sz w:val="17"/>
          <w:szCs w:val="17"/>
          <w:lang w:val="de-AT" w:eastAsia="de-AT"/>
        </w:rPr>
        <mc:AlternateContent>
          <mc:Choice Requires="wpg">
            <w:drawing>
              <wp:inline distT="0" distB="0" distL="0" distR="0" wp14:anchorId="0DC8F363" wp14:editId="7DE5A1FE">
                <wp:extent cx="13335" cy="3175"/>
                <wp:effectExtent l="0" t="0" r="5715" b="6350"/>
                <wp:docPr id="2790" name="Group 27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 cy="3175"/>
                          <a:chOff x="0" y="0"/>
                          <a:chExt cx="21" cy="5"/>
                        </a:xfrm>
                      </wpg:grpSpPr>
                      <wps:wsp>
                        <wps:cNvPr id="2791" name="Freeform 1799"/>
                        <wps:cNvSpPr>
                          <a:spLocks/>
                        </wps:cNvSpPr>
                        <wps:spPr bwMode="auto">
                          <a:xfrm>
                            <a:off x="16" y="0"/>
                            <a:ext cx="5" cy="5"/>
                          </a:xfrm>
                          <a:custGeom>
                            <a:avLst/>
                            <a:gdLst>
                              <a:gd name="T0" fmla="*/ 4 w 5"/>
                              <a:gd name="T1" fmla="*/ 0 h 5"/>
                              <a:gd name="T2" fmla="*/ 0 w 5"/>
                              <a:gd name="T3" fmla="*/ 0 h 5"/>
                              <a:gd name="T4" fmla="*/ 4 w 5"/>
                              <a:gd name="T5" fmla="*/ 5 h 5"/>
                              <a:gd name="T6" fmla="*/ 4 w 5"/>
                              <a:gd name="T7" fmla="*/ 0 h 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 h="5">
                                <a:moveTo>
                                  <a:pt x="4" y="0"/>
                                </a:moveTo>
                                <a:lnTo>
                                  <a:pt x="0" y="0"/>
                                </a:lnTo>
                                <a:lnTo>
                                  <a:pt x="4" y="5"/>
                                </a:lnTo>
                                <a:lnTo>
                                  <a:pt x="4" y="0"/>
                                </a:lnTo>
                                <a:close/>
                              </a:path>
                            </a:pathLst>
                          </a:custGeom>
                          <a:solidFill>
                            <a:srgbClr val="BABA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92" name="Freeform 1798"/>
                        <wps:cNvSpPr>
                          <a:spLocks/>
                        </wps:cNvSpPr>
                        <wps:spPr bwMode="auto">
                          <a:xfrm>
                            <a:off x="0" y="0"/>
                            <a:ext cx="5" cy="5"/>
                          </a:xfrm>
                          <a:custGeom>
                            <a:avLst/>
                            <a:gdLst>
                              <a:gd name="T0" fmla="*/ 5 w 5"/>
                              <a:gd name="T1" fmla="*/ 0 h 5"/>
                              <a:gd name="T2" fmla="*/ 0 w 5"/>
                              <a:gd name="T3" fmla="*/ 0 h 5"/>
                              <a:gd name="T4" fmla="*/ 0 w 5"/>
                              <a:gd name="T5" fmla="*/ 5 h 5"/>
                              <a:gd name="T6" fmla="*/ 5 w 5"/>
                              <a:gd name="T7" fmla="*/ 0 h 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 h="5">
                                <a:moveTo>
                                  <a:pt x="5" y="0"/>
                                </a:moveTo>
                                <a:lnTo>
                                  <a:pt x="0" y="0"/>
                                </a:lnTo>
                                <a:lnTo>
                                  <a:pt x="0" y="5"/>
                                </a:lnTo>
                                <a:lnTo>
                                  <a:pt x="5" y="0"/>
                                </a:lnTo>
                                <a:close/>
                              </a:path>
                            </a:pathLst>
                          </a:custGeom>
                          <a:solidFill>
                            <a:srgbClr val="BABA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E0EB641" id="Group 2790" o:spid="_x0000_s1026" style="width:1.05pt;height:.25pt;mso-position-horizontal-relative:char;mso-position-vertical-relative:line" coordsize="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">
                <v:shape id="Freeform 1799" o:spid="_x0000_s1027" style="position:absolute;left:16;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C828QA&#10;AADdAAAADwAAAGRycy9kb3ducmV2LnhtbESPQWvCQBSE7wX/w/IEb3WjBxujq4hWTI9Rwesz+0yi&#10;2bchuzXpv+8WCh6HmfmGWa57U4snta6yrGAyjkAQ51ZXXCg4n/bvMQjnkTXWlknBDzlYrwZvS0y0&#10;7Tij59EXIkDYJaig9L5JpHR5SQbd2DbEwbvZ1qAPsi2kbrELcFPLaRTNpMGKw0KJDW1Lyh/Hb6PA&#10;7Q77zG6uXRofsq847T8vd3dWajTsNwsQnnr/Cv+3U61g+jGfwN+b8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gvNvEAAAA3QAAAA8AAAAAAAAAAAAAAAAAmAIAAGRycy9k&#10;b3ducmV2LnhtbFBLBQYAAAAABAAEAPUAAACJAwAAAAA=&#10;" path="m4,l,,4,5,4,xe" fillcolor="#bababa" stroked="f">
                  <v:path arrowok="t" o:connecttype="custom" o:connectlocs="4,0;0,0;4,5;4,0" o:connectangles="0,0,0,0"/>
                </v:shape>
                <v:shape id="Freeform 1798" o:spid="_x0000_s1028" style="position:absolute;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IirMUA&#10;AADdAAAADwAAAGRycy9kb3ducmV2LnhtbESPQWvCQBSE7wX/w/IEb3VjDjZGVxGtmB5jBa/P7DOJ&#10;Zt+G7Nak/75bKPQ4zMw3zGozmEY8qXO1ZQWzaQSCuLC65lLB+fPwmoBwHlljY5kUfJODzXr0ssJU&#10;255zep58KQKEXYoKKu/bVEpXVGTQTW1LHLyb7Qz6ILtS6g77ADeNjKNoLg3WHBYqbGlXUfE4fRkF&#10;bn885HZ77bPkmH8k2fB+ubuzUpPxsF2C8DT4//BfO9MK4rdFDL9vwhO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siKsxQAAAN0AAAAPAAAAAAAAAAAAAAAAAJgCAABkcnMv&#10;ZG93bnJldi54bWxQSwUGAAAAAAQABAD1AAAAigMAAAAA&#10;" path="m5,l,,,5,5,xe" fillcolor="#bababa" stroked="f">
                  <v:path arrowok="t" o:connecttype="custom" o:connectlocs="5,0;0,0;0,5;5,0" o:connectangles="0,0,0,0"/>
                </v:shape>
                <w10:anchorlock/>
              </v:group>
            </w:pict>
          </mc:Fallback>
        </mc:AlternateContent>
      </w:r>
      <w:r w:rsidRPr="00722521">
        <w:rPr>
          <w:sz w:val="17"/>
          <w:szCs w:val="17"/>
        </w:rPr>
        <w:tab/>
      </w:r>
      <w:r w:rsidRPr="00722521">
        <w:rPr>
          <w:noProof/>
          <w:sz w:val="17"/>
          <w:szCs w:val="17"/>
          <w:lang w:val="de-AT" w:eastAsia="de-AT"/>
        </w:rPr>
        <mc:AlternateContent>
          <mc:Choice Requires="wpg">
            <w:drawing>
              <wp:inline distT="0" distB="0" distL="0" distR="0" wp14:anchorId="712DD562" wp14:editId="73B8C61F">
                <wp:extent cx="13335" cy="3175"/>
                <wp:effectExtent l="0" t="0" r="5715" b="6350"/>
                <wp:docPr id="2787" name="Group 27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 cy="3175"/>
                          <a:chOff x="0" y="0"/>
                          <a:chExt cx="21" cy="5"/>
                        </a:xfrm>
                      </wpg:grpSpPr>
                      <wps:wsp>
                        <wps:cNvPr id="2788" name="Freeform 1796"/>
                        <wps:cNvSpPr>
                          <a:spLocks/>
                        </wps:cNvSpPr>
                        <wps:spPr bwMode="auto">
                          <a:xfrm>
                            <a:off x="16" y="0"/>
                            <a:ext cx="5" cy="5"/>
                          </a:xfrm>
                          <a:custGeom>
                            <a:avLst/>
                            <a:gdLst>
                              <a:gd name="T0" fmla="*/ 4 w 5"/>
                              <a:gd name="T1" fmla="*/ 0 h 5"/>
                              <a:gd name="T2" fmla="*/ 0 w 5"/>
                              <a:gd name="T3" fmla="*/ 0 h 5"/>
                              <a:gd name="T4" fmla="*/ 4 w 5"/>
                              <a:gd name="T5" fmla="*/ 5 h 5"/>
                              <a:gd name="T6" fmla="*/ 4 w 5"/>
                              <a:gd name="T7" fmla="*/ 0 h 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 h="5">
                                <a:moveTo>
                                  <a:pt x="4" y="0"/>
                                </a:moveTo>
                                <a:lnTo>
                                  <a:pt x="0" y="0"/>
                                </a:lnTo>
                                <a:lnTo>
                                  <a:pt x="4" y="5"/>
                                </a:lnTo>
                                <a:lnTo>
                                  <a:pt x="4" y="0"/>
                                </a:lnTo>
                                <a:close/>
                              </a:path>
                            </a:pathLst>
                          </a:custGeom>
                          <a:solidFill>
                            <a:srgbClr val="BABA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9" name="Freeform 1795"/>
                        <wps:cNvSpPr>
                          <a:spLocks/>
                        </wps:cNvSpPr>
                        <wps:spPr bwMode="auto">
                          <a:xfrm>
                            <a:off x="0" y="0"/>
                            <a:ext cx="5" cy="5"/>
                          </a:xfrm>
                          <a:custGeom>
                            <a:avLst/>
                            <a:gdLst>
                              <a:gd name="T0" fmla="*/ 5 w 5"/>
                              <a:gd name="T1" fmla="*/ 0 h 5"/>
                              <a:gd name="T2" fmla="*/ 0 w 5"/>
                              <a:gd name="T3" fmla="*/ 0 h 5"/>
                              <a:gd name="T4" fmla="*/ 0 w 5"/>
                              <a:gd name="T5" fmla="*/ 5 h 5"/>
                              <a:gd name="T6" fmla="*/ 5 w 5"/>
                              <a:gd name="T7" fmla="*/ 0 h 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 h="5">
                                <a:moveTo>
                                  <a:pt x="5" y="0"/>
                                </a:moveTo>
                                <a:lnTo>
                                  <a:pt x="0" y="0"/>
                                </a:lnTo>
                                <a:lnTo>
                                  <a:pt x="0" y="5"/>
                                </a:lnTo>
                                <a:lnTo>
                                  <a:pt x="5" y="0"/>
                                </a:lnTo>
                                <a:close/>
                              </a:path>
                            </a:pathLst>
                          </a:custGeom>
                          <a:solidFill>
                            <a:srgbClr val="BABA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37546B2" id="Group 2787" o:spid="_x0000_s1026" style="width:1.05pt;height:.25pt;mso-position-horizontal-relative:char;mso-position-vertical-relative:line" coordsize="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">
                <v:shape id="Freeform 1796" o:spid="_x0000_s1027" style="position:absolute;left:16;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ODm8IA&#10;AADdAAAADwAAAGRycy9kb3ducmV2LnhtbERPPW+DMBDdI/U/WFepW2KaoUU0ThS1QdARitT1ii9A&#10;is8IO0D+fTxU6vj0vneHxfRiotF1lhU8byIQxLXVHTcKqq90HYNwHlljb5kU3MjBYf+w2mGi7cwF&#10;TaVvRAhhl6CC1vshkdLVLRl0GzsQB+5sR4M+wLGResQ5hJtebqPoRRrsODS0ONB7S/VveTUK3EeW&#10;Fvb4M+dxVnzG+XL6vrhKqafH5fgGwtPi/8V/7lwr2L7GYW54E56A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g4ObwgAAAN0AAAAPAAAAAAAAAAAAAAAAAJgCAABkcnMvZG93&#10;bnJldi54bWxQSwUGAAAAAAQABAD1AAAAhwMAAAAA&#10;" path="m4,l,,4,5,4,xe" fillcolor="#bababa" stroked="f">
                  <v:path arrowok="t" o:connecttype="custom" o:connectlocs="4,0;0,0;4,5;4,0" o:connectangles="0,0,0,0"/>
                </v:shape>
                <v:shape id="Freeform 1795" o:spid="_x0000_s1028" style="position:absolute;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8mAMUA&#10;AADdAAAADwAAAGRycy9kb3ducmV2LnhtbESPQWvCQBSE74X+h+UVvNVNPWga3QRpFdNjrNDrM/tM&#10;YrNvQ3Y18d93BaHHYWa+YVbZaFpxpd41lhW8TSMQxKXVDVcKDt/b1xiE88gaW8uk4EYOsvT5aYWJ&#10;tgMXdN37SgQIuwQV1N53iZSurMmgm9qOOHgn2xv0QfaV1D0OAW5aOYuiuTTYcFiosaOPmsrf/cUo&#10;cJ+7bWHXxyGPd8VXnI+bn7M7KDV5GddLEJ5G/x9+tHOtYLaI3+H+JjwBm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zyYAxQAAAN0AAAAPAAAAAAAAAAAAAAAAAJgCAABkcnMv&#10;ZG93bnJldi54bWxQSwUGAAAAAAQABAD1AAAAigMAAAAA&#10;" path="m5,l,,,5,5,xe" fillcolor="#bababa" stroked="f">
                  <v:path arrowok="t" o:connecttype="custom" o:connectlocs="5,0;0,0;0,5;5,0" o:connectangles="0,0,0,0"/>
                </v:shape>
                <w10:anchorlock/>
              </v:group>
            </w:pict>
          </mc:Fallback>
        </mc:AlternateContent>
      </w:r>
      <w:r w:rsidRPr="00722521">
        <w:rPr>
          <w:sz w:val="17"/>
          <w:szCs w:val="17"/>
        </w:rPr>
        <w:tab/>
      </w:r>
      <w:r w:rsidRPr="00722521">
        <w:rPr>
          <w:noProof/>
          <w:sz w:val="17"/>
          <w:szCs w:val="17"/>
          <w:lang w:val="de-AT" w:eastAsia="de-AT"/>
        </w:rPr>
        <mc:AlternateContent>
          <mc:Choice Requires="wpg">
            <w:drawing>
              <wp:inline distT="0" distB="0" distL="0" distR="0" wp14:anchorId="06600831" wp14:editId="60416EA3">
                <wp:extent cx="13335" cy="3175"/>
                <wp:effectExtent l="0" t="0" r="5715" b="6350"/>
                <wp:docPr id="2784" name="Group 27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 cy="3175"/>
                          <a:chOff x="0" y="0"/>
                          <a:chExt cx="21" cy="5"/>
                        </a:xfrm>
                      </wpg:grpSpPr>
                      <wps:wsp>
                        <wps:cNvPr id="2785" name="Freeform 1793"/>
                        <wps:cNvSpPr>
                          <a:spLocks/>
                        </wps:cNvSpPr>
                        <wps:spPr bwMode="auto">
                          <a:xfrm>
                            <a:off x="16" y="0"/>
                            <a:ext cx="5" cy="5"/>
                          </a:xfrm>
                          <a:custGeom>
                            <a:avLst/>
                            <a:gdLst>
                              <a:gd name="T0" fmla="*/ 4 w 5"/>
                              <a:gd name="T1" fmla="*/ 0 h 5"/>
                              <a:gd name="T2" fmla="*/ 0 w 5"/>
                              <a:gd name="T3" fmla="*/ 0 h 5"/>
                              <a:gd name="T4" fmla="*/ 4 w 5"/>
                              <a:gd name="T5" fmla="*/ 5 h 5"/>
                              <a:gd name="T6" fmla="*/ 4 w 5"/>
                              <a:gd name="T7" fmla="*/ 0 h 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 h="5">
                                <a:moveTo>
                                  <a:pt x="4" y="0"/>
                                </a:moveTo>
                                <a:lnTo>
                                  <a:pt x="0" y="0"/>
                                </a:lnTo>
                                <a:lnTo>
                                  <a:pt x="4" y="5"/>
                                </a:lnTo>
                                <a:lnTo>
                                  <a:pt x="4" y="0"/>
                                </a:lnTo>
                                <a:close/>
                              </a:path>
                            </a:pathLst>
                          </a:custGeom>
                          <a:solidFill>
                            <a:srgbClr val="BABA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6" name="Freeform 1792"/>
                        <wps:cNvSpPr>
                          <a:spLocks/>
                        </wps:cNvSpPr>
                        <wps:spPr bwMode="auto">
                          <a:xfrm>
                            <a:off x="0" y="0"/>
                            <a:ext cx="5" cy="5"/>
                          </a:xfrm>
                          <a:custGeom>
                            <a:avLst/>
                            <a:gdLst>
                              <a:gd name="T0" fmla="*/ 5 w 5"/>
                              <a:gd name="T1" fmla="*/ 0 h 5"/>
                              <a:gd name="T2" fmla="*/ 0 w 5"/>
                              <a:gd name="T3" fmla="*/ 0 h 5"/>
                              <a:gd name="T4" fmla="*/ 0 w 5"/>
                              <a:gd name="T5" fmla="*/ 5 h 5"/>
                              <a:gd name="T6" fmla="*/ 5 w 5"/>
                              <a:gd name="T7" fmla="*/ 0 h 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 h="5">
                                <a:moveTo>
                                  <a:pt x="5" y="0"/>
                                </a:moveTo>
                                <a:lnTo>
                                  <a:pt x="0" y="0"/>
                                </a:lnTo>
                                <a:lnTo>
                                  <a:pt x="0" y="5"/>
                                </a:lnTo>
                                <a:lnTo>
                                  <a:pt x="5" y="0"/>
                                </a:lnTo>
                                <a:close/>
                              </a:path>
                            </a:pathLst>
                          </a:custGeom>
                          <a:solidFill>
                            <a:srgbClr val="BABA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41A0726" id="Group 2784" o:spid="_x0000_s1026" style="width:1.05pt;height:.25pt;mso-position-horizontal-relative:char;mso-position-vertical-relative:line" coordsize="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">
                <v:shape id="Freeform 1793" o:spid="_x0000_s1027" style="position:absolute;left:16;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IsBcUA&#10;AADdAAAADwAAAGRycy9kb3ducmV2LnhtbESPQWvCQBSE74L/YXmF3nRToW2IboLYivEYFXp9zT6T&#10;aPZtyG5N+u+7QsHjMDPfMKtsNK24Ue8aywpe5hEI4tLqhisFp+N2FoNwHllja5kU/JKDLJ1OVpho&#10;O3BBt4OvRICwS1BB7X2XSOnKmgy6ue2Ig3e2vUEfZF9J3eMQ4KaViyh6kwYbDgs1drSpqbwefowC&#10;97HbFnb9PeTxrtjH+fj5dXEnpZ6fxvUShKfRP8L/7VwrWLzHr3B/E56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giwFxQAAAN0AAAAPAAAAAAAAAAAAAAAAAJgCAABkcnMv&#10;ZG93bnJldi54bWxQSwUGAAAAAAQABAD1AAAAigMAAAAA&#10;" path="m4,l,,4,5,4,xe" fillcolor="#bababa" stroked="f">
                  <v:path arrowok="t" o:connecttype="custom" o:connectlocs="4,0;0,0;4,5;4,0" o:connectangles="0,0,0,0"/>
                </v:shape>
                <v:shape id="Freeform 1792" o:spid="_x0000_s1028" style="position:absolute;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ycsUA&#10;AADdAAAADwAAAGRycy9kb3ducmV2LnhtbESPQWuDQBSE74H+h+UVekvW5mDFZBNCm6A9agO9vrgv&#10;auq+FXej9t93C4Ueh5n5htnuZ9OJkQbXWlbwvIpAEFdWt1wrOH+clgkI55E1dpZJwTc52O8eFltM&#10;tZ24oLH0tQgQdikqaLzvUyld1ZBBt7I9cfCudjDogxxqqQecAtx0ch1FsTTYclhosKfXhqqv8m4U&#10;uLfsVNjDZcqTrHhP8vn4eXNnpZ4e58MGhKfZ/4f/2rlWsH5JYvh9E56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ULJyxQAAAN0AAAAPAAAAAAAAAAAAAAAAAJgCAABkcnMv&#10;ZG93bnJldi54bWxQSwUGAAAAAAQABAD1AAAAigMAAAAA&#10;" path="m5,l,,,5,5,xe" fillcolor="#bababa" stroked="f">
                  <v:path arrowok="t" o:connecttype="custom" o:connectlocs="5,0;0,0;0,5;5,0" o:connectangles="0,0,0,0"/>
                </v:shape>
                <w10:anchorlock/>
              </v:group>
            </w:pict>
          </mc:Fallback>
        </mc:AlternateContent>
      </w:r>
      <w:r w:rsidRPr="00722521">
        <w:rPr>
          <w:sz w:val="17"/>
          <w:szCs w:val="17"/>
        </w:rPr>
        <w:tab/>
      </w:r>
      <w:r w:rsidRPr="00722521">
        <w:rPr>
          <w:noProof/>
          <w:sz w:val="17"/>
          <w:szCs w:val="17"/>
          <w:lang w:val="de-AT" w:eastAsia="de-AT"/>
        </w:rPr>
        <mc:AlternateContent>
          <mc:Choice Requires="wpg">
            <w:drawing>
              <wp:inline distT="0" distB="0" distL="0" distR="0" wp14:anchorId="2D26EF62" wp14:editId="199730BA">
                <wp:extent cx="13335" cy="3175"/>
                <wp:effectExtent l="0" t="0" r="5715" b="6350"/>
                <wp:docPr id="2781" name="Group 27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 cy="3175"/>
                          <a:chOff x="0" y="0"/>
                          <a:chExt cx="21" cy="5"/>
                        </a:xfrm>
                      </wpg:grpSpPr>
                      <wps:wsp>
                        <wps:cNvPr id="2782" name="Freeform 1790"/>
                        <wps:cNvSpPr>
                          <a:spLocks/>
                        </wps:cNvSpPr>
                        <wps:spPr bwMode="auto">
                          <a:xfrm>
                            <a:off x="16" y="0"/>
                            <a:ext cx="5" cy="5"/>
                          </a:xfrm>
                          <a:custGeom>
                            <a:avLst/>
                            <a:gdLst>
                              <a:gd name="T0" fmla="*/ 4 w 5"/>
                              <a:gd name="T1" fmla="*/ 0 h 5"/>
                              <a:gd name="T2" fmla="*/ 0 w 5"/>
                              <a:gd name="T3" fmla="*/ 0 h 5"/>
                              <a:gd name="T4" fmla="*/ 4 w 5"/>
                              <a:gd name="T5" fmla="*/ 5 h 5"/>
                              <a:gd name="T6" fmla="*/ 4 w 5"/>
                              <a:gd name="T7" fmla="*/ 0 h 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 h="5">
                                <a:moveTo>
                                  <a:pt x="4" y="0"/>
                                </a:moveTo>
                                <a:lnTo>
                                  <a:pt x="0" y="0"/>
                                </a:lnTo>
                                <a:lnTo>
                                  <a:pt x="4" y="5"/>
                                </a:lnTo>
                                <a:lnTo>
                                  <a:pt x="4" y="0"/>
                                </a:lnTo>
                                <a:close/>
                              </a:path>
                            </a:pathLst>
                          </a:custGeom>
                          <a:solidFill>
                            <a:srgbClr val="BABA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3" name="Freeform 1789"/>
                        <wps:cNvSpPr>
                          <a:spLocks/>
                        </wps:cNvSpPr>
                        <wps:spPr bwMode="auto">
                          <a:xfrm>
                            <a:off x="0" y="0"/>
                            <a:ext cx="5" cy="5"/>
                          </a:xfrm>
                          <a:custGeom>
                            <a:avLst/>
                            <a:gdLst>
                              <a:gd name="T0" fmla="*/ 5 w 5"/>
                              <a:gd name="T1" fmla="*/ 0 h 5"/>
                              <a:gd name="T2" fmla="*/ 0 w 5"/>
                              <a:gd name="T3" fmla="*/ 0 h 5"/>
                              <a:gd name="T4" fmla="*/ 0 w 5"/>
                              <a:gd name="T5" fmla="*/ 5 h 5"/>
                              <a:gd name="T6" fmla="*/ 5 w 5"/>
                              <a:gd name="T7" fmla="*/ 0 h 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 h="5">
                                <a:moveTo>
                                  <a:pt x="5" y="0"/>
                                </a:moveTo>
                                <a:lnTo>
                                  <a:pt x="0" y="0"/>
                                </a:lnTo>
                                <a:lnTo>
                                  <a:pt x="0" y="5"/>
                                </a:lnTo>
                                <a:lnTo>
                                  <a:pt x="5" y="0"/>
                                </a:lnTo>
                                <a:close/>
                              </a:path>
                            </a:pathLst>
                          </a:custGeom>
                          <a:solidFill>
                            <a:srgbClr val="BABA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90096E1" id="Group 2781" o:spid="_x0000_s1026" style="width:1.05pt;height:.25pt;mso-position-horizontal-relative:char;mso-position-vertical-relative:line" coordsize="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">
                <v:shape id="Freeform 1790" o:spid="_x0000_s1027" style="position:absolute;left:16;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u0ccUA&#10;AADdAAAADwAAAGRycy9kb3ducmV2LnhtbESPT2vCQBTE7wW/w/IEb3VjDjakriL+wXiMCr2+Zl+T&#10;aPZtyK4mfnu3UOhxmJnfMIvVYBrxoM7VlhXMphEI4sLqmksFl/P+PQHhPLLGxjIpeJKD1XL0tsBU&#10;255zepx8KQKEXYoKKu/bVEpXVGTQTW1LHLwf2xn0QXal1B32AW4aGUfRXBqsOSxU2NKmouJ2uhsF&#10;bnvY53b93WfJIT8m2bD7urqLUpPxsP4E4Wnw/+G/dqYVxB9JDL9vwhOQy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a7RxxQAAAN0AAAAPAAAAAAAAAAAAAAAAAJgCAABkcnMv&#10;ZG93bnJldi54bWxQSwUGAAAAAAQABAD1AAAAigMAAAAA&#10;" path="m4,l,,4,5,4,xe" fillcolor="#bababa" stroked="f">
                  <v:path arrowok="t" o:connecttype="custom" o:connectlocs="4,0;0,0;4,5;4,0" o:connectangles="0,0,0,0"/>
                </v:shape>
                <v:shape id="Freeform 1789" o:spid="_x0000_s1028" style="position:absolute;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cR6sUA&#10;AADdAAAADwAAAGRycy9kb3ducmV2LnhtbESPQWvCQBSE74L/YXmF3nRTC22IboLYivEYFXp9zT6T&#10;aPZtyG5N+u+7QsHjMDPfMKtsNK24Ue8aywpe5hEI4tLqhisFp+N2FoNwHllja5kU/JKDLJ1OVpho&#10;O3BBt4OvRICwS1BB7X2XSOnKmgy6ue2Ig3e2vUEfZF9J3eMQ4KaViyh6kwYbDgs1drSpqbwefowC&#10;97HbFnb9PeTxrtjH+fj5dXEnpZ6fxvUShKfRP8L/7VwrWLzHr3B/E56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HqxQAAAN0AAAAPAAAAAAAAAAAAAAAAAJgCAABkcnMv&#10;ZG93bnJldi54bWxQSwUGAAAAAAQABAD1AAAAigMAAAAA&#10;" path="m5,l,,,5,5,xe" fillcolor="#bababa" stroked="f">
                  <v:path arrowok="t" o:connecttype="custom" o:connectlocs="5,0;0,0;0,5;5,0" o:connectangles="0,0,0,0"/>
                </v:shape>
                <w10:anchorlock/>
              </v:group>
            </w:pict>
          </mc:Fallback>
        </mc:AlternateContent>
      </w:r>
      <w:r w:rsidRPr="00722521">
        <w:rPr>
          <w:sz w:val="17"/>
          <w:szCs w:val="17"/>
        </w:rPr>
        <w:tab/>
      </w:r>
      <w:r w:rsidRPr="00722521">
        <w:rPr>
          <w:noProof/>
          <w:sz w:val="17"/>
          <w:szCs w:val="17"/>
          <w:lang w:val="de-AT" w:eastAsia="de-AT"/>
        </w:rPr>
        <mc:AlternateContent>
          <mc:Choice Requires="wpg">
            <w:drawing>
              <wp:inline distT="0" distB="0" distL="0" distR="0" wp14:anchorId="49BA4331" wp14:editId="4564D463">
                <wp:extent cx="13335" cy="3175"/>
                <wp:effectExtent l="0" t="0" r="5715" b="6350"/>
                <wp:docPr id="2777" name="Group 27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 cy="3175"/>
                          <a:chOff x="0" y="0"/>
                          <a:chExt cx="21" cy="5"/>
                        </a:xfrm>
                      </wpg:grpSpPr>
                      <wps:wsp>
                        <wps:cNvPr id="2779" name="Freeform 1787"/>
                        <wps:cNvSpPr>
                          <a:spLocks/>
                        </wps:cNvSpPr>
                        <wps:spPr bwMode="auto">
                          <a:xfrm>
                            <a:off x="16" y="0"/>
                            <a:ext cx="5" cy="5"/>
                          </a:xfrm>
                          <a:custGeom>
                            <a:avLst/>
                            <a:gdLst>
                              <a:gd name="T0" fmla="*/ 4 w 5"/>
                              <a:gd name="T1" fmla="*/ 0 h 5"/>
                              <a:gd name="T2" fmla="*/ 0 w 5"/>
                              <a:gd name="T3" fmla="*/ 0 h 5"/>
                              <a:gd name="T4" fmla="*/ 4 w 5"/>
                              <a:gd name="T5" fmla="*/ 5 h 5"/>
                              <a:gd name="T6" fmla="*/ 4 w 5"/>
                              <a:gd name="T7" fmla="*/ 0 h 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 h="5">
                                <a:moveTo>
                                  <a:pt x="4" y="0"/>
                                </a:moveTo>
                                <a:lnTo>
                                  <a:pt x="0" y="0"/>
                                </a:lnTo>
                                <a:lnTo>
                                  <a:pt x="4" y="5"/>
                                </a:lnTo>
                                <a:lnTo>
                                  <a:pt x="4" y="0"/>
                                </a:lnTo>
                                <a:close/>
                              </a:path>
                            </a:pathLst>
                          </a:custGeom>
                          <a:solidFill>
                            <a:srgbClr val="BABA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0" name="Freeform 1786"/>
                        <wps:cNvSpPr>
                          <a:spLocks/>
                        </wps:cNvSpPr>
                        <wps:spPr bwMode="auto">
                          <a:xfrm>
                            <a:off x="0" y="0"/>
                            <a:ext cx="5" cy="5"/>
                          </a:xfrm>
                          <a:custGeom>
                            <a:avLst/>
                            <a:gdLst>
                              <a:gd name="T0" fmla="*/ 5 w 5"/>
                              <a:gd name="T1" fmla="*/ 0 h 5"/>
                              <a:gd name="T2" fmla="*/ 0 w 5"/>
                              <a:gd name="T3" fmla="*/ 0 h 5"/>
                              <a:gd name="T4" fmla="*/ 0 w 5"/>
                              <a:gd name="T5" fmla="*/ 5 h 5"/>
                              <a:gd name="T6" fmla="*/ 5 w 5"/>
                              <a:gd name="T7" fmla="*/ 0 h 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 h="5">
                                <a:moveTo>
                                  <a:pt x="5" y="0"/>
                                </a:moveTo>
                                <a:lnTo>
                                  <a:pt x="0" y="0"/>
                                </a:lnTo>
                                <a:lnTo>
                                  <a:pt x="0" y="5"/>
                                </a:lnTo>
                                <a:lnTo>
                                  <a:pt x="5" y="0"/>
                                </a:lnTo>
                                <a:close/>
                              </a:path>
                            </a:pathLst>
                          </a:custGeom>
                          <a:solidFill>
                            <a:srgbClr val="BABA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6869471" id="Group 2777" o:spid="_x0000_s1026" style="width:1.05pt;height:.25pt;mso-position-horizontal-relative:char;mso-position-vertical-relative:line" coordsize="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">
                <v:shape id="Freeform 1787" o:spid="_x0000_s1027" style="position:absolute;left:16;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WJ8UA&#10;AADdAAAADwAAAGRycy9kb3ducmV2LnhtbESPzW7CMBCE75V4B2uReisOHCAEDEL8iHAMIPW6jZck&#10;bbyOYkPSt8eVKnEczcw3muW6N7V4UOsqywrGowgEcW51xYWC6+XwEYNwHlljbZkU/JKD9WrwtsRE&#10;244zepx9IQKEXYIKSu+bREqXl2TQjWxDHLybbQ36INtC6ha7ADe1nETRVBqsOCyU2NC2pPznfDcK&#10;3O54yOzmq0vjY3aK037/+e2uSr0P+80ChKfev8L/7VQrmMxmc/h7E5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GlYnxQAAAN0AAAAPAAAAAAAAAAAAAAAAAJgCAABkcnMv&#10;ZG93bnJldi54bWxQSwUGAAAAAAQABAD1AAAAigMAAAAA&#10;" path="m4,l,,4,5,4,xe" fillcolor="#bababa" stroked="f">
                  <v:path arrowok="t" o:connecttype="custom" o:connectlocs="4,0;0,0;4,5;4,0" o:connectangles="0,0,0,0"/>
                </v:shape>
                <v:shape id="Freeform 1786" o:spid="_x0000_s1028" style="position:absolute;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WPncIA&#10;AADdAAAADwAAAGRycy9kb3ducmV2LnhtbERPPW+DMBDdI/U/WFepW2KaoUU0ThS1QdARitT1ii9A&#10;is8IO0D+fTxU6vj0vneHxfRiotF1lhU8byIQxLXVHTcKqq90HYNwHlljb5kU3MjBYf+w2mGi7cwF&#10;TaVvRAhhl6CC1vshkdLVLRl0GzsQB+5sR4M+wLGResQ5hJtebqPoRRrsODS0ONB7S/VveTUK3EeW&#10;Fvb4M+dxVnzG+XL6vrhKqafH5fgGwtPi/8V/7lwr2L7GYX94E56A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9Y+dwgAAAN0AAAAPAAAAAAAAAAAAAAAAAJgCAABkcnMvZG93&#10;bnJldi54bWxQSwUGAAAAAAQABAD1AAAAhwMAAAAA&#10;" path="m5,l,,,5,5,xe" fillcolor="#bababa" stroked="f">
                  <v:path arrowok="t" o:connecttype="custom" o:connectlocs="5,0;0,0;0,5;5,0" o:connectangles="0,0,0,0"/>
                </v:shape>
                <w10:anchorlock/>
              </v:group>
            </w:pict>
          </mc:Fallback>
        </mc:AlternateContent>
      </w:r>
      <w:r w:rsidRPr="00722521">
        <w:rPr>
          <w:sz w:val="17"/>
          <w:szCs w:val="17"/>
        </w:rPr>
        <w:tab/>
      </w:r>
    </w:p>
    <w:p w14:paraId="59FFF352" w14:textId="77777777" w:rsidR="003D111A" w:rsidRPr="00722521" w:rsidRDefault="003D111A" w:rsidP="003D111A">
      <w:pPr>
        <w:pStyle w:val="Textkrper"/>
        <w:ind w:left="0"/>
        <w:mirrorIndents/>
        <w:rPr>
          <w:rFonts w:ascii="Verdana" w:hAnsi="Verdana"/>
          <w:sz w:val="17"/>
          <w:szCs w:val="17"/>
        </w:rPr>
      </w:pPr>
      <w:r w:rsidRPr="00722521">
        <w:rPr>
          <w:rFonts w:ascii="Verdana" w:hAnsi="Verdana"/>
          <w:sz w:val="17"/>
          <w:szCs w:val="17"/>
          <w:highlight w:val="lightGray"/>
        </w:rPr>
        <w:t>Please explain your reasoning when answering question 1.3.2:</w:t>
      </w:r>
    </w:p>
    <w:p w14:paraId="1F887D6D" w14:textId="39FA22E8" w:rsidR="003D111A" w:rsidRPr="00722521" w:rsidRDefault="003D111A" w:rsidP="003D111A">
      <w:pPr>
        <w:pStyle w:val="Textkrper"/>
        <w:ind w:left="0"/>
        <w:mirrorIndents/>
        <w:rPr>
          <w:rFonts w:ascii="Verdana" w:hAnsi="Verdana"/>
          <w:sz w:val="17"/>
          <w:szCs w:val="17"/>
          <w:lang w:val="en-GB"/>
        </w:rPr>
      </w:pPr>
    </w:p>
    <w:p w14:paraId="38C39D80" w14:textId="62C9FC19" w:rsidR="009D4DC7" w:rsidRPr="00722521" w:rsidRDefault="009D4DC7" w:rsidP="009D4DC7">
      <w:pPr>
        <w:pStyle w:val="Textkrper"/>
        <w:ind w:left="0"/>
        <w:mirrorIndents/>
        <w:rPr>
          <w:rFonts w:ascii="Verdana" w:hAnsi="Verdana"/>
          <w:b w:val="0"/>
          <w:bCs w:val="0"/>
          <w:sz w:val="17"/>
          <w:szCs w:val="17"/>
        </w:rPr>
      </w:pPr>
      <w:r w:rsidRPr="00722521">
        <w:rPr>
          <w:rFonts w:ascii="Verdana" w:hAnsi="Verdana"/>
          <w:b w:val="0"/>
          <w:bCs w:val="0"/>
          <w:sz w:val="17"/>
          <w:szCs w:val="17"/>
        </w:rPr>
        <w:t xml:space="preserve">As stated in the answer to question 1.3.1, the new provisions and the increased degree of freedom for EIOPA had a positive impact on the quality of the peer reviews and the comparability of the contained information. Particularly, the adoption on a non-objection basis, the greater influence on and lead of the PRCs by EIOPA seem to have had an impact. In addition, </w:t>
      </w:r>
      <w:r w:rsidR="00722521">
        <w:rPr>
          <w:rFonts w:ascii="Verdana" w:hAnsi="Verdana"/>
          <w:b w:val="0"/>
          <w:bCs w:val="0"/>
          <w:sz w:val="17"/>
          <w:szCs w:val="17"/>
        </w:rPr>
        <w:t>VVO</w:t>
      </w:r>
      <w:r w:rsidRPr="00722521">
        <w:rPr>
          <w:rFonts w:ascii="Verdana" w:hAnsi="Verdana"/>
          <w:b w:val="0"/>
          <w:bCs w:val="0"/>
          <w:sz w:val="17"/>
          <w:szCs w:val="17"/>
        </w:rPr>
        <w:t xml:space="preserve"> considers the ability for EIOPA and N</w:t>
      </w:r>
      <w:r w:rsidR="007458D1" w:rsidRPr="00722521">
        <w:rPr>
          <w:rFonts w:ascii="Verdana" w:hAnsi="Verdana"/>
          <w:b w:val="0"/>
          <w:bCs w:val="0"/>
          <w:sz w:val="17"/>
          <w:szCs w:val="17"/>
        </w:rPr>
        <w:t>S</w:t>
      </w:r>
      <w:r w:rsidRPr="00722521">
        <w:rPr>
          <w:rFonts w:ascii="Verdana" w:hAnsi="Verdana"/>
          <w:b w:val="0"/>
          <w:bCs w:val="0"/>
          <w:sz w:val="17"/>
          <w:szCs w:val="17"/>
        </w:rPr>
        <w:t>As to consider dissenting views in the reports important. The necessity to ensure consent might have limited the provision of critical views and diverging opinions. Finally, the provision allowing EIOPA for conducting ad-hoc and follow-up peer reviews is</w:t>
      </w:r>
      <w:r w:rsidR="007458D1" w:rsidRPr="00722521">
        <w:rPr>
          <w:rFonts w:ascii="Verdana" w:hAnsi="Verdana"/>
          <w:b w:val="0"/>
          <w:bCs w:val="0"/>
          <w:sz w:val="17"/>
          <w:szCs w:val="17"/>
        </w:rPr>
        <w:t xml:space="preserve"> also</w:t>
      </w:r>
      <w:r w:rsidRPr="00722521">
        <w:rPr>
          <w:rFonts w:ascii="Verdana" w:hAnsi="Verdana"/>
          <w:b w:val="0"/>
          <w:bCs w:val="0"/>
          <w:sz w:val="17"/>
          <w:szCs w:val="17"/>
        </w:rPr>
        <w:t xml:space="preserve"> important. </w:t>
      </w:r>
      <w:r w:rsidR="007458D1" w:rsidRPr="00722521">
        <w:rPr>
          <w:rFonts w:ascii="Verdana" w:hAnsi="Verdana"/>
          <w:b w:val="0"/>
          <w:bCs w:val="0"/>
          <w:sz w:val="17"/>
          <w:szCs w:val="17"/>
        </w:rPr>
        <w:t>Altogether</w:t>
      </w:r>
      <w:r w:rsidRPr="00722521">
        <w:rPr>
          <w:rFonts w:ascii="Verdana" w:hAnsi="Verdana"/>
          <w:b w:val="0"/>
          <w:bCs w:val="0"/>
          <w:sz w:val="17"/>
          <w:szCs w:val="17"/>
        </w:rPr>
        <w:t xml:space="preserve">, the new tools improve the framework for supervisory peer reviews. </w:t>
      </w:r>
    </w:p>
    <w:p w14:paraId="437E0114" w14:textId="77777777" w:rsidR="009D4DC7" w:rsidRPr="00722521" w:rsidRDefault="009D4DC7" w:rsidP="009D4DC7">
      <w:pPr>
        <w:pStyle w:val="Textkrper"/>
        <w:ind w:left="0"/>
        <w:mirrorIndents/>
        <w:rPr>
          <w:rFonts w:ascii="Verdana" w:hAnsi="Verdana"/>
          <w:b w:val="0"/>
          <w:bCs w:val="0"/>
          <w:sz w:val="17"/>
          <w:szCs w:val="17"/>
        </w:rPr>
      </w:pPr>
    </w:p>
    <w:p w14:paraId="53FC4457" w14:textId="4C93CDC6" w:rsidR="009D4DC7" w:rsidRPr="00722521" w:rsidRDefault="009D4DC7" w:rsidP="009D4DC7">
      <w:pPr>
        <w:pStyle w:val="Textkrper"/>
        <w:ind w:left="0"/>
        <w:mirrorIndents/>
        <w:rPr>
          <w:rFonts w:ascii="Verdana" w:hAnsi="Verdana"/>
          <w:b w:val="0"/>
          <w:bCs w:val="0"/>
          <w:sz w:val="17"/>
          <w:szCs w:val="17"/>
        </w:rPr>
      </w:pPr>
      <w:r w:rsidRPr="00722521">
        <w:rPr>
          <w:rFonts w:ascii="Verdana" w:hAnsi="Verdana"/>
          <w:b w:val="0"/>
          <w:bCs w:val="0"/>
          <w:sz w:val="17"/>
          <w:szCs w:val="17"/>
        </w:rPr>
        <w:t xml:space="preserve">In order to ensure that peer revies improve the supervisory consistency and convergence, the newly implemented mandate for EIOPA to include recommendations and the mandatory follow-up after two years can play a significant role. </w:t>
      </w:r>
    </w:p>
    <w:p w14:paraId="11B4E2EB" w14:textId="77777777" w:rsidR="003D111A" w:rsidRPr="00722521" w:rsidRDefault="003D111A" w:rsidP="003D111A">
      <w:pPr>
        <w:pStyle w:val="Textkrper"/>
        <w:ind w:left="0"/>
        <w:mirrorIndents/>
        <w:rPr>
          <w:rFonts w:ascii="Verdana" w:hAnsi="Verdana"/>
          <w:sz w:val="17"/>
          <w:szCs w:val="17"/>
        </w:rPr>
      </w:pPr>
    </w:p>
    <w:p w14:paraId="26AF9BD6" w14:textId="77777777" w:rsidR="003D111A" w:rsidRPr="00722521" w:rsidRDefault="003D111A" w:rsidP="003D111A">
      <w:pPr>
        <w:pStyle w:val="Textkrper"/>
        <w:ind w:left="0"/>
        <w:mirrorIndents/>
        <w:rPr>
          <w:rFonts w:ascii="Verdana" w:hAnsi="Verdana"/>
          <w:sz w:val="17"/>
          <w:szCs w:val="17"/>
          <w:lang w:val="en-GB"/>
        </w:rPr>
      </w:pPr>
    </w:p>
    <w:p w14:paraId="422AAD3D" w14:textId="6371FACE" w:rsidR="003D111A" w:rsidRPr="00722521" w:rsidRDefault="003D111A" w:rsidP="003D111A">
      <w:pPr>
        <w:pStyle w:val="Textkrper"/>
        <w:ind w:left="0"/>
        <w:mirrorIndents/>
        <w:rPr>
          <w:rFonts w:ascii="Verdana" w:hAnsi="Verdana"/>
          <w:sz w:val="17"/>
          <w:szCs w:val="17"/>
        </w:rPr>
      </w:pPr>
      <w:r w:rsidRPr="00722521">
        <w:rPr>
          <w:rFonts w:ascii="Verdana" w:hAnsi="Verdana"/>
          <w:sz w:val="17"/>
          <w:szCs w:val="17"/>
          <w:highlight w:val="lightGray"/>
        </w:rPr>
        <w:t>Question 1.3.3 EIOPA: Do you think mandatory recurring peer reviews, covering also enforcement aspects, could be introduced in some sectoral legislation?</w:t>
      </w:r>
    </w:p>
    <w:p w14:paraId="15150684" w14:textId="77777777" w:rsidR="003D111A" w:rsidRPr="00722521" w:rsidRDefault="003D111A" w:rsidP="003D111A">
      <w:pPr>
        <w:pStyle w:val="CEABullet-Level1"/>
        <w:rPr>
          <w:color w:val="auto"/>
          <w:highlight w:val="lightGray"/>
        </w:rPr>
      </w:pPr>
      <w:r w:rsidRPr="00722521">
        <w:rPr>
          <w:color w:val="auto"/>
          <w:highlight w:val="lightGray"/>
        </w:rPr>
        <w:t xml:space="preserve">Yes </w:t>
      </w:r>
    </w:p>
    <w:p w14:paraId="7A44D08B" w14:textId="09C63CBE" w:rsidR="003D111A" w:rsidRPr="00722521" w:rsidRDefault="003D111A" w:rsidP="003D111A">
      <w:pPr>
        <w:pStyle w:val="CEABullet-Level1"/>
        <w:rPr>
          <w:color w:val="auto"/>
          <w:highlight w:val="lightGray"/>
        </w:rPr>
      </w:pPr>
      <w:r w:rsidRPr="00722521">
        <w:rPr>
          <w:color w:val="auto"/>
          <w:highlight w:val="lightGray"/>
        </w:rPr>
        <w:t>No</w:t>
      </w:r>
    </w:p>
    <w:p w14:paraId="3D015BC8" w14:textId="529DBA52" w:rsidR="003D111A" w:rsidRPr="00722521" w:rsidRDefault="003D111A" w:rsidP="003D111A">
      <w:pPr>
        <w:pStyle w:val="CEABullet-Level1"/>
        <w:rPr>
          <w:color w:val="auto"/>
          <w:highlight w:val="lightGray"/>
        </w:rPr>
      </w:pPr>
      <w:r w:rsidRPr="00722521">
        <w:rPr>
          <w:color w:val="auto"/>
          <w:highlight w:val="lightGray"/>
        </w:rPr>
        <w:t>Don’t know / no opinion / not relevant</w:t>
      </w:r>
    </w:p>
    <w:p w14:paraId="0801C152" w14:textId="7B121C75" w:rsidR="007458D1" w:rsidRPr="00722521" w:rsidRDefault="007458D1" w:rsidP="007458D1">
      <w:pPr>
        <w:pStyle w:val="CEABullet-Level1"/>
        <w:numPr>
          <w:ilvl w:val="0"/>
          <w:numId w:val="0"/>
        </w:numPr>
        <w:ind w:left="720" w:hanging="360"/>
        <w:rPr>
          <w:color w:val="auto"/>
        </w:rPr>
      </w:pPr>
    </w:p>
    <w:p w14:paraId="00DAAD12" w14:textId="7335E609" w:rsidR="007458D1" w:rsidRPr="00722521" w:rsidRDefault="007458D1" w:rsidP="00E40290">
      <w:pPr>
        <w:pStyle w:val="Textkrper"/>
        <w:ind w:left="0"/>
        <w:mirrorIndents/>
        <w:rPr>
          <w:rFonts w:ascii="Verdana" w:hAnsi="Verdana"/>
          <w:b w:val="0"/>
          <w:bCs w:val="0"/>
          <w:sz w:val="17"/>
          <w:szCs w:val="17"/>
        </w:rPr>
      </w:pPr>
      <w:r w:rsidRPr="00722521">
        <w:rPr>
          <w:rFonts w:ascii="Verdana" w:hAnsi="Verdana"/>
          <w:b w:val="0"/>
          <w:bCs w:val="0"/>
          <w:sz w:val="17"/>
          <w:szCs w:val="17"/>
        </w:rPr>
        <w:t>Yes</w:t>
      </w:r>
    </w:p>
    <w:p w14:paraId="782AE816" w14:textId="77777777" w:rsidR="003D111A" w:rsidRPr="00722521" w:rsidRDefault="003D111A" w:rsidP="003D111A">
      <w:pPr>
        <w:mirrorIndents/>
        <w:rPr>
          <w:sz w:val="17"/>
          <w:szCs w:val="17"/>
        </w:rPr>
      </w:pPr>
    </w:p>
    <w:p w14:paraId="21168B6E" w14:textId="77777777" w:rsidR="003D111A" w:rsidRPr="00722521" w:rsidRDefault="003D111A" w:rsidP="003D111A">
      <w:pPr>
        <w:pStyle w:val="Textkrper"/>
        <w:ind w:left="0"/>
        <w:mirrorIndents/>
        <w:rPr>
          <w:rFonts w:ascii="Verdana" w:hAnsi="Verdana"/>
          <w:sz w:val="17"/>
          <w:szCs w:val="17"/>
        </w:rPr>
      </w:pPr>
      <w:r w:rsidRPr="00722521">
        <w:rPr>
          <w:rFonts w:ascii="Verdana" w:hAnsi="Verdana"/>
          <w:sz w:val="17"/>
          <w:szCs w:val="17"/>
          <w:highlight w:val="lightGray"/>
        </w:rPr>
        <w:t>Please specify the piece of legislation and concrete provision under which mandatory peer reviews could be introduced for EIOPA:</w:t>
      </w:r>
    </w:p>
    <w:p w14:paraId="6BA6E224" w14:textId="77777777" w:rsidR="003D111A" w:rsidRPr="00722521" w:rsidRDefault="003D111A" w:rsidP="003D111A">
      <w:pPr>
        <w:pStyle w:val="Textkrper"/>
        <w:ind w:left="0"/>
        <w:mirrorIndents/>
        <w:rPr>
          <w:rFonts w:ascii="Verdana" w:hAnsi="Verdana"/>
          <w:b w:val="0"/>
          <w:bCs w:val="0"/>
          <w:sz w:val="17"/>
          <w:szCs w:val="17"/>
        </w:rPr>
      </w:pPr>
    </w:p>
    <w:p w14:paraId="784289A2" w14:textId="38D5011D" w:rsidR="00A860DB" w:rsidRPr="00722521" w:rsidRDefault="00A860DB" w:rsidP="003D111A">
      <w:pPr>
        <w:pStyle w:val="Textkrper"/>
        <w:ind w:left="0"/>
        <w:mirrorIndents/>
        <w:rPr>
          <w:rFonts w:ascii="Verdana" w:hAnsi="Verdana"/>
          <w:b w:val="0"/>
          <w:bCs w:val="0"/>
          <w:sz w:val="17"/>
          <w:szCs w:val="17"/>
        </w:rPr>
      </w:pPr>
      <w:r w:rsidRPr="00722521">
        <w:rPr>
          <w:rFonts w:ascii="Verdana" w:hAnsi="Verdana"/>
          <w:b w:val="0"/>
          <w:bCs w:val="0"/>
          <w:sz w:val="17"/>
          <w:szCs w:val="17"/>
        </w:rPr>
        <w:t>Peer reviews have proven to be valuable in fostering convergence of supervisory practices. While the industry welcomes the quality of recent peer review such as the December 2020 “</w:t>
      </w:r>
      <w:hyperlink r:id="rId11" w:history="1">
        <w:r w:rsidRPr="00722521">
          <w:rPr>
            <w:rStyle w:val="Hyperlink"/>
            <w:rFonts w:ascii="Verdana" w:hAnsi="Verdana"/>
            <w:b w:val="0"/>
            <w:bCs w:val="0"/>
            <w:color w:val="auto"/>
            <w:sz w:val="17"/>
            <w:szCs w:val="17"/>
          </w:rPr>
          <w:t>peer review on EIOPA’s Decision on the collaboration of the insurance supervisory authorities</w:t>
        </w:r>
      </w:hyperlink>
      <w:r w:rsidRPr="00722521">
        <w:rPr>
          <w:rFonts w:ascii="Verdana" w:hAnsi="Verdana"/>
          <w:b w:val="0"/>
          <w:bCs w:val="0"/>
          <w:sz w:val="17"/>
          <w:szCs w:val="17"/>
        </w:rPr>
        <w:t>”, the industry highlights that their follow-up is crucial to ensure their effectiveness.</w:t>
      </w:r>
    </w:p>
    <w:p w14:paraId="4D981982" w14:textId="77777777" w:rsidR="007458D1" w:rsidRPr="00722521" w:rsidRDefault="007458D1" w:rsidP="003D111A">
      <w:pPr>
        <w:pStyle w:val="Textkrper"/>
        <w:ind w:left="0"/>
        <w:mirrorIndents/>
        <w:rPr>
          <w:rFonts w:ascii="Verdana" w:hAnsi="Verdana"/>
          <w:b w:val="0"/>
          <w:bCs w:val="0"/>
          <w:sz w:val="17"/>
          <w:szCs w:val="17"/>
        </w:rPr>
      </w:pPr>
    </w:p>
    <w:p w14:paraId="332E6FB6" w14:textId="185BE958" w:rsidR="00D54B93" w:rsidRPr="00722521" w:rsidRDefault="00D54B93" w:rsidP="003D111A">
      <w:pPr>
        <w:pStyle w:val="Textkrper"/>
        <w:ind w:left="0"/>
        <w:mirrorIndents/>
        <w:rPr>
          <w:rFonts w:ascii="Verdana" w:hAnsi="Verdana"/>
          <w:b w:val="0"/>
          <w:bCs w:val="0"/>
          <w:sz w:val="17"/>
          <w:szCs w:val="17"/>
        </w:rPr>
      </w:pPr>
    </w:p>
    <w:p w14:paraId="2B4EB083" w14:textId="63F8B83D" w:rsidR="00D45691" w:rsidRPr="00722521" w:rsidRDefault="00D45691" w:rsidP="003D111A">
      <w:pPr>
        <w:pStyle w:val="Textkrper"/>
        <w:ind w:left="0"/>
        <w:mirrorIndents/>
        <w:rPr>
          <w:rFonts w:ascii="Verdana" w:hAnsi="Verdana"/>
          <w:b w:val="0"/>
          <w:bCs w:val="0"/>
          <w:sz w:val="17"/>
          <w:szCs w:val="17"/>
        </w:rPr>
      </w:pPr>
    </w:p>
    <w:p w14:paraId="3BCF2E7A" w14:textId="77777777" w:rsidR="00D45691" w:rsidRPr="00722521" w:rsidRDefault="00D45691" w:rsidP="003D111A">
      <w:pPr>
        <w:pStyle w:val="Textkrper"/>
        <w:ind w:left="0"/>
        <w:mirrorIndents/>
        <w:rPr>
          <w:rFonts w:ascii="Verdana" w:hAnsi="Verdana"/>
          <w:b w:val="0"/>
          <w:bCs w:val="0"/>
          <w:sz w:val="17"/>
          <w:szCs w:val="17"/>
        </w:rPr>
      </w:pPr>
    </w:p>
    <w:p w14:paraId="0B7B5A54" w14:textId="77777777" w:rsidR="007458D1" w:rsidRPr="00722521" w:rsidRDefault="007458D1" w:rsidP="003D111A">
      <w:pPr>
        <w:pStyle w:val="Textkrper"/>
        <w:ind w:left="0"/>
        <w:mirrorIndents/>
        <w:rPr>
          <w:rFonts w:ascii="Verdana" w:hAnsi="Verdana"/>
          <w:sz w:val="17"/>
          <w:szCs w:val="17"/>
        </w:rPr>
      </w:pPr>
    </w:p>
    <w:p w14:paraId="07BF5B7F" w14:textId="367EC589" w:rsidR="003D111A" w:rsidRPr="00722521" w:rsidRDefault="003D111A" w:rsidP="003D111A">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1.3.3 for EIOPA:</w:t>
      </w:r>
    </w:p>
    <w:p w14:paraId="6C593504" w14:textId="465C3F94" w:rsidR="003D111A" w:rsidRPr="00722521" w:rsidRDefault="003D111A" w:rsidP="003D111A">
      <w:pPr>
        <w:mirrorIndents/>
        <w:rPr>
          <w:sz w:val="17"/>
          <w:szCs w:val="17"/>
        </w:rPr>
      </w:pPr>
    </w:p>
    <w:p w14:paraId="5E90CAB7" w14:textId="10390870" w:rsidR="009D4DC7" w:rsidRPr="00722521" w:rsidRDefault="00E40290" w:rsidP="009D4DC7">
      <w:pPr>
        <w:mirrorIndents/>
        <w:rPr>
          <w:sz w:val="17"/>
          <w:szCs w:val="17"/>
        </w:rPr>
      </w:pPr>
      <w:r w:rsidRPr="00722521">
        <w:rPr>
          <w:sz w:val="17"/>
          <w:szCs w:val="17"/>
        </w:rPr>
        <w:t xml:space="preserve">When </w:t>
      </w:r>
      <w:r w:rsidR="009D4DC7" w:rsidRPr="00722521">
        <w:rPr>
          <w:sz w:val="17"/>
          <w:szCs w:val="17"/>
        </w:rPr>
        <w:t>EIOPA presents its multi-annual peer review work plan</w:t>
      </w:r>
      <w:r w:rsidRPr="00722521">
        <w:rPr>
          <w:sz w:val="17"/>
          <w:szCs w:val="17"/>
        </w:rPr>
        <w:t>, a</w:t>
      </w:r>
      <w:r w:rsidR="009D4DC7" w:rsidRPr="00722521">
        <w:rPr>
          <w:sz w:val="17"/>
          <w:szCs w:val="17"/>
        </w:rPr>
        <w:t xml:space="preserve">n empowerment for a limited number of members of the </w:t>
      </w:r>
      <w:proofErr w:type="spellStart"/>
      <w:r w:rsidR="009D4DC7" w:rsidRPr="00722521">
        <w:rPr>
          <w:sz w:val="17"/>
          <w:szCs w:val="17"/>
        </w:rPr>
        <w:t>BoS</w:t>
      </w:r>
      <w:proofErr w:type="spellEnd"/>
      <w:r w:rsidR="009D4DC7" w:rsidRPr="00722521">
        <w:rPr>
          <w:sz w:val="17"/>
          <w:szCs w:val="17"/>
        </w:rPr>
        <w:t xml:space="preserve"> to request EIOPA to conduct a peer review and a potential role for the IRSG/OPSG to suggest areas for peer reviews might </w:t>
      </w:r>
      <w:r w:rsidRPr="00722521">
        <w:rPr>
          <w:sz w:val="17"/>
          <w:szCs w:val="17"/>
        </w:rPr>
        <w:t>also be</w:t>
      </w:r>
      <w:r w:rsidR="009D4DC7" w:rsidRPr="00722521">
        <w:rPr>
          <w:sz w:val="17"/>
          <w:szCs w:val="17"/>
        </w:rPr>
        <w:t xml:space="preserve"> appropriate. </w:t>
      </w:r>
    </w:p>
    <w:p w14:paraId="73BDB5E1" w14:textId="77777777" w:rsidR="009D4DC7" w:rsidRPr="00722521" w:rsidRDefault="009D4DC7" w:rsidP="009D4DC7">
      <w:pPr>
        <w:mirrorIndents/>
        <w:rPr>
          <w:sz w:val="17"/>
          <w:szCs w:val="17"/>
        </w:rPr>
      </w:pPr>
    </w:p>
    <w:p w14:paraId="4FF76C0D" w14:textId="57AE0F69" w:rsidR="009D4DC7" w:rsidRPr="00722521" w:rsidRDefault="009D4DC7" w:rsidP="009D4DC7">
      <w:pPr>
        <w:mirrorIndents/>
        <w:rPr>
          <w:sz w:val="17"/>
          <w:szCs w:val="17"/>
        </w:rPr>
      </w:pPr>
      <w:r w:rsidRPr="00722521">
        <w:rPr>
          <w:sz w:val="17"/>
          <w:szCs w:val="17"/>
        </w:rPr>
        <w:t>A peer review report on the findings of the peer reviews conducted is very valuable and EIOPA already includes such information in its activity report.</w:t>
      </w:r>
    </w:p>
    <w:p w14:paraId="5BFFDE17" w14:textId="01F80395" w:rsidR="003D111A" w:rsidRPr="00722521" w:rsidRDefault="003D111A" w:rsidP="003D111A">
      <w:pPr>
        <w:mirrorIndents/>
        <w:rPr>
          <w:sz w:val="17"/>
          <w:szCs w:val="17"/>
        </w:rPr>
      </w:pPr>
    </w:p>
    <w:p w14:paraId="22AE1BD6" w14:textId="77777777" w:rsidR="003D111A" w:rsidRPr="00722521" w:rsidRDefault="003D111A" w:rsidP="003D111A">
      <w:pPr>
        <w:mirrorIndents/>
        <w:rPr>
          <w:sz w:val="17"/>
          <w:szCs w:val="17"/>
        </w:rPr>
      </w:pPr>
    </w:p>
    <w:p w14:paraId="3553BE55" w14:textId="1B1B75F4" w:rsidR="003D111A" w:rsidRPr="00722521" w:rsidRDefault="003D111A" w:rsidP="003D111A">
      <w:pPr>
        <w:pStyle w:val="Textkrper"/>
        <w:ind w:left="0"/>
        <w:mirrorIndents/>
        <w:rPr>
          <w:rFonts w:ascii="Verdana" w:hAnsi="Verdana"/>
          <w:sz w:val="17"/>
          <w:szCs w:val="17"/>
        </w:rPr>
      </w:pPr>
      <w:r w:rsidRPr="00722521">
        <w:rPr>
          <w:rFonts w:ascii="Verdana" w:hAnsi="Verdana"/>
          <w:sz w:val="17"/>
          <w:szCs w:val="17"/>
          <w:highlight w:val="lightGray"/>
        </w:rPr>
        <w:t>Question 1.3.4 Are there improvements that could be made to the peer review process?</w:t>
      </w:r>
    </w:p>
    <w:p w14:paraId="099ACCA0" w14:textId="7D1EA135" w:rsidR="003D111A" w:rsidRPr="00722521" w:rsidRDefault="003D111A" w:rsidP="003D111A">
      <w:pPr>
        <w:pStyle w:val="CEABullet-Level1"/>
        <w:rPr>
          <w:color w:val="auto"/>
          <w:highlight w:val="lightGray"/>
        </w:rPr>
      </w:pPr>
      <w:r w:rsidRPr="00722521">
        <w:rPr>
          <w:color w:val="auto"/>
          <w:highlight w:val="lightGray"/>
        </w:rPr>
        <w:t xml:space="preserve">Yes </w:t>
      </w:r>
    </w:p>
    <w:p w14:paraId="68B9A1A9" w14:textId="0C6E96C5" w:rsidR="003D111A" w:rsidRPr="00722521" w:rsidRDefault="003D111A" w:rsidP="003D111A">
      <w:pPr>
        <w:pStyle w:val="CEABullet-Level1"/>
        <w:rPr>
          <w:color w:val="auto"/>
          <w:highlight w:val="lightGray"/>
        </w:rPr>
      </w:pPr>
      <w:r w:rsidRPr="00722521">
        <w:rPr>
          <w:color w:val="auto"/>
          <w:highlight w:val="lightGray"/>
        </w:rPr>
        <w:t>No</w:t>
      </w:r>
    </w:p>
    <w:p w14:paraId="347BC7FB" w14:textId="60BE43FF" w:rsidR="003D111A" w:rsidRPr="00722521" w:rsidRDefault="003D111A" w:rsidP="003D111A">
      <w:pPr>
        <w:pStyle w:val="CEABullet-Level1"/>
        <w:rPr>
          <w:color w:val="auto"/>
          <w:highlight w:val="lightGray"/>
        </w:rPr>
      </w:pPr>
      <w:r w:rsidRPr="00722521">
        <w:rPr>
          <w:color w:val="auto"/>
          <w:highlight w:val="lightGray"/>
        </w:rPr>
        <w:t>Don’t know / no opinion / not relevant</w:t>
      </w:r>
    </w:p>
    <w:p w14:paraId="7E437AE1" w14:textId="4E1B9572" w:rsidR="00E40290" w:rsidRPr="00722521" w:rsidRDefault="00E40290" w:rsidP="00E40290">
      <w:pPr>
        <w:pStyle w:val="CEABullet-Level1"/>
        <w:numPr>
          <w:ilvl w:val="0"/>
          <w:numId w:val="0"/>
        </w:numPr>
        <w:ind w:left="720" w:hanging="360"/>
        <w:rPr>
          <w:color w:val="auto"/>
          <w:highlight w:val="lightGray"/>
        </w:rPr>
      </w:pPr>
    </w:p>
    <w:p w14:paraId="13410DA2" w14:textId="48A5ED6E" w:rsidR="00E40290" w:rsidRPr="00722521" w:rsidRDefault="00E40290" w:rsidP="00E40290">
      <w:pPr>
        <w:pStyle w:val="Textkrper"/>
        <w:ind w:left="0"/>
        <w:mirrorIndents/>
        <w:rPr>
          <w:rFonts w:ascii="Verdana" w:hAnsi="Verdana"/>
          <w:b w:val="0"/>
          <w:bCs w:val="0"/>
          <w:sz w:val="17"/>
          <w:szCs w:val="17"/>
        </w:rPr>
      </w:pPr>
      <w:r w:rsidRPr="00722521">
        <w:rPr>
          <w:rFonts w:ascii="Verdana" w:hAnsi="Verdana"/>
          <w:b w:val="0"/>
          <w:bCs w:val="0"/>
          <w:sz w:val="17"/>
          <w:szCs w:val="17"/>
        </w:rPr>
        <w:t>Yes</w:t>
      </w:r>
    </w:p>
    <w:p w14:paraId="0BB3BE21" w14:textId="77777777" w:rsidR="003D111A" w:rsidRPr="00722521" w:rsidRDefault="003D111A" w:rsidP="003D111A">
      <w:pPr>
        <w:mirrorIndents/>
        <w:rPr>
          <w:sz w:val="17"/>
          <w:szCs w:val="17"/>
        </w:rPr>
      </w:pPr>
    </w:p>
    <w:p w14:paraId="7C3A6068" w14:textId="31AF357B" w:rsidR="003D111A" w:rsidRPr="00722521" w:rsidRDefault="003D111A" w:rsidP="009D4DC7">
      <w:pPr>
        <w:pStyle w:val="Textkrper"/>
        <w:ind w:left="0"/>
        <w:mirrorIndents/>
        <w:rPr>
          <w:rFonts w:ascii="Verdana" w:hAnsi="Verdana"/>
          <w:sz w:val="17"/>
          <w:szCs w:val="17"/>
        </w:rPr>
      </w:pPr>
      <w:r w:rsidRPr="00722521">
        <w:rPr>
          <w:rFonts w:ascii="Verdana" w:hAnsi="Verdana"/>
          <w:sz w:val="17"/>
          <w:szCs w:val="17"/>
          <w:highlight w:val="lightGray"/>
        </w:rPr>
        <w:t>Please specify which improvements could be made to the peer review process:</w:t>
      </w:r>
    </w:p>
    <w:p w14:paraId="666B0051" w14:textId="64742A76" w:rsidR="003D111A" w:rsidRPr="00722521" w:rsidRDefault="003D111A" w:rsidP="003D111A">
      <w:pPr>
        <w:mirrorIndents/>
        <w:rPr>
          <w:sz w:val="17"/>
          <w:szCs w:val="17"/>
        </w:rPr>
      </w:pPr>
    </w:p>
    <w:p w14:paraId="578DDD23" w14:textId="490E4AF3" w:rsidR="00135CB3" w:rsidRPr="00722521" w:rsidRDefault="00135CB3" w:rsidP="003D111A">
      <w:pPr>
        <w:mirrorIndents/>
        <w:rPr>
          <w:sz w:val="17"/>
          <w:szCs w:val="17"/>
        </w:rPr>
      </w:pPr>
      <w:r w:rsidRPr="00722521">
        <w:rPr>
          <w:sz w:val="17"/>
          <w:szCs w:val="17"/>
        </w:rPr>
        <w:t>N/A</w:t>
      </w:r>
    </w:p>
    <w:p w14:paraId="168A3407" w14:textId="77777777" w:rsidR="003D111A" w:rsidRPr="00722521" w:rsidRDefault="003D111A" w:rsidP="003D111A">
      <w:pPr>
        <w:mirrorIndents/>
        <w:rPr>
          <w:sz w:val="17"/>
          <w:szCs w:val="17"/>
        </w:rPr>
      </w:pPr>
    </w:p>
    <w:p w14:paraId="5079E3BF" w14:textId="47A5E844" w:rsidR="003D111A" w:rsidRPr="00722521" w:rsidRDefault="003D111A" w:rsidP="009D4DC7">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1.3.4:</w:t>
      </w:r>
    </w:p>
    <w:p w14:paraId="6E13E691" w14:textId="543C4919" w:rsidR="00BA160A" w:rsidRPr="00722521" w:rsidRDefault="00BA160A" w:rsidP="00A903E6">
      <w:pPr>
        <w:mirrorIndents/>
        <w:rPr>
          <w:sz w:val="17"/>
          <w:szCs w:val="17"/>
        </w:rPr>
      </w:pPr>
    </w:p>
    <w:p w14:paraId="1287F47A" w14:textId="77777777" w:rsidR="009D4DC7" w:rsidRPr="00722521" w:rsidRDefault="009D4DC7" w:rsidP="009D4DC7">
      <w:pPr>
        <w:mirrorIndents/>
        <w:rPr>
          <w:sz w:val="17"/>
          <w:szCs w:val="17"/>
        </w:rPr>
      </w:pPr>
      <w:r w:rsidRPr="00722521">
        <w:rPr>
          <w:sz w:val="17"/>
          <w:szCs w:val="17"/>
        </w:rPr>
        <w:t>A potential role for the IRSG/OPSG to suggest areas for peer reviews might be a good addition or a potential feedback/input mechanism for the multi-annual per review programme might be beneficial.</w:t>
      </w:r>
    </w:p>
    <w:p w14:paraId="15BA45A5" w14:textId="77777777" w:rsidR="0059020D" w:rsidRPr="00722521" w:rsidRDefault="0059020D" w:rsidP="00A903E6">
      <w:pPr>
        <w:mirrorIndents/>
        <w:rPr>
          <w:sz w:val="17"/>
          <w:szCs w:val="17"/>
        </w:rPr>
      </w:pPr>
    </w:p>
    <w:p w14:paraId="0C8143F0" w14:textId="77777777" w:rsidR="00BA160A" w:rsidRPr="00722521" w:rsidRDefault="00BA160A" w:rsidP="003D111A">
      <w:pPr>
        <w:pStyle w:val="Listenabsatz"/>
        <w:numPr>
          <w:ilvl w:val="1"/>
          <w:numId w:val="6"/>
        </w:numPr>
        <w:tabs>
          <w:tab w:val="left" w:pos="566"/>
        </w:tabs>
        <w:ind w:left="57" w:hanging="450"/>
        <w:mirrorIndents/>
        <w:rPr>
          <w:rFonts w:ascii="Verdana" w:hAnsi="Verdana"/>
          <w:b/>
          <w:szCs w:val="17"/>
        </w:rPr>
      </w:pPr>
      <w:r w:rsidRPr="00722521">
        <w:rPr>
          <w:rFonts w:ascii="Verdana" w:hAnsi="Verdana"/>
          <w:b/>
          <w:szCs w:val="17"/>
        </w:rPr>
        <w:t>Other tasks and</w:t>
      </w:r>
      <w:r w:rsidRPr="00722521">
        <w:rPr>
          <w:rFonts w:ascii="Verdana" w:hAnsi="Verdana"/>
          <w:b/>
          <w:spacing w:val="-1"/>
          <w:szCs w:val="17"/>
        </w:rPr>
        <w:t xml:space="preserve"> </w:t>
      </w:r>
      <w:r w:rsidRPr="00722521">
        <w:rPr>
          <w:rFonts w:ascii="Verdana" w:hAnsi="Verdana"/>
          <w:b/>
          <w:szCs w:val="17"/>
        </w:rPr>
        <w:t>powers</w:t>
      </w:r>
    </w:p>
    <w:p w14:paraId="47B02C81" w14:textId="77777777" w:rsidR="00BA160A" w:rsidRPr="00722521" w:rsidRDefault="00BA160A" w:rsidP="003D111A">
      <w:pPr>
        <w:ind w:left="57"/>
        <w:mirrorIndents/>
        <w:rPr>
          <w:sz w:val="17"/>
          <w:szCs w:val="17"/>
        </w:rPr>
      </w:pPr>
    </w:p>
    <w:p w14:paraId="4CA81F50" w14:textId="2EFADC71" w:rsidR="00BA160A" w:rsidRPr="00722521" w:rsidRDefault="00BA160A" w:rsidP="003D111A">
      <w:pPr>
        <w:pStyle w:val="Textkrper"/>
        <w:ind w:left="57"/>
        <w:mirrorIndents/>
        <w:rPr>
          <w:rFonts w:ascii="Verdana" w:hAnsi="Verdana"/>
          <w:sz w:val="17"/>
          <w:szCs w:val="17"/>
        </w:rPr>
      </w:pPr>
      <w:r w:rsidRPr="00722521">
        <w:rPr>
          <w:rFonts w:ascii="Verdana" w:hAnsi="Verdana"/>
          <w:sz w:val="17"/>
          <w:szCs w:val="17"/>
          <w:highlight w:val="lightGray"/>
        </w:rPr>
        <w:t>Question 1.4.1 EIOPA: In your view, is the collection of information regime (Art 35 ESAs Regulations) effective?</w:t>
      </w:r>
    </w:p>
    <w:p w14:paraId="6D93B8D8" w14:textId="77777777" w:rsidR="00436CD5" w:rsidRPr="00722521" w:rsidRDefault="00BA160A" w:rsidP="00436CD5">
      <w:pPr>
        <w:pStyle w:val="CEABullet-Level1"/>
        <w:rPr>
          <w:color w:val="auto"/>
          <w:highlight w:val="lightGray"/>
        </w:rPr>
      </w:pPr>
      <w:r w:rsidRPr="00722521">
        <w:rPr>
          <w:color w:val="auto"/>
          <w:highlight w:val="lightGray"/>
        </w:rPr>
        <w:t xml:space="preserve">Yes </w:t>
      </w:r>
    </w:p>
    <w:p w14:paraId="68C620B8" w14:textId="4B8FFAC2" w:rsidR="00BA160A" w:rsidRPr="00722521" w:rsidRDefault="00BA160A" w:rsidP="00436CD5">
      <w:pPr>
        <w:pStyle w:val="CEABullet-Level1"/>
        <w:rPr>
          <w:color w:val="auto"/>
          <w:highlight w:val="lightGray"/>
        </w:rPr>
      </w:pPr>
      <w:r w:rsidRPr="00722521">
        <w:rPr>
          <w:color w:val="auto"/>
          <w:highlight w:val="lightGray"/>
        </w:rPr>
        <w:t>No</w:t>
      </w:r>
    </w:p>
    <w:p w14:paraId="13E218D3" w14:textId="154B1110" w:rsidR="00BA160A" w:rsidRPr="00722521" w:rsidRDefault="00BA160A" w:rsidP="00436CD5">
      <w:pPr>
        <w:pStyle w:val="CEABullet-Level1"/>
        <w:rPr>
          <w:color w:val="auto"/>
          <w:highlight w:val="lightGray"/>
        </w:rPr>
      </w:pPr>
      <w:r w:rsidRPr="00722521">
        <w:rPr>
          <w:color w:val="auto"/>
          <w:highlight w:val="lightGray"/>
        </w:rPr>
        <w:t>Don’t know / no opinion / not relevant</w:t>
      </w:r>
    </w:p>
    <w:p w14:paraId="7BDA5D37" w14:textId="20904919" w:rsidR="00E40290" w:rsidRPr="00722521" w:rsidRDefault="00E40290" w:rsidP="00E40290">
      <w:pPr>
        <w:pStyle w:val="CEABullet-Level1"/>
        <w:numPr>
          <w:ilvl w:val="0"/>
          <w:numId w:val="0"/>
        </w:numPr>
        <w:ind w:left="720" w:hanging="360"/>
        <w:rPr>
          <w:color w:val="auto"/>
        </w:rPr>
      </w:pPr>
    </w:p>
    <w:p w14:paraId="5A50FD1A" w14:textId="26A550B0" w:rsidR="00E40290" w:rsidRPr="00722521" w:rsidRDefault="00E40290" w:rsidP="00E40290">
      <w:pPr>
        <w:pStyle w:val="Textkrper"/>
        <w:ind w:left="0"/>
        <w:mirrorIndents/>
        <w:rPr>
          <w:rFonts w:ascii="Verdana" w:hAnsi="Verdana"/>
          <w:b w:val="0"/>
          <w:bCs w:val="0"/>
          <w:sz w:val="17"/>
          <w:szCs w:val="17"/>
        </w:rPr>
      </w:pPr>
      <w:r w:rsidRPr="00722521">
        <w:rPr>
          <w:rFonts w:ascii="Verdana" w:hAnsi="Verdana"/>
          <w:b w:val="0"/>
          <w:bCs w:val="0"/>
          <w:sz w:val="17"/>
          <w:szCs w:val="17"/>
        </w:rPr>
        <w:t>Yes</w:t>
      </w:r>
    </w:p>
    <w:p w14:paraId="63DF124B" w14:textId="77777777" w:rsidR="00BA160A" w:rsidRPr="00722521" w:rsidRDefault="00BA160A" w:rsidP="003D111A">
      <w:pPr>
        <w:ind w:left="57"/>
        <w:mirrorIndents/>
        <w:rPr>
          <w:sz w:val="17"/>
          <w:szCs w:val="17"/>
        </w:rPr>
      </w:pPr>
    </w:p>
    <w:p w14:paraId="7FCDB78F" w14:textId="77777777" w:rsidR="00BA160A" w:rsidRPr="00722521" w:rsidRDefault="00BA160A" w:rsidP="003D111A">
      <w:pPr>
        <w:pStyle w:val="Textkrper"/>
        <w:ind w:left="57"/>
        <w:mirrorIndents/>
        <w:rPr>
          <w:rFonts w:ascii="Verdana" w:hAnsi="Verdana"/>
          <w:sz w:val="17"/>
          <w:szCs w:val="17"/>
        </w:rPr>
      </w:pPr>
      <w:r w:rsidRPr="00722521">
        <w:rPr>
          <w:rFonts w:ascii="Verdana" w:hAnsi="Verdana"/>
          <w:sz w:val="17"/>
          <w:szCs w:val="17"/>
          <w:highlight w:val="lightGray"/>
        </w:rPr>
        <w:t>If you identify areas for improvement for EIOPA, please explain:</w:t>
      </w:r>
    </w:p>
    <w:p w14:paraId="25A04D9A" w14:textId="1C896DC3" w:rsidR="00BA160A" w:rsidRPr="00722521" w:rsidRDefault="00BA160A" w:rsidP="009D4DC7">
      <w:pPr>
        <w:mirrorIndents/>
        <w:rPr>
          <w:sz w:val="17"/>
          <w:szCs w:val="17"/>
        </w:rPr>
      </w:pPr>
    </w:p>
    <w:p w14:paraId="5F44A11D" w14:textId="1C618691" w:rsidR="00436CD5" w:rsidRPr="00722521" w:rsidRDefault="00135CB3" w:rsidP="003D111A">
      <w:pPr>
        <w:ind w:left="57"/>
        <w:mirrorIndents/>
        <w:rPr>
          <w:sz w:val="17"/>
          <w:szCs w:val="17"/>
        </w:rPr>
      </w:pPr>
      <w:r w:rsidRPr="00722521">
        <w:rPr>
          <w:sz w:val="17"/>
          <w:szCs w:val="17"/>
        </w:rPr>
        <w:t>N/A</w:t>
      </w:r>
    </w:p>
    <w:p w14:paraId="7EA0DAB8" w14:textId="38ED9678" w:rsidR="00436CD5" w:rsidRPr="00722521" w:rsidRDefault="00436CD5" w:rsidP="003D111A">
      <w:pPr>
        <w:ind w:left="57"/>
        <w:mirrorIndents/>
        <w:rPr>
          <w:sz w:val="17"/>
          <w:szCs w:val="17"/>
        </w:rPr>
      </w:pPr>
    </w:p>
    <w:p w14:paraId="11CDE224" w14:textId="7D2AEB45" w:rsidR="00BA160A" w:rsidRPr="00722521" w:rsidRDefault="00BA160A" w:rsidP="003D111A">
      <w:pPr>
        <w:ind w:left="57"/>
        <w:mirrorIndents/>
        <w:rPr>
          <w:b/>
          <w:sz w:val="17"/>
          <w:szCs w:val="17"/>
        </w:rPr>
      </w:pPr>
      <w:r w:rsidRPr="00722521">
        <w:rPr>
          <w:b/>
          <w:sz w:val="17"/>
          <w:szCs w:val="17"/>
          <w:highlight w:val="lightGray"/>
        </w:rPr>
        <w:t>Question 1.4.2 In the framework of the 2019 ESAs review, in you view, are the new Union strategic supervisory priorities an effective tool to ensure more focused convergence priorities and more coherent coordination (Article 29a ESAs Regulations)?</w:t>
      </w:r>
    </w:p>
    <w:p w14:paraId="1C8E45C8" w14:textId="77777777" w:rsidR="00436CD5" w:rsidRPr="00722521" w:rsidRDefault="00BA160A" w:rsidP="00436CD5">
      <w:pPr>
        <w:pStyle w:val="CEABullet-Level1"/>
        <w:rPr>
          <w:color w:val="auto"/>
          <w:highlight w:val="lightGray"/>
        </w:rPr>
      </w:pPr>
      <w:r w:rsidRPr="00722521">
        <w:rPr>
          <w:color w:val="auto"/>
          <w:highlight w:val="lightGray"/>
        </w:rPr>
        <w:t xml:space="preserve">Yes </w:t>
      </w:r>
    </w:p>
    <w:p w14:paraId="226946B6" w14:textId="1EC23C41" w:rsidR="00BA160A" w:rsidRPr="00722521" w:rsidRDefault="00BA160A" w:rsidP="00436CD5">
      <w:pPr>
        <w:pStyle w:val="CEABullet-Level1"/>
        <w:rPr>
          <w:color w:val="auto"/>
          <w:highlight w:val="lightGray"/>
        </w:rPr>
      </w:pPr>
      <w:r w:rsidRPr="00722521">
        <w:rPr>
          <w:color w:val="auto"/>
          <w:highlight w:val="lightGray"/>
        </w:rPr>
        <w:t>No</w:t>
      </w:r>
    </w:p>
    <w:p w14:paraId="3BCA8078" w14:textId="77777777" w:rsidR="00BA160A" w:rsidRPr="00722521" w:rsidRDefault="00BA160A" w:rsidP="00436CD5">
      <w:pPr>
        <w:pStyle w:val="CEABullet-Level1"/>
        <w:rPr>
          <w:color w:val="auto"/>
          <w:highlight w:val="lightGray"/>
        </w:rPr>
      </w:pPr>
      <w:r w:rsidRPr="00722521">
        <w:rPr>
          <w:color w:val="auto"/>
          <w:highlight w:val="lightGray"/>
        </w:rPr>
        <w:t>Don’t know / no opinion / not relevant</w:t>
      </w:r>
    </w:p>
    <w:p w14:paraId="62AF58F4" w14:textId="63F771CF" w:rsidR="00BA160A" w:rsidRPr="00722521" w:rsidRDefault="00BA160A" w:rsidP="003D111A">
      <w:pPr>
        <w:ind w:left="57"/>
        <w:mirrorIndents/>
        <w:rPr>
          <w:sz w:val="17"/>
          <w:szCs w:val="17"/>
        </w:rPr>
      </w:pPr>
    </w:p>
    <w:p w14:paraId="26D60212" w14:textId="50961BF1" w:rsidR="00E40290" w:rsidRPr="00722521" w:rsidRDefault="00E40290" w:rsidP="003D111A">
      <w:pPr>
        <w:ind w:left="57"/>
        <w:mirrorIndents/>
        <w:rPr>
          <w:sz w:val="17"/>
          <w:szCs w:val="17"/>
        </w:rPr>
      </w:pPr>
      <w:r w:rsidRPr="00722521">
        <w:rPr>
          <w:sz w:val="17"/>
          <w:szCs w:val="17"/>
        </w:rPr>
        <w:t>Yes</w:t>
      </w:r>
    </w:p>
    <w:p w14:paraId="29BAD394" w14:textId="77777777" w:rsidR="00E40290" w:rsidRPr="00722521" w:rsidRDefault="00E40290" w:rsidP="003D111A">
      <w:pPr>
        <w:ind w:left="57"/>
        <w:mirrorIndents/>
        <w:rPr>
          <w:sz w:val="17"/>
          <w:szCs w:val="17"/>
        </w:rPr>
      </w:pPr>
    </w:p>
    <w:p w14:paraId="7BF46EEA" w14:textId="77777777" w:rsidR="00BA160A" w:rsidRPr="00722521" w:rsidRDefault="00BA160A" w:rsidP="003D111A">
      <w:pPr>
        <w:pStyle w:val="Textkrper"/>
        <w:ind w:left="57"/>
        <w:mirrorIndents/>
        <w:rPr>
          <w:rFonts w:ascii="Verdana" w:hAnsi="Verdana"/>
          <w:sz w:val="17"/>
          <w:szCs w:val="17"/>
        </w:rPr>
      </w:pPr>
      <w:r w:rsidRPr="00722521">
        <w:rPr>
          <w:rFonts w:ascii="Verdana" w:hAnsi="Verdana"/>
          <w:sz w:val="17"/>
          <w:szCs w:val="17"/>
        </w:rPr>
        <w:t>If you identify any areas for improvement, please explain:</w:t>
      </w:r>
    </w:p>
    <w:p w14:paraId="41C041BD" w14:textId="28454B0A" w:rsidR="00BA160A" w:rsidRPr="00722521" w:rsidRDefault="00BA160A" w:rsidP="009D4DC7">
      <w:pPr>
        <w:mirrorIndents/>
        <w:rPr>
          <w:sz w:val="17"/>
          <w:szCs w:val="17"/>
        </w:rPr>
      </w:pPr>
    </w:p>
    <w:p w14:paraId="708E2DE5" w14:textId="1DD13C39" w:rsidR="009D4DC7" w:rsidRPr="00722521" w:rsidRDefault="00722521" w:rsidP="009D4DC7">
      <w:pPr>
        <w:ind w:left="57"/>
        <w:mirrorIndents/>
        <w:rPr>
          <w:sz w:val="17"/>
          <w:szCs w:val="17"/>
        </w:rPr>
      </w:pPr>
      <w:r>
        <w:rPr>
          <w:sz w:val="17"/>
          <w:szCs w:val="17"/>
        </w:rPr>
        <w:t>VVO</w:t>
      </w:r>
      <w:r w:rsidR="009D4DC7" w:rsidRPr="00722521">
        <w:rPr>
          <w:sz w:val="17"/>
          <w:szCs w:val="17"/>
        </w:rPr>
        <w:t xml:space="preserve"> reiterates its position expressed during the 2019 ESA</w:t>
      </w:r>
      <w:r w:rsidR="00E40290" w:rsidRPr="00722521">
        <w:rPr>
          <w:sz w:val="17"/>
          <w:szCs w:val="17"/>
        </w:rPr>
        <w:t>s r</w:t>
      </w:r>
      <w:r w:rsidR="009D4DC7" w:rsidRPr="00722521">
        <w:rPr>
          <w:sz w:val="17"/>
          <w:szCs w:val="17"/>
        </w:rPr>
        <w:t xml:space="preserve">eview, that common supervisory priorities can be an important driver for supervisory convergence. </w:t>
      </w:r>
    </w:p>
    <w:p w14:paraId="1983A467" w14:textId="77777777" w:rsidR="009D4DC7" w:rsidRPr="00722521" w:rsidRDefault="009D4DC7" w:rsidP="009D4DC7">
      <w:pPr>
        <w:ind w:left="57"/>
        <w:mirrorIndents/>
        <w:rPr>
          <w:sz w:val="17"/>
          <w:szCs w:val="17"/>
        </w:rPr>
      </w:pPr>
    </w:p>
    <w:p w14:paraId="6A46C0C8" w14:textId="77777777" w:rsidR="009D4DC7" w:rsidRPr="00722521" w:rsidRDefault="009D4DC7" w:rsidP="009D4DC7">
      <w:pPr>
        <w:ind w:left="57"/>
        <w:mirrorIndents/>
        <w:rPr>
          <w:sz w:val="17"/>
          <w:szCs w:val="17"/>
        </w:rPr>
      </w:pPr>
      <w:r w:rsidRPr="00722521">
        <w:rPr>
          <w:sz w:val="17"/>
          <w:szCs w:val="17"/>
        </w:rPr>
        <w:t>It will be important that supervisory priorities are sufficiently defined in order to ensure a common approach. The priorities as presented by EIOPA, might fall short in this respect. However, further, underlying coordinative measures might not have been made public.</w:t>
      </w:r>
    </w:p>
    <w:p w14:paraId="375EAFCB" w14:textId="77777777" w:rsidR="009D4DC7" w:rsidRPr="00722521" w:rsidRDefault="009D4DC7" w:rsidP="009D4DC7">
      <w:pPr>
        <w:ind w:left="57"/>
        <w:mirrorIndents/>
        <w:rPr>
          <w:sz w:val="17"/>
          <w:szCs w:val="17"/>
        </w:rPr>
      </w:pPr>
    </w:p>
    <w:p w14:paraId="468AD13E" w14:textId="47A0F7C2" w:rsidR="009D4DC7" w:rsidRPr="00722521" w:rsidRDefault="009D4DC7" w:rsidP="009D4DC7">
      <w:pPr>
        <w:ind w:left="57"/>
        <w:mirrorIndents/>
        <w:rPr>
          <w:sz w:val="17"/>
          <w:szCs w:val="17"/>
        </w:rPr>
      </w:pPr>
      <w:r w:rsidRPr="00722521">
        <w:rPr>
          <w:sz w:val="17"/>
          <w:szCs w:val="17"/>
        </w:rPr>
        <w:t>In general, the EU-wide priorities (as the general supervisory activity) will have to adhere to the regulatory mandate given to EIOPA and the N</w:t>
      </w:r>
      <w:r w:rsidR="00E40290" w:rsidRPr="00722521">
        <w:rPr>
          <w:sz w:val="17"/>
          <w:szCs w:val="17"/>
        </w:rPr>
        <w:t>S</w:t>
      </w:r>
      <w:r w:rsidRPr="00722521">
        <w:rPr>
          <w:sz w:val="17"/>
          <w:szCs w:val="17"/>
        </w:rPr>
        <w:t>As and should focus on its common and consistent application.</w:t>
      </w:r>
    </w:p>
    <w:p w14:paraId="055C9867" w14:textId="77777777" w:rsidR="00436CD5" w:rsidRPr="00722521" w:rsidRDefault="00436CD5" w:rsidP="003D111A">
      <w:pPr>
        <w:ind w:left="57"/>
        <w:mirrorIndents/>
        <w:rPr>
          <w:sz w:val="17"/>
          <w:szCs w:val="17"/>
        </w:rPr>
      </w:pPr>
    </w:p>
    <w:p w14:paraId="07A6B952" w14:textId="77777777" w:rsidR="00BA160A" w:rsidRPr="00722521" w:rsidRDefault="00BA160A" w:rsidP="003D111A">
      <w:pPr>
        <w:ind w:left="57"/>
        <w:mirrorIndents/>
        <w:rPr>
          <w:sz w:val="17"/>
          <w:szCs w:val="17"/>
        </w:rPr>
      </w:pPr>
    </w:p>
    <w:p w14:paraId="2220211C" w14:textId="1ECEDF94" w:rsidR="00BA160A" w:rsidRPr="00722521" w:rsidRDefault="00BA160A" w:rsidP="003D111A">
      <w:pPr>
        <w:pStyle w:val="Textkrper"/>
        <w:ind w:left="57"/>
        <w:mirrorIndents/>
        <w:rPr>
          <w:rFonts w:ascii="Verdana" w:hAnsi="Verdana"/>
          <w:sz w:val="17"/>
          <w:szCs w:val="17"/>
        </w:rPr>
      </w:pPr>
      <w:r w:rsidRPr="00722521">
        <w:rPr>
          <w:rFonts w:ascii="Verdana" w:hAnsi="Verdana"/>
          <w:sz w:val="17"/>
          <w:szCs w:val="17"/>
          <w:highlight w:val="lightGray"/>
        </w:rPr>
        <w:t>Question 1.4.3 EIOPA: Do you think there is the need to amend or add a tool to the toolkit of the ESAs for achieving supervisory convergence?</w:t>
      </w:r>
    </w:p>
    <w:p w14:paraId="5D34F60D" w14:textId="77777777" w:rsidR="00436CD5" w:rsidRPr="00722521" w:rsidRDefault="00BA160A" w:rsidP="00436CD5">
      <w:pPr>
        <w:pStyle w:val="CEABullet-Level1"/>
        <w:rPr>
          <w:color w:val="auto"/>
          <w:highlight w:val="lightGray"/>
        </w:rPr>
      </w:pPr>
      <w:r w:rsidRPr="00722521">
        <w:rPr>
          <w:color w:val="auto"/>
          <w:highlight w:val="lightGray"/>
        </w:rPr>
        <w:t xml:space="preserve">Yes </w:t>
      </w:r>
    </w:p>
    <w:p w14:paraId="45A2E9FE" w14:textId="74CC5064" w:rsidR="00BA160A" w:rsidRPr="00722521" w:rsidRDefault="00BA160A" w:rsidP="00436CD5">
      <w:pPr>
        <w:pStyle w:val="CEABullet-Level1"/>
        <w:rPr>
          <w:color w:val="auto"/>
          <w:highlight w:val="lightGray"/>
        </w:rPr>
      </w:pPr>
      <w:r w:rsidRPr="00722521">
        <w:rPr>
          <w:color w:val="auto"/>
          <w:highlight w:val="lightGray"/>
        </w:rPr>
        <w:t>No</w:t>
      </w:r>
    </w:p>
    <w:p w14:paraId="15F77F4E" w14:textId="77777777" w:rsidR="00BA160A" w:rsidRPr="00722521" w:rsidRDefault="00BA160A" w:rsidP="00436CD5">
      <w:pPr>
        <w:pStyle w:val="CEABullet-Level1"/>
        <w:rPr>
          <w:color w:val="auto"/>
          <w:highlight w:val="lightGray"/>
        </w:rPr>
      </w:pPr>
      <w:r w:rsidRPr="00722521">
        <w:rPr>
          <w:color w:val="auto"/>
          <w:highlight w:val="lightGray"/>
        </w:rPr>
        <w:t>Don’t know / no opinion / not relevant</w:t>
      </w:r>
    </w:p>
    <w:p w14:paraId="52DB987E" w14:textId="23CBDC48" w:rsidR="00BA160A" w:rsidRPr="00722521" w:rsidRDefault="00BA160A" w:rsidP="003D111A">
      <w:pPr>
        <w:ind w:left="57"/>
        <w:mirrorIndents/>
        <w:rPr>
          <w:sz w:val="17"/>
          <w:szCs w:val="17"/>
        </w:rPr>
      </w:pPr>
    </w:p>
    <w:p w14:paraId="5ECE86A1" w14:textId="54015BCE" w:rsidR="00E40290" w:rsidRPr="00722521" w:rsidRDefault="001C2ADD" w:rsidP="003D111A">
      <w:pPr>
        <w:ind w:left="57"/>
        <w:mirrorIndents/>
        <w:rPr>
          <w:sz w:val="17"/>
          <w:szCs w:val="17"/>
        </w:rPr>
      </w:pPr>
      <w:r w:rsidRPr="00722521">
        <w:rPr>
          <w:sz w:val="17"/>
          <w:szCs w:val="17"/>
        </w:rPr>
        <w:t>No</w:t>
      </w:r>
    </w:p>
    <w:p w14:paraId="125C34C4" w14:textId="77777777" w:rsidR="00E40290" w:rsidRPr="00722521" w:rsidRDefault="00E40290" w:rsidP="003D111A">
      <w:pPr>
        <w:ind w:left="57"/>
        <w:mirrorIndents/>
        <w:rPr>
          <w:sz w:val="17"/>
          <w:szCs w:val="17"/>
        </w:rPr>
      </w:pPr>
    </w:p>
    <w:p w14:paraId="4D760CB7" w14:textId="77777777" w:rsidR="00BA160A" w:rsidRPr="00722521" w:rsidRDefault="00BA160A" w:rsidP="003D111A">
      <w:pPr>
        <w:pStyle w:val="Textkrper"/>
        <w:ind w:left="57"/>
        <w:mirrorIndents/>
        <w:rPr>
          <w:rFonts w:ascii="Verdana" w:hAnsi="Verdana"/>
          <w:sz w:val="17"/>
          <w:szCs w:val="17"/>
        </w:rPr>
      </w:pPr>
      <w:r w:rsidRPr="00722521">
        <w:rPr>
          <w:rFonts w:ascii="Verdana" w:hAnsi="Verdana"/>
          <w:sz w:val="17"/>
          <w:szCs w:val="17"/>
          <w:highlight w:val="lightGray"/>
        </w:rPr>
        <w:t>If you think there is the need to amend or add a tool to the toolkit of EIOPA, please specify which one(s):</w:t>
      </w:r>
    </w:p>
    <w:p w14:paraId="64928596" w14:textId="77777777" w:rsidR="009D4DC7" w:rsidRPr="00722521" w:rsidRDefault="009D4DC7" w:rsidP="009D4DC7">
      <w:pPr>
        <w:ind w:left="57"/>
        <w:mirrorIndents/>
        <w:rPr>
          <w:sz w:val="17"/>
          <w:szCs w:val="17"/>
        </w:rPr>
      </w:pPr>
    </w:p>
    <w:p w14:paraId="469B7893" w14:textId="77777777" w:rsidR="00D54B93" w:rsidRPr="00722521" w:rsidRDefault="009D4DC7" w:rsidP="009D4DC7">
      <w:pPr>
        <w:ind w:left="57"/>
        <w:mirrorIndents/>
        <w:rPr>
          <w:sz w:val="17"/>
          <w:szCs w:val="17"/>
        </w:rPr>
      </w:pPr>
      <w:r w:rsidRPr="00722521">
        <w:rPr>
          <w:sz w:val="17"/>
          <w:szCs w:val="17"/>
        </w:rPr>
        <w:t>The tools</w:t>
      </w:r>
      <w:r w:rsidR="001C2ADD" w:rsidRPr="00722521">
        <w:rPr>
          <w:sz w:val="17"/>
          <w:szCs w:val="17"/>
        </w:rPr>
        <w:t xml:space="preserve"> at EIOPA’s disposal are sufficient. </w:t>
      </w:r>
    </w:p>
    <w:p w14:paraId="2EB63728" w14:textId="77777777" w:rsidR="00D54B93" w:rsidRPr="00722521" w:rsidRDefault="00D54B93" w:rsidP="009D4DC7">
      <w:pPr>
        <w:ind w:left="57"/>
        <w:mirrorIndents/>
        <w:rPr>
          <w:sz w:val="17"/>
          <w:szCs w:val="17"/>
        </w:rPr>
      </w:pPr>
    </w:p>
    <w:p w14:paraId="4FEC483C" w14:textId="523EB027" w:rsidR="00A860DB" w:rsidRPr="00722521" w:rsidRDefault="001C2ADD" w:rsidP="009D4DC7">
      <w:pPr>
        <w:ind w:left="57"/>
        <w:mirrorIndents/>
        <w:rPr>
          <w:sz w:val="17"/>
          <w:szCs w:val="17"/>
        </w:rPr>
      </w:pPr>
      <w:r w:rsidRPr="00722521">
        <w:rPr>
          <w:sz w:val="17"/>
          <w:szCs w:val="17"/>
        </w:rPr>
        <w:t xml:space="preserve">The use of </w:t>
      </w:r>
      <w:r w:rsidR="00A860DB" w:rsidRPr="00722521">
        <w:rPr>
          <w:sz w:val="17"/>
          <w:szCs w:val="17"/>
        </w:rPr>
        <w:t xml:space="preserve">convergence tools as provided by Article 29 of EIOPA regulation </w:t>
      </w:r>
      <w:r w:rsidR="009D4DC7" w:rsidRPr="00722521">
        <w:rPr>
          <w:sz w:val="17"/>
          <w:szCs w:val="17"/>
        </w:rPr>
        <w:t>ha</w:t>
      </w:r>
      <w:r w:rsidRPr="00722521">
        <w:rPr>
          <w:sz w:val="17"/>
          <w:szCs w:val="17"/>
        </w:rPr>
        <w:t>s</w:t>
      </w:r>
      <w:r w:rsidR="009D4DC7" w:rsidRPr="00722521">
        <w:rPr>
          <w:sz w:val="17"/>
          <w:szCs w:val="17"/>
        </w:rPr>
        <w:t xml:space="preserve"> become common over the past months and years (</w:t>
      </w:r>
      <w:proofErr w:type="spellStart"/>
      <w:r w:rsidR="009D4DC7" w:rsidRPr="00722521">
        <w:rPr>
          <w:sz w:val="17"/>
          <w:szCs w:val="17"/>
        </w:rPr>
        <w:t>eg</w:t>
      </w:r>
      <w:proofErr w:type="spellEnd"/>
      <w:r w:rsidR="009D4DC7" w:rsidRPr="00722521">
        <w:rPr>
          <w:sz w:val="17"/>
          <w:szCs w:val="17"/>
        </w:rPr>
        <w:t xml:space="preserve"> </w:t>
      </w:r>
      <w:r w:rsidR="00A860DB" w:rsidRPr="00722521">
        <w:rPr>
          <w:sz w:val="17"/>
          <w:szCs w:val="17"/>
        </w:rPr>
        <w:t>“</w:t>
      </w:r>
      <w:r w:rsidR="009D4DC7" w:rsidRPr="00722521">
        <w:rPr>
          <w:sz w:val="17"/>
          <w:szCs w:val="17"/>
        </w:rPr>
        <w:t>supervisory statements</w:t>
      </w:r>
      <w:r w:rsidR="00A860DB" w:rsidRPr="00722521">
        <w:rPr>
          <w:sz w:val="17"/>
          <w:szCs w:val="17"/>
        </w:rPr>
        <w:t>”</w:t>
      </w:r>
      <w:r w:rsidR="009D4DC7" w:rsidRPr="00722521">
        <w:rPr>
          <w:sz w:val="17"/>
          <w:szCs w:val="17"/>
        </w:rPr>
        <w:t xml:space="preserve"> and </w:t>
      </w:r>
      <w:r w:rsidR="00A860DB" w:rsidRPr="00722521">
        <w:rPr>
          <w:sz w:val="17"/>
          <w:szCs w:val="17"/>
        </w:rPr>
        <w:t>“statements”</w:t>
      </w:r>
      <w:r w:rsidR="009D4DC7" w:rsidRPr="00722521">
        <w:rPr>
          <w:sz w:val="17"/>
          <w:szCs w:val="17"/>
        </w:rPr>
        <w:t>). While such tools are meant to support a common supervisory culture, they must not function as self-fulfilling prophecy and be seen as mandate to go beyond the regulatory and supervisory framework.</w:t>
      </w:r>
      <w:r w:rsidR="00D54B93" w:rsidRPr="00722521">
        <w:rPr>
          <w:sz w:val="17"/>
          <w:szCs w:val="17"/>
        </w:rPr>
        <w:t xml:space="preserve">  </w:t>
      </w:r>
      <w:r w:rsidR="00E40290" w:rsidRPr="00722521">
        <w:rPr>
          <w:sz w:val="17"/>
          <w:szCs w:val="17"/>
        </w:rPr>
        <w:t>However, i</w:t>
      </w:r>
      <w:r w:rsidR="009D4DC7" w:rsidRPr="00722521">
        <w:rPr>
          <w:sz w:val="17"/>
          <w:szCs w:val="17"/>
        </w:rPr>
        <w:t>n the past months, EIOPA increasingly used such tools and by national implementation through N</w:t>
      </w:r>
      <w:r w:rsidRPr="00722521">
        <w:rPr>
          <w:sz w:val="17"/>
          <w:szCs w:val="17"/>
        </w:rPr>
        <w:t>S</w:t>
      </w:r>
      <w:r w:rsidR="009D4DC7" w:rsidRPr="00722521">
        <w:rPr>
          <w:sz w:val="17"/>
          <w:szCs w:val="17"/>
        </w:rPr>
        <w:t>As acted as a quasi-regulator.</w:t>
      </w:r>
    </w:p>
    <w:p w14:paraId="18B68CE2" w14:textId="77777777" w:rsidR="00A860DB" w:rsidRPr="00722521" w:rsidRDefault="00A860DB" w:rsidP="009D4DC7">
      <w:pPr>
        <w:ind w:left="57"/>
        <w:mirrorIndents/>
        <w:rPr>
          <w:sz w:val="17"/>
          <w:szCs w:val="17"/>
        </w:rPr>
      </w:pPr>
    </w:p>
    <w:p w14:paraId="57166BDC" w14:textId="2E5DBCD6" w:rsidR="009D4DC7" w:rsidRPr="00722521" w:rsidRDefault="00A860DB" w:rsidP="009D4DC7">
      <w:pPr>
        <w:ind w:left="57"/>
        <w:mirrorIndents/>
        <w:rPr>
          <w:sz w:val="17"/>
          <w:szCs w:val="17"/>
        </w:rPr>
      </w:pPr>
      <w:r w:rsidRPr="00722521">
        <w:rPr>
          <w:sz w:val="17"/>
          <w:szCs w:val="17"/>
        </w:rPr>
        <w:t xml:space="preserve">Moreover, clarity would be needed </w:t>
      </w:r>
      <w:r w:rsidR="006D5577" w:rsidRPr="00722521">
        <w:rPr>
          <w:sz w:val="17"/>
          <w:szCs w:val="17"/>
        </w:rPr>
        <w:t>regarding</w:t>
      </w:r>
      <w:r w:rsidRPr="00722521">
        <w:rPr>
          <w:sz w:val="17"/>
          <w:szCs w:val="17"/>
        </w:rPr>
        <w:t xml:space="preserve"> the differences between all these tools, to ensure legal certainty.</w:t>
      </w:r>
    </w:p>
    <w:p w14:paraId="17981E66" w14:textId="3063BFCD" w:rsidR="00A860DB" w:rsidRPr="00722521" w:rsidRDefault="00A860DB" w:rsidP="00A860DB">
      <w:pPr>
        <w:ind w:left="57"/>
        <w:mirrorIndents/>
        <w:rPr>
          <w:sz w:val="17"/>
          <w:szCs w:val="17"/>
        </w:rPr>
      </w:pPr>
    </w:p>
    <w:p w14:paraId="50C08648" w14:textId="77777777" w:rsidR="009D4DC7" w:rsidRPr="00722521" w:rsidRDefault="009D4DC7" w:rsidP="003D111A">
      <w:pPr>
        <w:ind w:left="57"/>
        <w:mirrorIndents/>
        <w:rPr>
          <w:sz w:val="17"/>
          <w:szCs w:val="17"/>
        </w:rPr>
      </w:pPr>
    </w:p>
    <w:p w14:paraId="793E317C" w14:textId="53D035F3" w:rsidR="00BA160A" w:rsidRPr="00722521" w:rsidRDefault="00BA160A" w:rsidP="003D111A">
      <w:pPr>
        <w:pStyle w:val="Textkrper"/>
        <w:ind w:left="57"/>
        <w:mirrorIndents/>
        <w:rPr>
          <w:rFonts w:ascii="Verdana" w:hAnsi="Verdana"/>
          <w:sz w:val="17"/>
          <w:szCs w:val="17"/>
        </w:rPr>
      </w:pPr>
      <w:r w:rsidRPr="00722521">
        <w:rPr>
          <w:rFonts w:ascii="Verdana" w:hAnsi="Verdana"/>
          <w:sz w:val="17"/>
          <w:szCs w:val="17"/>
          <w:highlight w:val="lightGray"/>
        </w:rPr>
        <w:t>Question 1.4.4 Please assess the significance of the new ESAs’ task of fostering and monitoring the supervisory independence of national competent authorities:</w:t>
      </w:r>
    </w:p>
    <w:p w14:paraId="68E8609C" w14:textId="77777777" w:rsidR="00436CD5" w:rsidRPr="00722521" w:rsidRDefault="00BA160A" w:rsidP="001C2ADD">
      <w:pPr>
        <w:pStyle w:val="CEABullet-Level1"/>
        <w:rPr>
          <w:color w:val="auto"/>
          <w:highlight w:val="lightGray"/>
        </w:rPr>
      </w:pPr>
      <w:r w:rsidRPr="00722521">
        <w:rPr>
          <w:color w:val="auto"/>
          <w:highlight w:val="lightGray"/>
        </w:rPr>
        <w:t xml:space="preserve">1 - Not significant at all </w:t>
      </w:r>
    </w:p>
    <w:p w14:paraId="69213841" w14:textId="77777777" w:rsidR="00436CD5" w:rsidRPr="00722521" w:rsidRDefault="00BA160A" w:rsidP="001C2ADD">
      <w:pPr>
        <w:pStyle w:val="CEABullet-Level1"/>
        <w:rPr>
          <w:color w:val="auto"/>
          <w:highlight w:val="lightGray"/>
        </w:rPr>
      </w:pPr>
      <w:r w:rsidRPr="00722521">
        <w:rPr>
          <w:color w:val="auto"/>
          <w:highlight w:val="lightGray"/>
        </w:rPr>
        <w:lastRenderedPageBreak/>
        <w:t xml:space="preserve">2 - Rather not significant </w:t>
      </w:r>
    </w:p>
    <w:p w14:paraId="61FD5728" w14:textId="35CF3496" w:rsidR="00BA160A" w:rsidRPr="00722521" w:rsidRDefault="00BA160A" w:rsidP="001C2ADD">
      <w:pPr>
        <w:pStyle w:val="CEABullet-Level1"/>
        <w:rPr>
          <w:color w:val="auto"/>
          <w:highlight w:val="lightGray"/>
        </w:rPr>
      </w:pPr>
      <w:r w:rsidRPr="00722521">
        <w:rPr>
          <w:color w:val="auto"/>
          <w:highlight w:val="lightGray"/>
        </w:rPr>
        <w:t>3 - Neutral</w:t>
      </w:r>
    </w:p>
    <w:p w14:paraId="29A51EB9" w14:textId="77777777" w:rsidR="00436CD5" w:rsidRPr="00722521" w:rsidRDefault="00BA160A" w:rsidP="001C2ADD">
      <w:pPr>
        <w:pStyle w:val="CEABullet-Level1"/>
        <w:rPr>
          <w:color w:val="auto"/>
          <w:highlight w:val="lightGray"/>
        </w:rPr>
      </w:pPr>
      <w:r w:rsidRPr="00722521">
        <w:rPr>
          <w:color w:val="auto"/>
          <w:highlight w:val="lightGray"/>
        </w:rPr>
        <w:t xml:space="preserve">4 - Rather significant </w:t>
      </w:r>
    </w:p>
    <w:p w14:paraId="4F059623" w14:textId="3A7806AE" w:rsidR="00BA160A" w:rsidRPr="00722521" w:rsidRDefault="00BA160A" w:rsidP="001C2ADD">
      <w:pPr>
        <w:pStyle w:val="CEABullet-Level1"/>
        <w:rPr>
          <w:color w:val="auto"/>
          <w:highlight w:val="lightGray"/>
        </w:rPr>
      </w:pPr>
      <w:r w:rsidRPr="00722521">
        <w:rPr>
          <w:color w:val="auto"/>
          <w:highlight w:val="lightGray"/>
        </w:rPr>
        <w:t>5 - Very significant</w:t>
      </w:r>
    </w:p>
    <w:p w14:paraId="245D992E" w14:textId="7C62C682" w:rsidR="00BA160A" w:rsidRPr="00722521" w:rsidRDefault="00BA160A" w:rsidP="001C2ADD">
      <w:pPr>
        <w:pStyle w:val="CEABullet-Level1"/>
        <w:rPr>
          <w:color w:val="auto"/>
          <w:highlight w:val="lightGray"/>
        </w:rPr>
      </w:pPr>
      <w:r w:rsidRPr="00722521">
        <w:rPr>
          <w:color w:val="auto"/>
          <w:highlight w:val="lightGray"/>
        </w:rPr>
        <w:t>Don’t know / no opinion / not relevant</w:t>
      </w:r>
    </w:p>
    <w:p w14:paraId="746660BC" w14:textId="27F32E44" w:rsidR="001C2ADD" w:rsidRPr="00722521" w:rsidRDefault="001C2ADD" w:rsidP="003D111A">
      <w:pPr>
        <w:ind w:left="57"/>
        <w:mirrorIndents/>
        <w:rPr>
          <w:sz w:val="17"/>
          <w:szCs w:val="17"/>
        </w:rPr>
      </w:pPr>
    </w:p>
    <w:p w14:paraId="3742BC59" w14:textId="57C1EC01" w:rsidR="001C2ADD" w:rsidRPr="00722521" w:rsidRDefault="003900AF" w:rsidP="003D111A">
      <w:pPr>
        <w:ind w:left="57"/>
        <w:mirrorIndents/>
        <w:rPr>
          <w:sz w:val="17"/>
          <w:szCs w:val="17"/>
        </w:rPr>
      </w:pPr>
      <w:r w:rsidRPr="00722521">
        <w:rPr>
          <w:sz w:val="17"/>
          <w:szCs w:val="17"/>
        </w:rPr>
        <w:t>Rather significant</w:t>
      </w:r>
    </w:p>
    <w:p w14:paraId="35CA32BB" w14:textId="77777777" w:rsidR="00BA160A" w:rsidRPr="00722521" w:rsidRDefault="00BA160A" w:rsidP="003D111A">
      <w:pPr>
        <w:ind w:left="57"/>
        <w:mirrorIndents/>
        <w:rPr>
          <w:sz w:val="17"/>
          <w:szCs w:val="17"/>
        </w:rPr>
      </w:pPr>
    </w:p>
    <w:p w14:paraId="2909128A" w14:textId="77777777" w:rsidR="00BA160A" w:rsidRPr="00722521" w:rsidRDefault="00BA160A" w:rsidP="00436CD5">
      <w:pPr>
        <w:pStyle w:val="Textkrper"/>
        <w:mirrorIndents/>
        <w:rPr>
          <w:rFonts w:ascii="Verdana" w:hAnsi="Verdana"/>
          <w:sz w:val="17"/>
          <w:szCs w:val="17"/>
        </w:rPr>
      </w:pPr>
      <w:r w:rsidRPr="00722521">
        <w:rPr>
          <w:rFonts w:ascii="Verdana" w:hAnsi="Verdana"/>
          <w:sz w:val="17"/>
          <w:szCs w:val="17"/>
          <w:highlight w:val="lightGray"/>
        </w:rPr>
        <w:t>Please explain your answer to question 1.4.4:</w:t>
      </w:r>
    </w:p>
    <w:p w14:paraId="49ED6DF9" w14:textId="7CEE5D60" w:rsidR="00436CD5" w:rsidRPr="00722521" w:rsidRDefault="00436CD5" w:rsidP="00436CD5">
      <w:pPr>
        <w:mirrorIndents/>
        <w:rPr>
          <w:sz w:val="17"/>
          <w:szCs w:val="17"/>
        </w:rPr>
      </w:pPr>
    </w:p>
    <w:p w14:paraId="5F811526" w14:textId="421D2185" w:rsidR="00436CD5" w:rsidRPr="00722521" w:rsidRDefault="00722521" w:rsidP="00436CD5">
      <w:pPr>
        <w:mirrorIndents/>
        <w:rPr>
          <w:sz w:val="17"/>
          <w:szCs w:val="17"/>
        </w:rPr>
      </w:pPr>
      <w:r>
        <w:rPr>
          <w:sz w:val="17"/>
          <w:szCs w:val="17"/>
        </w:rPr>
        <w:t>VVO</w:t>
      </w:r>
      <w:r w:rsidR="00A65895" w:rsidRPr="00722521">
        <w:rPr>
          <w:sz w:val="17"/>
          <w:szCs w:val="17"/>
        </w:rPr>
        <w:t xml:space="preserve"> is of the view that the independence of NCAs is very important.</w:t>
      </w:r>
    </w:p>
    <w:p w14:paraId="18A19311" w14:textId="77777777" w:rsidR="00436CD5" w:rsidRPr="00722521" w:rsidRDefault="00436CD5" w:rsidP="00436CD5">
      <w:pPr>
        <w:mirrorIndents/>
        <w:rPr>
          <w:sz w:val="17"/>
          <w:szCs w:val="17"/>
        </w:rPr>
      </w:pPr>
    </w:p>
    <w:p w14:paraId="490CCC8B" w14:textId="34A0D1E8" w:rsidR="00BA160A" w:rsidRPr="00722521" w:rsidRDefault="00BA160A" w:rsidP="00436CD5">
      <w:pPr>
        <w:mirrorIndents/>
        <w:rPr>
          <w:b/>
          <w:bCs/>
          <w:sz w:val="17"/>
          <w:szCs w:val="17"/>
        </w:rPr>
      </w:pPr>
      <w:r w:rsidRPr="00722521">
        <w:rPr>
          <w:b/>
          <w:sz w:val="17"/>
          <w:szCs w:val="17"/>
          <w:highlight w:val="lightGray"/>
        </w:rPr>
        <w:t xml:space="preserve">Question 1.4.5 What criteria would be the most relevant, in you view, for the ESAs to </w:t>
      </w:r>
      <w:proofErr w:type="gramStart"/>
      <w:r w:rsidRPr="00722521">
        <w:rPr>
          <w:b/>
          <w:sz w:val="17"/>
          <w:szCs w:val="17"/>
          <w:highlight w:val="lightGray"/>
        </w:rPr>
        <w:t>perform effectively</w:t>
      </w:r>
      <w:proofErr w:type="gramEnd"/>
      <w:r w:rsidRPr="00722521">
        <w:rPr>
          <w:b/>
          <w:sz w:val="17"/>
          <w:szCs w:val="17"/>
          <w:highlight w:val="lightGray"/>
        </w:rPr>
        <w:t xml:space="preserve"> their new task of fostering and monitoring supervisory independence of national competent authorities?</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447"/>
        <w:gridCol w:w="1343"/>
        <w:gridCol w:w="1345"/>
        <w:gridCol w:w="1343"/>
        <w:gridCol w:w="1345"/>
        <w:gridCol w:w="1344"/>
        <w:gridCol w:w="1344"/>
      </w:tblGrid>
      <w:tr w:rsidR="00BA160A" w:rsidRPr="00722521" w14:paraId="11941457" w14:textId="77777777" w:rsidTr="00436CD5">
        <w:trPr>
          <w:trHeight w:hRule="exact" w:val="375"/>
        </w:trPr>
        <w:tc>
          <w:tcPr>
            <w:tcW w:w="714" w:type="pct"/>
            <w:vMerge w:val="restart"/>
            <w:tcBorders>
              <w:top w:val="single" w:sz="8" w:space="0" w:color="BABABA"/>
              <w:left w:val="single" w:sz="8" w:space="0" w:color="BABABA"/>
              <w:bottom w:val="single" w:sz="8" w:space="0" w:color="BABABA"/>
              <w:right w:val="single" w:sz="8" w:space="0" w:color="BABABA"/>
            </w:tcBorders>
          </w:tcPr>
          <w:p w14:paraId="0B0FC432" w14:textId="77777777" w:rsidR="00BA160A" w:rsidRPr="00722521" w:rsidRDefault="00BA160A" w:rsidP="00A903E6">
            <w:pPr>
              <w:mirrorIndents/>
              <w:rPr>
                <w:sz w:val="17"/>
                <w:szCs w:val="17"/>
              </w:rPr>
            </w:pPr>
          </w:p>
        </w:tc>
        <w:tc>
          <w:tcPr>
            <w:tcW w:w="714" w:type="pct"/>
            <w:tcBorders>
              <w:top w:val="single" w:sz="8" w:space="0" w:color="BABABA"/>
              <w:left w:val="single" w:sz="8" w:space="0" w:color="BABABA"/>
              <w:bottom w:val="nil"/>
              <w:right w:val="single" w:sz="8" w:space="0" w:color="BABABA"/>
            </w:tcBorders>
          </w:tcPr>
          <w:p w14:paraId="76E66184" w14:textId="77777777" w:rsidR="00BA160A" w:rsidRPr="00722521" w:rsidRDefault="00BA160A" w:rsidP="00A903E6">
            <w:pPr>
              <w:mirrorIndents/>
              <w:rPr>
                <w:sz w:val="17"/>
                <w:szCs w:val="17"/>
              </w:rPr>
            </w:pPr>
          </w:p>
        </w:tc>
        <w:tc>
          <w:tcPr>
            <w:tcW w:w="715" w:type="pct"/>
            <w:tcBorders>
              <w:top w:val="single" w:sz="8" w:space="0" w:color="BABABA"/>
              <w:left w:val="single" w:sz="8" w:space="0" w:color="BABABA"/>
              <w:bottom w:val="nil"/>
              <w:right w:val="single" w:sz="8" w:space="0" w:color="BABABA"/>
            </w:tcBorders>
          </w:tcPr>
          <w:p w14:paraId="7F37FD5C" w14:textId="77777777" w:rsidR="00BA160A" w:rsidRPr="00722521" w:rsidRDefault="00BA160A" w:rsidP="00A903E6">
            <w:pPr>
              <w:mirrorIndents/>
              <w:rPr>
                <w:sz w:val="17"/>
                <w:szCs w:val="17"/>
              </w:rPr>
            </w:pPr>
          </w:p>
        </w:tc>
        <w:tc>
          <w:tcPr>
            <w:tcW w:w="714" w:type="pct"/>
            <w:tcBorders>
              <w:top w:val="single" w:sz="8" w:space="0" w:color="BABABA"/>
              <w:left w:val="single" w:sz="8" w:space="0" w:color="BABABA"/>
              <w:bottom w:val="nil"/>
              <w:right w:val="single" w:sz="8" w:space="0" w:color="BABABA"/>
            </w:tcBorders>
          </w:tcPr>
          <w:p w14:paraId="21FFAEBB" w14:textId="77777777" w:rsidR="00BA160A" w:rsidRPr="00722521" w:rsidRDefault="00BA160A" w:rsidP="00A903E6">
            <w:pPr>
              <w:mirrorIndents/>
              <w:rPr>
                <w:sz w:val="17"/>
                <w:szCs w:val="17"/>
              </w:rPr>
            </w:pPr>
          </w:p>
        </w:tc>
        <w:tc>
          <w:tcPr>
            <w:tcW w:w="715" w:type="pct"/>
            <w:tcBorders>
              <w:top w:val="single" w:sz="8" w:space="0" w:color="BABABA"/>
              <w:left w:val="single" w:sz="8" w:space="0" w:color="BABABA"/>
              <w:bottom w:val="nil"/>
              <w:right w:val="single" w:sz="8" w:space="0" w:color="BABABA"/>
            </w:tcBorders>
          </w:tcPr>
          <w:p w14:paraId="68DEFC98" w14:textId="77777777" w:rsidR="00BA160A" w:rsidRPr="00722521" w:rsidRDefault="00BA160A" w:rsidP="00A903E6">
            <w:pPr>
              <w:mirrorIndents/>
              <w:rPr>
                <w:sz w:val="17"/>
                <w:szCs w:val="17"/>
              </w:rPr>
            </w:pPr>
          </w:p>
        </w:tc>
        <w:tc>
          <w:tcPr>
            <w:tcW w:w="714" w:type="pct"/>
            <w:tcBorders>
              <w:top w:val="single" w:sz="8" w:space="0" w:color="BABABA"/>
              <w:left w:val="single" w:sz="8" w:space="0" w:color="BABABA"/>
              <w:bottom w:val="nil"/>
              <w:right w:val="single" w:sz="8" w:space="0" w:color="BABABA"/>
            </w:tcBorders>
          </w:tcPr>
          <w:p w14:paraId="4D8D4A0E" w14:textId="77777777" w:rsidR="00BA160A" w:rsidRPr="00722521" w:rsidRDefault="00BA160A" w:rsidP="00A903E6">
            <w:pPr>
              <w:mirrorIndents/>
              <w:rPr>
                <w:sz w:val="17"/>
                <w:szCs w:val="17"/>
              </w:rPr>
            </w:pPr>
          </w:p>
        </w:tc>
        <w:tc>
          <w:tcPr>
            <w:tcW w:w="715" w:type="pct"/>
            <w:tcBorders>
              <w:top w:val="single" w:sz="8" w:space="0" w:color="BABABA"/>
              <w:left w:val="single" w:sz="8" w:space="0" w:color="BABABA"/>
              <w:bottom w:val="nil"/>
              <w:right w:val="single" w:sz="8" w:space="0" w:color="BABABA"/>
            </w:tcBorders>
            <w:hideMark/>
          </w:tcPr>
          <w:p w14:paraId="405ED812" w14:textId="77777777" w:rsidR="00BA160A" w:rsidRPr="00722521" w:rsidRDefault="00BA160A" w:rsidP="00A903E6">
            <w:pPr>
              <w:pStyle w:val="TableParagraph"/>
              <w:mirrorIndents/>
              <w:rPr>
                <w:szCs w:val="17"/>
              </w:rPr>
            </w:pPr>
            <w:r w:rsidRPr="00722521">
              <w:rPr>
                <w:w w:val="105"/>
                <w:szCs w:val="17"/>
              </w:rPr>
              <w:t>Don't</w:t>
            </w:r>
          </w:p>
        </w:tc>
      </w:tr>
      <w:tr w:rsidR="00BA160A" w:rsidRPr="00722521" w14:paraId="7AA4162D" w14:textId="77777777" w:rsidTr="00436CD5">
        <w:trPr>
          <w:trHeight w:hRule="exact" w:val="593"/>
        </w:trPr>
        <w:tc>
          <w:tcPr>
            <w:tcW w:w="714" w:type="pct"/>
            <w:vMerge/>
            <w:tcBorders>
              <w:top w:val="single" w:sz="8" w:space="0" w:color="BABABA"/>
              <w:left w:val="single" w:sz="8" w:space="0" w:color="BABABA"/>
              <w:bottom w:val="single" w:sz="8" w:space="0" w:color="BABABA"/>
              <w:right w:val="single" w:sz="8" w:space="0" w:color="BABABA"/>
            </w:tcBorders>
            <w:vAlign w:val="center"/>
            <w:hideMark/>
          </w:tcPr>
          <w:p w14:paraId="78DD135C" w14:textId="77777777" w:rsidR="00BA160A" w:rsidRPr="00722521" w:rsidRDefault="00BA160A" w:rsidP="00A903E6">
            <w:pPr>
              <w:jc w:val="left"/>
              <w:rPr>
                <w:rFonts w:eastAsia="Microsoft Sans Serif" w:cs="Microsoft Sans Serif"/>
                <w:sz w:val="17"/>
                <w:szCs w:val="17"/>
              </w:rPr>
            </w:pPr>
          </w:p>
        </w:tc>
        <w:tc>
          <w:tcPr>
            <w:tcW w:w="714" w:type="pct"/>
            <w:tcBorders>
              <w:top w:val="nil"/>
              <w:left w:val="single" w:sz="8" w:space="0" w:color="BABABA"/>
              <w:bottom w:val="nil"/>
              <w:right w:val="single" w:sz="8" w:space="0" w:color="BABABA"/>
            </w:tcBorders>
            <w:hideMark/>
          </w:tcPr>
          <w:p w14:paraId="543CB4BF" w14:textId="77777777" w:rsidR="00BA160A" w:rsidRPr="00722521" w:rsidRDefault="00BA160A" w:rsidP="00A903E6">
            <w:pPr>
              <w:pStyle w:val="TableParagraph"/>
              <w:mirrorIndents/>
              <w:rPr>
                <w:szCs w:val="17"/>
              </w:rPr>
            </w:pPr>
            <w:r w:rsidRPr="00722521">
              <w:rPr>
                <w:w w:val="99"/>
                <w:szCs w:val="17"/>
              </w:rPr>
              <w:t>1</w:t>
            </w:r>
          </w:p>
        </w:tc>
        <w:tc>
          <w:tcPr>
            <w:tcW w:w="715" w:type="pct"/>
            <w:tcBorders>
              <w:top w:val="nil"/>
              <w:left w:val="single" w:sz="8" w:space="0" w:color="BABABA"/>
              <w:bottom w:val="nil"/>
              <w:right w:val="single" w:sz="8" w:space="0" w:color="BABABA"/>
            </w:tcBorders>
            <w:hideMark/>
          </w:tcPr>
          <w:p w14:paraId="37EED4D6" w14:textId="77777777" w:rsidR="00BA160A" w:rsidRPr="00722521" w:rsidRDefault="00BA160A" w:rsidP="00A903E6">
            <w:pPr>
              <w:pStyle w:val="TableParagraph"/>
              <w:mirrorIndents/>
              <w:rPr>
                <w:szCs w:val="17"/>
              </w:rPr>
            </w:pPr>
            <w:r w:rsidRPr="00722521">
              <w:rPr>
                <w:w w:val="99"/>
                <w:szCs w:val="17"/>
              </w:rPr>
              <w:t>2</w:t>
            </w:r>
          </w:p>
        </w:tc>
        <w:tc>
          <w:tcPr>
            <w:tcW w:w="714" w:type="pct"/>
            <w:tcBorders>
              <w:top w:val="nil"/>
              <w:left w:val="single" w:sz="8" w:space="0" w:color="BABABA"/>
              <w:bottom w:val="nil"/>
              <w:right w:val="single" w:sz="8" w:space="0" w:color="BABABA"/>
            </w:tcBorders>
            <w:hideMark/>
          </w:tcPr>
          <w:p w14:paraId="6067DA3A" w14:textId="77777777" w:rsidR="00BA160A" w:rsidRPr="00722521" w:rsidRDefault="00BA160A" w:rsidP="00A903E6">
            <w:pPr>
              <w:pStyle w:val="TableParagraph"/>
              <w:mirrorIndents/>
              <w:rPr>
                <w:szCs w:val="17"/>
              </w:rPr>
            </w:pPr>
            <w:r w:rsidRPr="00722521">
              <w:rPr>
                <w:w w:val="99"/>
                <w:szCs w:val="17"/>
              </w:rPr>
              <w:t>3</w:t>
            </w:r>
          </w:p>
        </w:tc>
        <w:tc>
          <w:tcPr>
            <w:tcW w:w="715" w:type="pct"/>
            <w:tcBorders>
              <w:top w:val="nil"/>
              <w:left w:val="single" w:sz="8" w:space="0" w:color="BABABA"/>
              <w:bottom w:val="nil"/>
              <w:right w:val="single" w:sz="8" w:space="0" w:color="BABABA"/>
            </w:tcBorders>
            <w:hideMark/>
          </w:tcPr>
          <w:p w14:paraId="0B2BBDAA" w14:textId="77777777" w:rsidR="00BA160A" w:rsidRPr="00722521" w:rsidRDefault="00BA160A" w:rsidP="00A903E6">
            <w:pPr>
              <w:pStyle w:val="TableParagraph"/>
              <w:mirrorIndents/>
              <w:rPr>
                <w:szCs w:val="17"/>
              </w:rPr>
            </w:pPr>
            <w:r w:rsidRPr="00722521">
              <w:rPr>
                <w:w w:val="99"/>
                <w:szCs w:val="17"/>
              </w:rPr>
              <w:t>4</w:t>
            </w:r>
          </w:p>
        </w:tc>
        <w:tc>
          <w:tcPr>
            <w:tcW w:w="714" w:type="pct"/>
            <w:tcBorders>
              <w:top w:val="nil"/>
              <w:left w:val="single" w:sz="8" w:space="0" w:color="BABABA"/>
              <w:bottom w:val="nil"/>
              <w:right w:val="single" w:sz="8" w:space="0" w:color="BABABA"/>
            </w:tcBorders>
            <w:hideMark/>
          </w:tcPr>
          <w:p w14:paraId="2817C706" w14:textId="77777777" w:rsidR="00BA160A" w:rsidRPr="00722521" w:rsidRDefault="00BA160A" w:rsidP="00A903E6">
            <w:pPr>
              <w:pStyle w:val="TableParagraph"/>
              <w:mirrorIndents/>
              <w:rPr>
                <w:szCs w:val="17"/>
              </w:rPr>
            </w:pPr>
            <w:r w:rsidRPr="00722521">
              <w:rPr>
                <w:w w:val="99"/>
                <w:szCs w:val="17"/>
              </w:rPr>
              <w:t>5</w:t>
            </w:r>
          </w:p>
        </w:tc>
        <w:tc>
          <w:tcPr>
            <w:tcW w:w="715" w:type="pct"/>
            <w:tcBorders>
              <w:top w:val="nil"/>
              <w:left w:val="single" w:sz="8" w:space="0" w:color="BABABA"/>
              <w:bottom w:val="nil"/>
              <w:right w:val="single" w:sz="8" w:space="0" w:color="BABABA"/>
            </w:tcBorders>
            <w:hideMark/>
          </w:tcPr>
          <w:p w14:paraId="333B07B9" w14:textId="77777777" w:rsidR="00BA160A" w:rsidRPr="00722521" w:rsidRDefault="00BA160A" w:rsidP="00A903E6">
            <w:pPr>
              <w:pStyle w:val="TableParagraph"/>
              <w:ind w:hanging="136"/>
              <w:mirrorIndents/>
              <w:rPr>
                <w:szCs w:val="17"/>
              </w:rPr>
            </w:pPr>
            <w:r w:rsidRPr="00722521">
              <w:rPr>
                <w:w w:val="105"/>
                <w:szCs w:val="17"/>
              </w:rPr>
              <w:t>know - No</w:t>
            </w:r>
          </w:p>
        </w:tc>
      </w:tr>
      <w:tr w:rsidR="00BA160A" w:rsidRPr="00722521" w14:paraId="6F0E998E" w14:textId="77777777" w:rsidTr="00436CD5">
        <w:trPr>
          <w:trHeight w:hRule="exact" w:val="302"/>
        </w:trPr>
        <w:tc>
          <w:tcPr>
            <w:tcW w:w="714" w:type="pct"/>
            <w:vMerge/>
            <w:tcBorders>
              <w:top w:val="single" w:sz="8" w:space="0" w:color="BABABA"/>
              <w:left w:val="single" w:sz="8" w:space="0" w:color="BABABA"/>
              <w:bottom w:val="single" w:sz="8" w:space="0" w:color="BABABA"/>
              <w:right w:val="single" w:sz="8" w:space="0" w:color="BABABA"/>
            </w:tcBorders>
            <w:vAlign w:val="center"/>
            <w:hideMark/>
          </w:tcPr>
          <w:p w14:paraId="03F3B19D" w14:textId="77777777" w:rsidR="00BA160A" w:rsidRPr="00722521" w:rsidRDefault="00BA160A" w:rsidP="00A903E6">
            <w:pPr>
              <w:jc w:val="left"/>
              <w:rPr>
                <w:rFonts w:eastAsia="Microsoft Sans Serif" w:cs="Microsoft Sans Serif"/>
                <w:sz w:val="17"/>
                <w:szCs w:val="17"/>
              </w:rPr>
            </w:pPr>
          </w:p>
        </w:tc>
        <w:tc>
          <w:tcPr>
            <w:tcW w:w="714" w:type="pct"/>
            <w:tcBorders>
              <w:top w:val="nil"/>
              <w:left w:val="single" w:sz="8" w:space="0" w:color="BABABA"/>
              <w:bottom w:val="nil"/>
              <w:right w:val="single" w:sz="8" w:space="0" w:color="BABABA"/>
            </w:tcBorders>
            <w:hideMark/>
          </w:tcPr>
          <w:p w14:paraId="36F191DA" w14:textId="77777777" w:rsidR="00BA160A" w:rsidRPr="00722521" w:rsidRDefault="00BA160A" w:rsidP="00A903E6">
            <w:pPr>
              <w:pStyle w:val="TableParagraph"/>
              <w:mirrorIndents/>
              <w:rPr>
                <w:szCs w:val="17"/>
              </w:rPr>
            </w:pPr>
            <w:r w:rsidRPr="00722521">
              <w:rPr>
                <w:szCs w:val="17"/>
              </w:rPr>
              <w:t>(irrelevant)</w:t>
            </w:r>
          </w:p>
        </w:tc>
        <w:tc>
          <w:tcPr>
            <w:tcW w:w="715" w:type="pct"/>
            <w:tcBorders>
              <w:top w:val="nil"/>
              <w:left w:val="single" w:sz="8" w:space="0" w:color="BABABA"/>
              <w:bottom w:val="nil"/>
              <w:right w:val="single" w:sz="8" w:space="0" w:color="BABABA"/>
            </w:tcBorders>
            <w:hideMark/>
          </w:tcPr>
          <w:p w14:paraId="6C752C6A" w14:textId="77777777" w:rsidR="00BA160A" w:rsidRPr="00722521" w:rsidRDefault="00BA160A" w:rsidP="00A903E6">
            <w:pPr>
              <w:pStyle w:val="TableParagraph"/>
              <w:mirrorIndents/>
              <w:rPr>
                <w:szCs w:val="17"/>
              </w:rPr>
            </w:pPr>
            <w:r w:rsidRPr="00722521">
              <w:rPr>
                <w:w w:val="105"/>
                <w:szCs w:val="17"/>
              </w:rPr>
              <w:t>(rather not</w:t>
            </w:r>
          </w:p>
        </w:tc>
        <w:tc>
          <w:tcPr>
            <w:tcW w:w="714" w:type="pct"/>
            <w:tcBorders>
              <w:top w:val="nil"/>
              <w:left w:val="single" w:sz="8" w:space="0" w:color="BABABA"/>
              <w:bottom w:val="nil"/>
              <w:right w:val="single" w:sz="8" w:space="0" w:color="BABABA"/>
            </w:tcBorders>
            <w:hideMark/>
          </w:tcPr>
          <w:p w14:paraId="6635BEA4" w14:textId="77777777" w:rsidR="00BA160A" w:rsidRPr="00722521" w:rsidRDefault="00BA160A" w:rsidP="00A903E6">
            <w:pPr>
              <w:pStyle w:val="TableParagraph"/>
              <w:mirrorIndents/>
              <w:rPr>
                <w:szCs w:val="17"/>
              </w:rPr>
            </w:pPr>
            <w:r w:rsidRPr="00722521">
              <w:rPr>
                <w:szCs w:val="17"/>
              </w:rPr>
              <w:t>(neutral)</w:t>
            </w:r>
          </w:p>
        </w:tc>
        <w:tc>
          <w:tcPr>
            <w:tcW w:w="715" w:type="pct"/>
            <w:tcBorders>
              <w:top w:val="nil"/>
              <w:left w:val="single" w:sz="8" w:space="0" w:color="BABABA"/>
              <w:bottom w:val="nil"/>
              <w:right w:val="single" w:sz="8" w:space="0" w:color="BABABA"/>
            </w:tcBorders>
            <w:hideMark/>
          </w:tcPr>
          <w:p w14:paraId="36DF7537" w14:textId="77777777" w:rsidR="00BA160A" w:rsidRPr="00722521" w:rsidRDefault="00BA160A" w:rsidP="00A903E6">
            <w:pPr>
              <w:pStyle w:val="TableParagraph"/>
              <w:mirrorIndents/>
              <w:rPr>
                <w:szCs w:val="17"/>
              </w:rPr>
            </w:pPr>
            <w:r w:rsidRPr="00722521">
              <w:rPr>
                <w:w w:val="105"/>
                <w:szCs w:val="17"/>
              </w:rPr>
              <w:t>(rather</w:t>
            </w:r>
          </w:p>
        </w:tc>
        <w:tc>
          <w:tcPr>
            <w:tcW w:w="714" w:type="pct"/>
            <w:tcBorders>
              <w:top w:val="nil"/>
              <w:left w:val="single" w:sz="8" w:space="0" w:color="BABABA"/>
              <w:bottom w:val="nil"/>
              <w:right w:val="single" w:sz="8" w:space="0" w:color="BABABA"/>
            </w:tcBorders>
            <w:hideMark/>
          </w:tcPr>
          <w:p w14:paraId="35A09E71" w14:textId="77777777" w:rsidR="00BA160A" w:rsidRPr="00722521" w:rsidRDefault="00BA160A" w:rsidP="00A903E6">
            <w:pPr>
              <w:pStyle w:val="TableParagraph"/>
              <w:mirrorIndents/>
              <w:rPr>
                <w:szCs w:val="17"/>
              </w:rPr>
            </w:pPr>
            <w:r w:rsidRPr="00722521">
              <w:rPr>
                <w:szCs w:val="17"/>
              </w:rPr>
              <w:t>(fully</w:t>
            </w:r>
          </w:p>
        </w:tc>
        <w:tc>
          <w:tcPr>
            <w:tcW w:w="715" w:type="pct"/>
            <w:tcBorders>
              <w:top w:val="nil"/>
              <w:left w:val="single" w:sz="8" w:space="0" w:color="BABABA"/>
              <w:bottom w:val="nil"/>
              <w:right w:val="single" w:sz="8" w:space="0" w:color="BABABA"/>
            </w:tcBorders>
            <w:hideMark/>
          </w:tcPr>
          <w:p w14:paraId="6DEB1842" w14:textId="77777777" w:rsidR="00BA160A" w:rsidRPr="00722521" w:rsidRDefault="00BA160A" w:rsidP="00A903E6">
            <w:pPr>
              <w:pStyle w:val="TableParagraph"/>
              <w:mirrorIndents/>
              <w:rPr>
                <w:szCs w:val="17"/>
              </w:rPr>
            </w:pPr>
            <w:r w:rsidRPr="00722521">
              <w:rPr>
                <w:szCs w:val="17"/>
              </w:rPr>
              <w:t>opinion -</w:t>
            </w:r>
          </w:p>
        </w:tc>
      </w:tr>
      <w:tr w:rsidR="00BA160A" w:rsidRPr="00722521" w14:paraId="1E612296" w14:textId="77777777" w:rsidTr="00436CD5">
        <w:trPr>
          <w:trHeight w:hRule="exact" w:val="291"/>
        </w:trPr>
        <w:tc>
          <w:tcPr>
            <w:tcW w:w="714" w:type="pct"/>
            <w:vMerge/>
            <w:tcBorders>
              <w:top w:val="single" w:sz="8" w:space="0" w:color="BABABA"/>
              <w:left w:val="single" w:sz="8" w:space="0" w:color="BABABA"/>
              <w:bottom w:val="single" w:sz="8" w:space="0" w:color="BABABA"/>
              <w:right w:val="single" w:sz="8" w:space="0" w:color="BABABA"/>
            </w:tcBorders>
            <w:vAlign w:val="center"/>
            <w:hideMark/>
          </w:tcPr>
          <w:p w14:paraId="1E25C6E9" w14:textId="77777777" w:rsidR="00BA160A" w:rsidRPr="00722521" w:rsidRDefault="00BA160A" w:rsidP="00A903E6">
            <w:pPr>
              <w:jc w:val="left"/>
              <w:rPr>
                <w:rFonts w:eastAsia="Microsoft Sans Serif" w:cs="Microsoft Sans Serif"/>
                <w:sz w:val="17"/>
                <w:szCs w:val="17"/>
              </w:rPr>
            </w:pPr>
          </w:p>
        </w:tc>
        <w:tc>
          <w:tcPr>
            <w:tcW w:w="714" w:type="pct"/>
            <w:tcBorders>
              <w:top w:val="nil"/>
              <w:left w:val="single" w:sz="8" w:space="0" w:color="BABABA"/>
              <w:bottom w:val="nil"/>
              <w:right w:val="single" w:sz="8" w:space="0" w:color="BABABA"/>
            </w:tcBorders>
          </w:tcPr>
          <w:p w14:paraId="2A4CA8E5" w14:textId="77777777" w:rsidR="00BA160A" w:rsidRPr="00722521" w:rsidRDefault="00BA160A" w:rsidP="00A903E6">
            <w:pPr>
              <w:mirrorIndents/>
              <w:rPr>
                <w:sz w:val="17"/>
                <w:szCs w:val="17"/>
              </w:rPr>
            </w:pPr>
          </w:p>
        </w:tc>
        <w:tc>
          <w:tcPr>
            <w:tcW w:w="715" w:type="pct"/>
            <w:tcBorders>
              <w:top w:val="nil"/>
              <w:left w:val="single" w:sz="8" w:space="0" w:color="BABABA"/>
              <w:bottom w:val="nil"/>
              <w:right w:val="single" w:sz="8" w:space="0" w:color="BABABA"/>
            </w:tcBorders>
            <w:hideMark/>
          </w:tcPr>
          <w:p w14:paraId="59F82145" w14:textId="77777777" w:rsidR="00BA160A" w:rsidRPr="00722521" w:rsidRDefault="00BA160A" w:rsidP="00A903E6">
            <w:pPr>
              <w:pStyle w:val="TableParagraph"/>
              <w:mirrorIndents/>
              <w:rPr>
                <w:szCs w:val="17"/>
              </w:rPr>
            </w:pPr>
            <w:r w:rsidRPr="00722521">
              <w:rPr>
                <w:szCs w:val="17"/>
              </w:rPr>
              <w:t>relevant)</w:t>
            </w:r>
          </w:p>
        </w:tc>
        <w:tc>
          <w:tcPr>
            <w:tcW w:w="714" w:type="pct"/>
            <w:tcBorders>
              <w:top w:val="nil"/>
              <w:left w:val="single" w:sz="8" w:space="0" w:color="BABABA"/>
              <w:bottom w:val="nil"/>
              <w:right w:val="single" w:sz="8" w:space="0" w:color="BABABA"/>
            </w:tcBorders>
          </w:tcPr>
          <w:p w14:paraId="1F214A3B" w14:textId="77777777" w:rsidR="00BA160A" w:rsidRPr="00722521" w:rsidRDefault="00BA160A" w:rsidP="00A903E6">
            <w:pPr>
              <w:mirrorIndents/>
              <w:rPr>
                <w:sz w:val="17"/>
                <w:szCs w:val="17"/>
              </w:rPr>
            </w:pPr>
          </w:p>
        </w:tc>
        <w:tc>
          <w:tcPr>
            <w:tcW w:w="715" w:type="pct"/>
            <w:tcBorders>
              <w:top w:val="nil"/>
              <w:left w:val="single" w:sz="8" w:space="0" w:color="BABABA"/>
              <w:bottom w:val="nil"/>
              <w:right w:val="single" w:sz="8" w:space="0" w:color="BABABA"/>
            </w:tcBorders>
            <w:hideMark/>
          </w:tcPr>
          <w:p w14:paraId="5B297E11" w14:textId="77777777" w:rsidR="00BA160A" w:rsidRPr="00722521" w:rsidRDefault="00BA160A" w:rsidP="00A903E6">
            <w:pPr>
              <w:pStyle w:val="TableParagraph"/>
              <w:mirrorIndents/>
              <w:rPr>
                <w:szCs w:val="17"/>
              </w:rPr>
            </w:pPr>
            <w:r w:rsidRPr="00722521">
              <w:rPr>
                <w:szCs w:val="17"/>
              </w:rPr>
              <w:t>relevant)</w:t>
            </w:r>
          </w:p>
        </w:tc>
        <w:tc>
          <w:tcPr>
            <w:tcW w:w="714" w:type="pct"/>
            <w:tcBorders>
              <w:top w:val="nil"/>
              <w:left w:val="single" w:sz="8" w:space="0" w:color="BABABA"/>
              <w:bottom w:val="nil"/>
              <w:right w:val="single" w:sz="8" w:space="0" w:color="BABABA"/>
            </w:tcBorders>
            <w:hideMark/>
          </w:tcPr>
          <w:p w14:paraId="61D63AB3" w14:textId="77777777" w:rsidR="00BA160A" w:rsidRPr="00722521" w:rsidRDefault="00BA160A" w:rsidP="00A903E6">
            <w:pPr>
              <w:pStyle w:val="TableParagraph"/>
              <w:mirrorIndents/>
              <w:rPr>
                <w:szCs w:val="17"/>
              </w:rPr>
            </w:pPr>
            <w:r w:rsidRPr="00722521">
              <w:rPr>
                <w:szCs w:val="17"/>
              </w:rPr>
              <w:t>relevant)</w:t>
            </w:r>
          </w:p>
        </w:tc>
        <w:tc>
          <w:tcPr>
            <w:tcW w:w="715" w:type="pct"/>
            <w:tcBorders>
              <w:top w:val="nil"/>
              <w:left w:val="single" w:sz="8" w:space="0" w:color="BABABA"/>
              <w:bottom w:val="nil"/>
              <w:right w:val="single" w:sz="8" w:space="0" w:color="BABABA"/>
            </w:tcBorders>
            <w:hideMark/>
          </w:tcPr>
          <w:p w14:paraId="7296CDC6" w14:textId="77777777" w:rsidR="00BA160A" w:rsidRPr="00722521" w:rsidRDefault="00BA160A" w:rsidP="00A903E6">
            <w:pPr>
              <w:pStyle w:val="TableParagraph"/>
              <w:mirrorIndents/>
              <w:rPr>
                <w:szCs w:val="17"/>
              </w:rPr>
            </w:pPr>
            <w:r w:rsidRPr="00722521">
              <w:rPr>
                <w:w w:val="105"/>
                <w:szCs w:val="17"/>
              </w:rPr>
              <w:t>Not</w:t>
            </w:r>
          </w:p>
        </w:tc>
      </w:tr>
      <w:tr w:rsidR="00BA160A" w:rsidRPr="00722521" w14:paraId="1602F69B" w14:textId="77777777" w:rsidTr="00436CD5">
        <w:trPr>
          <w:trHeight w:hRule="exact" w:val="398"/>
        </w:trPr>
        <w:tc>
          <w:tcPr>
            <w:tcW w:w="714" w:type="pct"/>
            <w:vMerge/>
            <w:tcBorders>
              <w:top w:val="single" w:sz="8" w:space="0" w:color="BABABA"/>
              <w:left w:val="single" w:sz="8" w:space="0" w:color="BABABA"/>
              <w:bottom w:val="single" w:sz="8" w:space="0" w:color="BABABA"/>
              <w:right w:val="single" w:sz="8" w:space="0" w:color="BABABA"/>
            </w:tcBorders>
            <w:vAlign w:val="center"/>
            <w:hideMark/>
          </w:tcPr>
          <w:p w14:paraId="0F789F80" w14:textId="77777777" w:rsidR="00BA160A" w:rsidRPr="00722521" w:rsidRDefault="00BA160A" w:rsidP="00A903E6">
            <w:pPr>
              <w:jc w:val="left"/>
              <w:rPr>
                <w:rFonts w:eastAsia="Microsoft Sans Serif" w:cs="Microsoft Sans Serif"/>
                <w:sz w:val="17"/>
                <w:szCs w:val="17"/>
              </w:rPr>
            </w:pPr>
          </w:p>
        </w:tc>
        <w:tc>
          <w:tcPr>
            <w:tcW w:w="714" w:type="pct"/>
            <w:tcBorders>
              <w:top w:val="nil"/>
              <w:left w:val="single" w:sz="8" w:space="0" w:color="BABABA"/>
              <w:bottom w:val="single" w:sz="8" w:space="0" w:color="BABABA"/>
              <w:right w:val="single" w:sz="8" w:space="0" w:color="BABABA"/>
            </w:tcBorders>
          </w:tcPr>
          <w:p w14:paraId="218B9E29" w14:textId="77777777" w:rsidR="00BA160A" w:rsidRPr="00722521" w:rsidRDefault="00BA160A" w:rsidP="00A903E6">
            <w:pPr>
              <w:mirrorIndents/>
              <w:rPr>
                <w:sz w:val="17"/>
                <w:szCs w:val="17"/>
              </w:rPr>
            </w:pPr>
          </w:p>
        </w:tc>
        <w:tc>
          <w:tcPr>
            <w:tcW w:w="715" w:type="pct"/>
            <w:tcBorders>
              <w:top w:val="nil"/>
              <w:left w:val="single" w:sz="8" w:space="0" w:color="BABABA"/>
              <w:bottom w:val="single" w:sz="8" w:space="0" w:color="BABABA"/>
              <w:right w:val="single" w:sz="8" w:space="0" w:color="BABABA"/>
            </w:tcBorders>
          </w:tcPr>
          <w:p w14:paraId="043F4844" w14:textId="77777777" w:rsidR="00BA160A" w:rsidRPr="00722521" w:rsidRDefault="00BA160A" w:rsidP="00A903E6">
            <w:pPr>
              <w:mirrorIndents/>
              <w:rPr>
                <w:sz w:val="17"/>
                <w:szCs w:val="17"/>
              </w:rPr>
            </w:pPr>
          </w:p>
        </w:tc>
        <w:tc>
          <w:tcPr>
            <w:tcW w:w="714" w:type="pct"/>
            <w:tcBorders>
              <w:top w:val="nil"/>
              <w:left w:val="single" w:sz="8" w:space="0" w:color="BABABA"/>
              <w:bottom w:val="single" w:sz="8" w:space="0" w:color="BABABA"/>
              <w:right w:val="single" w:sz="8" w:space="0" w:color="BABABA"/>
            </w:tcBorders>
          </w:tcPr>
          <w:p w14:paraId="0AC4031E" w14:textId="77777777" w:rsidR="00BA160A" w:rsidRPr="00722521" w:rsidRDefault="00BA160A" w:rsidP="00A903E6">
            <w:pPr>
              <w:mirrorIndents/>
              <w:rPr>
                <w:sz w:val="17"/>
                <w:szCs w:val="17"/>
              </w:rPr>
            </w:pPr>
          </w:p>
        </w:tc>
        <w:tc>
          <w:tcPr>
            <w:tcW w:w="715" w:type="pct"/>
            <w:tcBorders>
              <w:top w:val="nil"/>
              <w:left w:val="single" w:sz="8" w:space="0" w:color="BABABA"/>
              <w:bottom w:val="single" w:sz="8" w:space="0" w:color="BABABA"/>
              <w:right w:val="single" w:sz="8" w:space="0" w:color="BABABA"/>
            </w:tcBorders>
          </w:tcPr>
          <w:p w14:paraId="1CB84209" w14:textId="77777777" w:rsidR="00BA160A" w:rsidRPr="00722521" w:rsidRDefault="00BA160A" w:rsidP="00A903E6">
            <w:pPr>
              <w:mirrorIndents/>
              <w:rPr>
                <w:sz w:val="17"/>
                <w:szCs w:val="17"/>
              </w:rPr>
            </w:pPr>
          </w:p>
        </w:tc>
        <w:tc>
          <w:tcPr>
            <w:tcW w:w="714" w:type="pct"/>
            <w:tcBorders>
              <w:top w:val="nil"/>
              <w:left w:val="single" w:sz="8" w:space="0" w:color="BABABA"/>
              <w:bottom w:val="single" w:sz="8" w:space="0" w:color="BABABA"/>
              <w:right w:val="single" w:sz="8" w:space="0" w:color="BABABA"/>
            </w:tcBorders>
          </w:tcPr>
          <w:p w14:paraId="63CA0638" w14:textId="77777777" w:rsidR="00BA160A" w:rsidRPr="00722521" w:rsidRDefault="00BA160A" w:rsidP="00A903E6">
            <w:pPr>
              <w:mirrorIndents/>
              <w:rPr>
                <w:sz w:val="17"/>
                <w:szCs w:val="17"/>
              </w:rPr>
            </w:pPr>
          </w:p>
        </w:tc>
        <w:tc>
          <w:tcPr>
            <w:tcW w:w="715" w:type="pct"/>
            <w:tcBorders>
              <w:top w:val="nil"/>
              <w:left w:val="single" w:sz="8" w:space="0" w:color="BABABA"/>
              <w:bottom w:val="single" w:sz="8" w:space="0" w:color="BABABA"/>
              <w:right w:val="single" w:sz="8" w:space="0" w:color="BABABA"/>
            </w:tcBorders>
            <w:hideMark/>
          </w:tcPr>
          <w:p w14:paraId="585D7FF6" w14:textId="77777777" w:rsidR="00BA160A" w:rsidRPr="00722521" w:rsidRDefault="00BA160A" w:rsidP="00A903E6">
            <w:pPr>
              <w:pStyle w:val="TableParagraph"/>
              <w:mirrorIndents/>
              <w:rPr>
                <w:szCs w:val="17"/>
              </w:rPr>
            </w:pPr>
            <w:r w:rsidRPr="00722521">
              <w:rPr>
                <w:szCs w:val="17"/>
              </w:rPr>
              <w:t>applicable</w:t>
            </w:r>
          </w:p>
        </w:tc>
      </w:tr>
      <w:tr w:rsidR="00BA160A" w:rsidRPr="00722521" w14:paraId="704C20ED" w14:textId="77777777" w:rsidTr="00436CD5">
        <w:trPr>
          <w:trHeight w:hRule="exact" w:val="929"/>
        </w:trPr>
        <w:tc>
          <w:tcPr>
            <w:tcW w:w="714" w:type="pct"/>
            <w:tcBorders>
              <w:top w:val="single" w:sz="8" w:space="0" w:color="BABABA"/>
              <w:left w:val="single" w:sz="8" w:space="0" w:color="BABABA"/>
              <w:bottom w:val="single" w:sz="8" w:space="0" w:color="BABABA"/>
              <w:right w:val="single" w:sz="8" w:space="0" w:color="BABABA"/>
            </w:tcBorders>
            <w:hideMark/>
          </w:tcPr>
          <w:p w14:paraId="0ABB63EA" w14:textId="77777777" w:rsidR="00BA160A" w:rsidRPr="00722521" w:rsidRDefault="00BA160A" w:rsidP="00A903E6">
            <w:pPr>
              <w:pStyle w:val="TableParagraph"/>
              <w:mirrorIndents/>
              <w:rPr>
                <w:szCs w:val="17"/>
              </w:rPr>
            </w:pPr>
            <w:r w:rsidRPr="00722521">
              <w:rPr>
                <w:szCs w:val="17"/>
              </w:rPr>
              <w:t>Operational independence</w:t>
            </w:r>
          </w:p>
        </w:tc>
        <w:tc>
          <w:tcPr>
            <w:tcW w:w="714" w:type="pct"/>
            <w:tcBorders>
              <w:top w:val="single" w:sz="8" w:space="0" w:color="BABABA"/>
              <w:left w:val="single" w:sz="8" w:space="0" w:color="BABABA"/>
              <w:bottom w:val="single" w:sz="8" w:space="0" w:color="BABABA"/>
              <w:right w:val="single" w:sz="8" w:space="0" w:color="BABABA"/>
            </w:tcBorders>
          </w:tcPr>
          <w:p w14:paraId="67B29FD1" w14:textId="57B2DF89"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4137709C" w14:textId="4940BCED"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02B248CC" w14:textId="4587BDB3"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68B3C3E8" w14:textId="2E3E048D" w:rsidR="00BA160A" w:rsidRPr="00722521" w:rsidRDefault="003900AF" w:rsidP="00A903E6">
            <w:pPr>
              <w:pStyle w:val="TableParagraph"/>
              <w:mirrorIndents/>
              <w:rPr>
                <w:b/>
                <w:szCs w:val="17"/>
              </w:rPr>
            </w:pPr>
            <w:r w:rsidRPr="00722521">
              <w:rPr>
                <w:b/>
                <w:szCs w:val="17"/>
              </w:rPr>
              <w:t>x</w:t>
            </w:r>
          </w:p>
        </w:tc>
        <w:tc>
          <w:tcPr>
            <w:tcW w:w="714" w:type="pct"/>
            <w:tcBorders>
              <w:top w:val="single" w:sz="8" w:space="0" w:color="BABABA"/>
              <w:left w:val="single" w:sz="8" w:space="0" w:color="BABABA"/>
              <w:bottom w:val="single" w:sz="8" w:space="0" w:color="BABABA"/>
              <w:right w:val="single" w:sz="8" w:space="0" w:color="BABABA"/>
            </w:tcBorders>
          </w:tcPr>
          <w:p w14:paraId="401F560C"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32E402CC" w14:textId="77777777" w:rsidR="00BA160A" w:rsidRPr="00722521" w:rsidRDefault="00BA160A" w:rsidP="00A903E6">
            <w:pPr>
              <w:pStyle w:val="TableParagraph"/>
              <w:mirrorIndents/>
              <w:rPr>
                <w:b/>
                <w:szCs w:val="17"/>
              </w:rPr>
            </w:pPr>
          </w:p>
        </w:tc>
      </w:tr>
      <w:tr w:rsidR="00BA160A" w:rsidRPr="00722521" w14:paraId="00BD002A" w14:textId="77777777" w:rsidTr="00436CD5">
        <w:trPr>
          <w:trHeight w:hRule="exact" w:val="929"/>
        </w:trPr>
        <w:tc>
          <w:tcPr>
            <w:tcW w:w="714" w:type="pct"/>
            <w:tcBorders>
              <w:top w:val="single" w:sz="8" w:space="0" w:color="BABABA"/>
              <w:left w:val="single" w:sz="8" w:space="0" w:color="BABABA"/>
              <w:bottom w:val="single" w:sz="8" w:space="0" w:color="BABABA"/>
              <w:right w:val="single" w:sz="8" w:space="0" w:color="BABABA"/>
            </w:tcBorders>
            <w:hideMark/>
          </w:tcPr>
          <w:p w14:paraId="3398159D" w14:textId="77777777" w:rsidR="00BA160A" w:rsidRPr="00722521" w:rsidRDefault="00BA160A" w:rsidP="00A903E6">
            <w:pPr>
              <w:pStyle w:val="TableParagraph"/>
              <w:mirrorIndents/>
              <w:rPr>
                <w:szCs w:val="17"/>
              </w:rPr>
            </w:pPr>
            <w:r w:rsidRPr="00722521">
              <w:rPr>
                <w:szCs w:val="17"/>
              </w:rPr>
              <w:t>Financial independence</w:t>
            </w:r>
          </w:p>
        </w:tc>
        <w:tc>
          <w:tcPr>
            <w:tcW w:w="714" w:type="pct"/>
            <w:tcBorders>
              <w:top w:val="single" w:sz="8" w:space="0" w:color="BABABA"/>
              <w:left w:val="single" w:sz="8" w:space="0" w:color="BABABA"/>
              <w:bottom w:val="single" w:sz="8" w:space="0" w:color="BABABA"/>
              <w:right w:val="single" w:sz="8" w:space="0" w:color="BABABA"/>
            </w:tcBorders>
          </w:tcPr>
          <w:p w14:paraId="23D21B68" w14:textId="038565FB"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1E49E8CE" w14:textId="1C416BC4" w:rsidR="00BA160A" w:rsidRPr="00722521" w:rsidRDefault="003900AF" w:rsidP="00A903E6">
            <w:pPr>
              <w:pStyle w:val="TableParagraph"/>
              <w:mirrorIndents/>
              <w:rPr>
                <w:b/>
                <w:szCs w:val="17"/>
              </w:rPr>
            </w:pPr>
            <w:r w:rsidRPr="00722521">
              <w:rPr>
                <w:b/>
                <w:szCs w:val="17"/>
              </w:rPr>
              <w:t>x</w:t>
            </w:r>
          </w:p>
        </w:tc>
        <w:tc>
          <w:tcPr>
            <w:tcW w:w="714" w:type="pct"/>
            <w:tcBorders>
              <w:top w:val="single" w:sz="8" w:space="0" w:color="BABABA"/>
              <w:left w:val="single" w:sz="8" w:space="0" w:color="BABABA"/>
              <w:bottom w:val="single" w:sz="8" w:space="0" w:color="BABABA"/>
              <w:right w:val="single" w:sz="8" w:space="0" w:color="BABABA"/>
            </w:tcBorders>
          </w:tcPr>
          <w:p w14:paraId="3D429F33"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5CD8D022"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79478992"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2F3AE056" w14:textId="77777777" w:rsidR="00BA160A" w:rsidRPr="00722521" w:rsidRDefault="00BA160A" w:rsidP="00A903E6">
            <w:pPr>
              <w:pStyle w:val="TableParagraph"/>
              <w:mirrorIndents/>
              <w:rPr>
                <w:b/>
                <w:szCs w:val="17"/>
              </w:rPr>
            </w:pPr>
          </w:p>
        </w:tc>
      </w:tr>
      <w:tr w:rsidR="00BA160A" w:rsidRPr="00722521" w14:paraId="75365C29" w14:textId="77777777" w:rsidTr="00436CD5">
        <w:trPr>
          <w:trHeight w:hRule="exact" w:val="1522"/>
        </w:trPr>
        <w:tc>
          <w:tcPr>
            <w:tcW w:w="714" w:type="pct"/>
            <w:tcBorders>
              <w:top w:val="single" w:sz="8" w:space="0" w:color="BABABA"/>
              <w:left w:val="single" w:sz="8" w:space="0" w:color="BABABA"/>
              <w:bottom w:val="single" w:sz="8" w:space="0" w:color="BABABA"/>
              <w:right w:val="single" w:sz="8" w:space="0" w:color="BABABA"/>
            </w:tcBorders>
            <w:hideMark/>
          </w:tcPr>
          <w:p w14:paraId="6DBBF238" w14:textId="77777777" w:rsidR="00BA160A" w:rsidRPr="00722521" w:rsidRDefault="00BA160A" w:rsidP="00A903E6">
            <w:pPr>
              <w:pStyle w:val="TableParagraph"/>
              <w:mirrorIndents/>
              <w:rPr>
                <w:szCs w:val="17"/>
              </w:rPr>
            </w:pPr>
            <w:r w:rsidRPr="00722521">
              <w:rPr>
                <w:szCs w:val="17"/>
              </w:rPr>
              <w:t>Appointment and dismissal of governing body</w:t>
            </w:r>
          </w:p>
        </w:tc>
        <w:tc>
          <w:tcPr>
            <w:tcW w:w="714" w:type="pct"/>
            <w:tcBorders>
              <w:top w:val="single" w:sz="8" w:space="0" w:color="BABABA"/>
              <w:left w:val="single" w:sz="8" w:space="0" w:color="BABABA"/>
              <w:bottom w:val="single" w:sz="8" w:space="0" w:color="BABABA"/>
              <w:right w:val="single" w:sz="8" w:space="0" w:color="BABABA"/>
            </w:tcBorders>
          </w:tcPr>
          <w:p w14:paraId="24EF350F" w14:textId="2FA5FB84"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4D0CD211" w14:textId="14D0102D" w:rsidR="00BA160A" w:rsidRPr="00722521" w:rsidRDefault="003900AF" w:rsidP="00A903E6">
            <w:pPr>
              <w:pStyle w:val="TableParagraph"/>
              <w:mirrorIndents/>
              <w:rPr>
                <w:b/>
                <w:szCs w:val="17"/>
              </w:rPr>
            </w:pPr>
            <w:r w:rsidRPr="00722521">
              <w:rPr>
                <w:b/>
                <w:szCs w:val="17"/>
              </w:rPr>
              <w:t>x</w:t>
            </w:r>
          </w:p>
        </w:tc>
        <w:tc>
          <w:tcPr>
            <w:tcW w:w="714" w:type="pct"/>
            <w:tcBorders>
              <w:top w:val="single" w:sz="8" w:space="0" w:color="BABABA"/>
              <w:left w:val="single" w:sz="8" w:space="0" w:color="BABABA"/>
              <w:bottom w:val="single" w:sz="8" w:space="0" w:color="BABABA"/>
              <w:right w:val="single" w:sz="8" w:space="0" w:color="BABABA"/>
            </w:tcBorders>
          </w:tcPr>
          <w:p w14:paraId="349CF333"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5D49B56E"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4F7792EB"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690EBB5A" w14:textId="77777777" w:rsidR="00BA160A" w:rsidRPr="00722521" w:rsidRDefault="00BA160A" w:rsidP="00A903E6">
            <w:pPr>
              <w:pStyle w:val="TableParagraph"/>
              <w:mirrorIndents/>
              <w:rPr>
                <w:b/>
                <w:szCs w:val="17"/>
              </w:rPr>
            </w:pPr>
          </w:p>
        </w:tc>
      </w:tr>
      <w:tr w:rsidR="00BA160A" w:rsidRPr="00722521" w14:paraId="0CD02A35" w14:textId="77777777" w:rsidTr="00436CD5">
        <w:trPr>
          <w:trHeight w:hRule="exact" w:val="1225"/>
        </w:trPr>
        <w:tc>
          <w:tcPr>
            <w:tcW w:w="714" w:type="pct"/>
            <w:tcBorders>
              <w:top w:val="single" w:sz="8" w:space="0" w:color="BABABA"/>
              <w:left w:val="single" w:sz="8" w:space="0" w:color="BABABA"/>
              <w:bottom w:val="single" w:sz="8" w:space="0" w:color="BABABA"/>
              <w:right w:val="single" w:sz="8" w:space="0" w:color="BABABA"/>
            </w:tcBorders>
            <w:hideMark/>
          </w:tcPr>
          <w:p w14:paraId="417A8363" w14:textId="77777777" w:rsidR="00BA160A" w:rsidRPr="00722521" w:rsidRDefault="00BA160A" w:rsidP="00A903E6">
            <w:pPr>
              <w:pStyle w:val="TableParagraph"/>
              <w:mirrorIndents/>
              <w:rPr>
                <w:szCs w:val="17"/>
              </w:rPr>
            </w:pPr>
            <w:r w:rsidRPr="00722521">
              <w:rPr>
                <w:szCs w:val="17"/>
              </w:rPr>
              <w:t xml:space="preserve">Accountability </w:t>
            </w:r>
            <w:r w:rsidRPr="00722521">
              <w:rPr>
                <w:w w:val="105"/>
                <w:szCs w:val="17"/>
              </w:rPr>
              <w:t>and transparency</w:t>
            </w:r>
          </w:p>
        </w:tc>
        <w:tc>
          <w:tcPr>
            <w:tcW w:w="714" w:type="pct"/>
            <w:tcBorders>
              <w:top w:val="single" w:sz="8" w:space="0" w:color="BABABA"/>
              <w:left w:val="single" w:sz="8" w:space="0" w:color="BABABA"/>
              <w:bottom w:val="single" w:sz="8" w:space="0" w:color="BABABA"/>
              <w:right w:val="single" w:sz="8" w:space="0" w:color="BABABA"/>
            </w:tcBorders>
          </w:tcPr>
          <w:p w14:paraId="3546D146"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7E1032B9"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5B5CDC9D"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6B0FCC9C"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67E94A85" w14:textId="5DE3355B" w:rsidR="00BA160A" w:rsidRPr="00722521" w:rsidRDefault="009D4DC7" w:rsidP="00A903E6">
            <w:pPr>
              <w:pStyle w:val="TableParagraph"/>
              <w:mirrorIndents/>
              <w:rPr>
                <w:b/>
                <w:szCs w:val="17"/>
              </w:rPr>
            </w:pPr>
            <w:r w:rsidRPr="00722521">
              <w:rPr>
                <w:b/>
                <w:szCs w:val="17"/>
              </w:rPr>
              <w:t>x</w:t>
            </w:r>
          </w:p>
        </w:tc>
        <w:tc>
          <w:tcPr>
            <w:tcW w:w="715" w:type="pct"/>
            <w:tcBorders>
              <w:top w:val="single" w:sz="8" w:space="0" w:color="BABABA"/>
              <w:left w:val="single" w:sz="8" w:space="0" w:color="BABABA"/>
              <w:bottom w:val="single" w:sz="8" w:space="0" w:color="BABABA"/>
              <w:right w:val="single" w:sz="8" w:space="0" w:color="BABABA"/>
            </w:tcBorders>
          </w:tcPr>
          <w:p w14:paraId="610EB8B0" w14:textId="77777777" w:rsidR="00BA160A" w:rsidRPr="00722521" w:rsidRDefault="00BA160A" w:rsidP="00A903E6">
            <w:pPr>
              <w:pStyle w:val="TableParagraph"/>
              <w:mirrorIndents/>
              <w:rPr>
                <w:b/>
                <w:szCs w:val="17"/>
              </w:rPr>
            </w:pPr>
          </w:p>
        </w:tc>
      </w:tr>
      <w:tr w:rsidR="00BA160A" w:rsidRPr="00722521" w14:paraId="03CEC3EC" w14:textId="77777777" w:rsidTr="00436CD5">
        <w:trPr>
          <w:trHeight w:hRule="exact" w:val="1522"/>
        </w:trPr>
        <w:tc>
          <w:tcPr>
            <w:tcW w:w="714" w:type="pct"/>
            <w:tcBorders>
              <w:top w:val="single" w:sz="8" w:space="0" w:color="BABABA"/>
              <w:left w:val="single" w:sz="8" w:space="0" w:color="BABABA"/>
              <w:bottom w:val="single" w:sz="8" w:space="0" w:color="BABABA"/>
              <w:right w:val="single" w:sz="8" w:space="0" w:color="BABABA"/>
            </w:tcBorders>
            <w:hideMark/>
          </w:tcPr>
          <w:p w14:paraId="28EFE6CE" w14:textId="77777777" w:rsidR="00BA160A" w:rsidRPr="00722521" w:rsidRDefault="00BA160A" w:rsidP="00A903E6">
            <w:pPr>
              <w:pStyle w:val="TableParagraph"/>
              <w:mirrorIndents/>
              <w:rPr>
                <w:szCs w:val="17"/>
              </w:rPr>
            </w:pPr>
            <w:r w:rsidRPr="00722521">
              <w:rPr>
                <w:szCs w:val="17"/>
              </w:rPr>
              <w:t>Adequacy of powers and ability to apply them</w:t>
            </w:r>
          </w:p>
        </w:tc>
        <w:tc>
          <w:tcPr>
            <w:tcW w:w="714" w:type="pct"/>
            <w:tcBorders>
              <w:top w:val="single" w:sz="8" w:space="0" w:color="BABABA"/>
              <w:left w:val="single" w:sz="8" w:space="0" w:color="BABABA"/>
              <w:bottom w:val="single" w:sz="8" w:space="0" w:color="BABABA"/>
              <w:right w:val="single" w:sz="8" w:space="0" w:color="BABABA"/>
            </w:tcBorders>
          </w:tcPr>
          <w:p w14:paraId="5CD3F4F7"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17A86193"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7FF74BD3"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4B88E4EC"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50A8D94D" w14:textId="06A885FE" w:rsidR="00BA160A" w:rsidRPr="00722521" w:rsidRDefault="009D4DC7" w:rsidP="00A903E6">
            <w:pPr>
              <w:pStyle w:val="TableParagraph"/>
              <w:mirrorIndents/>
              <w:rPr>
                <w:b/>
                <w:szCs w:val="17"/>
              </w:rPr>
            </w:pPr>
            <w:r w:rsidRPr="00722521">
              <w:rPr>
                <w:b/>
                <w:szCs w:val="17"/>
              </w:rPr>
              <w:t>x</w:t>
            </w:r>
          </w:p>
        </w:tc>
        <w:tc>
          <w:tcPr>
            <w:tcW w:w="715" w:type="pct"/>
            <w:tcBorders>
              <w:top w:val="single" w:sz="8" w:space="0" w:color="BABABA"/>
              <w:left w:val="single" w:sz="8" w:space="0" w:color="BABABA"/>
              <w:bottom w:val="single" w:sz="8" w:space="0" w:color="BABABA"/>
              <w:right w:val="single" w:sz="8" w:space="0" w:color="BABABA"/>
            </w:tcBorders>
          </w:tcPr>
          <w:p w14:paraId="19E86747" w14:textId="77777777" w:rsidR="00BA160A" w:rsidRPr="00722521" w:rsidRDefault="00BA160A" w:rsidP="00A903E6">
            <w:pPr>
              <w:pStyle w:val="TableParagraph"/>
              <w:mirrorIndents/>
              <w:rPr>
                <w:b/>
                <w:szCs w:val="17"/>
              </w:rPr>
            </w:pPr>
          </w:p>
        </w:tc>
      </w:tr>
      <w:tr w:rsidR="00BA160A" w:rsidRPr="00722521" w14:paraId="04C4C126" w14:textId="77777777" w:rsidTr="00436CD5">
        <w:trPr>
          <w:trHeight w:hRule="exact" w:val="633"/>
        </w:trPr>
        <w:tc>
          <w:tcPr>
            <w:tcW w:w="714" w:type="pct"/>
            <w:tcBorders>
              <w:top w:val="single" w:sz="8" w:space="0" w:color="BABABA"/>
              <w:left w:val="single" w:sz="8" w:space="0" w:color="BABABA"/>
              <w:bottom w:val="single" w:sz="8" w:space="0" w:color="BABABA"/>
              <w:right w:val="single" w:sz="8" w:space="0" w:color="BABABA"/>
            </w:tcBorders>
            <w:hideMark/>
          </w:tcPr>
          <w:p w14:paraId="2E3EDFE5" w14:textId="77777777" w:rsidR="00BA160A" w:rsidRPr="00722521" w:rsidRDefault="00BA160A" w:rsidP="00A903E6">
            <w:pPr>
              <w:pStyle w:val="TableParagraph"/>
              <w:mirrorIndents/>
              <w:rPr>
                <w:szCs w:val="17"/>
              </w:rPr>
            </w:pPr>
            <w:r w:rsidRPr="00722521">
              <w:rPr>
                <w:w w:val="105"/>
                <w:szCs w:val="17"/>
              </w:rPr>
              <w:t>Other</w:t>
            </w:r>
          </w:p>
        </w:tc>
        <w:tc>
          <w:tcPr>
            <w:tcW w:w="714" w:type="pct"/>
            <w:tcBorders>
              <w:top w:val="single" w:sz="8" w:space="0" w:color="BABABA"/>
              <w:left w:val="single" w:sz="8" w:space="0" w:color="BABABA"/>
              <w:bottom w:val="single" w:sz="8" w:space="0" w:color="BABABA"/>
              <w:right w:val="single" w:sz="8" w:space="0" w:color="BABABA"/>
            </w:tcBorders>
          </w:tcPr>
          <w:p w14:paraId="613D2E25"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1AB24461"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69E2A96A"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09D1FC54"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04142414"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61E40C9D" w14:textId="6F7A49AB" w:rsidR="00BA160A" w:rsidRPr="00722521" w:rsidRDefault="009D4DC7" w:rsidP="00A903E6">
            <w:pPr>
              <w:pStyle w:val="TableParagraph"/>
              <w:mirrorIndents/>
              <w:rPr>
                <w:b/>
                <w:szCs w:val="17"/>
              </w:rPr>
            </w:pPr>
            <w:r w:rsidRPr="00722521">
              <w:rPr>
                <w:b/>
                <w:szCs w:val="17"/>
              </w:rPr>
              <w:t>x</w:t>
            </w:r>
          </w:p>
        </w:tc>
      </w:tr>
    </w:tbl>
    <w:p w14:paraId="0B3287AE" w14:textId="77777777" w:rsidR="00BA160A" w:rsidRPr="00722521" w:rsidRDefault="00BA160A" w:rsidP="00A903E6">
      <w:pPr>
        <w:pStyle w:val="Textkrper"/>
        <w:mirrorIndents/>
        <w:rPr>
          <w:rFonts w:ascii="Verdana" w:hAnsi="Verdana"/>
          <w:sz w:val="17"/>
          <w:szCs w:val="17"/>
        </w:rPr>
      </w:pPr>
    </w:p>
    <w:p w14:paraId="32C0959B" w14:textId="77777777" w:rsidR="00BA160A" w:rsidRPr="00722521" w:rsidRDefault="00BA160A" w:rsidP="00436CD5">
      <w:pPr>
        <w:pStyle w:val="Textkrper"/>
        <w:ind w:left="0"/>
        <w:mirrorIndents/>
        <w:rPr>
          <w:rFonts w:ascii="Verdana" w:hAnsi="Verdana"/>
          <w:sz w:val="17"/>
          <w:szCs w:val="17"/>
        </w:rPr>
      </w:pPr>
      <w:r w:rsidRPr="00722521">
        <w:rPr>
          <w:rFonts w:ascii="Verdana" w:hAnsi="Verdana"/>
          <w:sz w:val="17"/>
          <w:szCs w:val="17"/>
          <w:highlight w:val="lightGray"/>
        </w:rPr>
        <w:t xml:space="preserve">Please specify to what </w:t>
      </w:r>
      <w:proofErr w:type="gramStart"/>
      <w:r w:rsidRPr="00722521">
        <w:rPr>
          <w:rFonts w:ascii="Verdana" w:hAnsi="Verdana"/>
          <w:sz w:val="17"/>
          <w:szCs w:val="17"/>
          <w:highlight w:val="lightGray"/>
        </w:rPr>
        <w:t>other</w:t>
      </w:r>
      <w:proofErr w:type="gramEnd"/>
      <w:r w:rsidRPr="00722521">
        <w:rPr>
          <w:rFonts w:ascii="Verdana" w:hAnsi="Verdana"/>
          <w:sz w:val="17"/>
          <w:szCs w:val="17"/>
          <w:highlight w:val="lightGray"/>
        </w:rPr>
        <w:t xml:space="preserve"> criterion/a you refer:</w:t>
      </w:r>
    </w:p>
    <w:p w14:paraId="4603DC6F" w14:textId="0BE35583" w:rsidR="00436CD5" w:rsidRPr="00722521" w:rsidRDefault="00436CD5" w:rsidP="00A903E6">
      <w:pPr>
        <w:mirrorIndents/>
        <w:rPr>
          <w:sz w:val="17"/>
          <w:szCs w:val="17"/>
        </w:rPr>
      </w:pPr>
    </w:p>
    <w:p w14:paraId="2B54402F" w14:textId="2CD04F97" w:rsidR="00436CD5" w:rsidRPr="00722521" w:rsidRDefault="00135CB3" w:rsidP="00A903E6">
      <w:pPr>
        <w:mirrorIndents/>
        <w:rPr>
          <w:sz w:val="17"/>
          <w:szCs w:val="17"/>
        </w:rPr>
      </w:pPr>
      <w:r w:rsidRPr="00722521">
        <w:rPr>
          <w:sz w:val="17"/>
          <w:szCs w:val="17"/>
        </w:rPr>
        <w:t>N/A</w:t>
      </w:r>
    </w:p>
    <w:p w14:paraId="4346DC64" w14:textId="77777777" w:rsidR="00436CD5" w:rsidRPr="00722521" w:rsidRDefault="00436CD5" w:rsidP="00A903E6">
      <w:pPr>
        <w:mirrorIndents/>
        <w:rPr>
          <w:sz w:val="17"/>
          <w:szCs w:val="17"/>
        </w:rPr>
      </w:pPr>
    </w:p>
    <w:p w14:paraId="23B1B7C7" w14:textId="77777777" w:rsidR="00BA160A" w:rsidRPr="00722521" w:rsidRDefault="00BA160A" w:rsidP="00436CD5">
      <w:pPr>
        <w:pStyle w:val="Textkrper"/>
        <w:ind w:left="0"/>
        <w:mirrorIndents/>
        <w:rPr>
          <w:rFonts w:ascii="Verdana" w:hAnsi="Verdana"/>
          <w:sz w:val="17"/>
          <w:szCs w:val="17"/>
        </w:rPr>
      </w:pPr>
      <w:r w:rsidRPr="00722521">
        <w:rPr>
          <w:rFonts w:ascii="Verdana" w:hAnsi="Verdana"/>
          <w:sz w:val="17"/>
          <w:szCs w:val="17"/>
          <w:highlight w:val="lightGray"/>
        </w:rPr>
        <w:t>Please explain your answers to question 1.4.5:</w:t>
      </w:r>
    </w:p>
    <w:p w14:paraId="4E0573AA" w14:textId="02B51BCC" w:rsidR="00436CD5" w:rsidRPr="00722521" w:rsidRDefault="00436CD5" w:rsidP="00A903E6">
      <w:pPr>
        <w:mirrorIndents/>
        <w:rPr>
          <w:sz w:val="17"/>
          <w:szCs w:val="17"/>
        </w:rPr>
      </w:pPr>
    </w:p>
    <w:p w14:paraId="49E01E1E" w14:textId="28D4CF2F" w:rsidR="009D4DC7" w:rsidRPr="00722521" w:rsidRDefault="00722521" w:rsidP="009D4DC7">
      <w:pPr>
        <w:mirrorIndents/>
        <w:rPr>
          <w:sz w:val="17"/>
          <w:szCs w:val="17"/>
        </w:rPr>
      </w:pPr>
      <w:r>
        <w:rPr>
          <w:sz w:val="17"/>
          <w:szCs w:val="17"/>
        </w:rPr>
        <w:t>VVO</w:t>
      </w:r>
      <w:r w:rsidR="006F2ABD" w:rsidRPr="00722521">
        <w:rPr>
          <w:sz w:val="17"/>
          <w:szCs w:val="17"/>
        </w:rPr>
        <w:t xml:space="preserve"> </w:t>
      </w:r>
      <w:r w:rsidR="009D4DC7" w:rsidRPr="00722521">
        <w:rPr>
          <w:sz w:val="17"/>
          <w:szCs w:val="17"/>
        </w:rPr>
        <w:t xml:space="preserve">believes that the ESAs already are sufficiently operational and financially independent. In fact, it often appeared that the budgetary control mechanism as executed by the European Parliament seems to be the most effective tool for checks &amp; balances for the </w:t>
      </w:r>
      <w:r w:rsidR="006F2ABD" w:rsidRPr="00722521">
        <w:rPr>
          <w:sz w:val="17"/>
          <w:szCs w:val="17"/>
        </w:rPr>
        <w:t>a</w:t>
      </w:r>
      <w:r w:rsidR="009D4DC7" w:rsidRPr="00722521">
        <w:rPr>
          <w:sz w:val="17"/>
          <w:szCs w:val="17"/>
        </w:rPr>
        <w:t>uthorities. Compliance and adherence with their mandates is an essential factor for the credibility of the ESAs, the financial accountability towards the EU institutions and the operational accountability towards the Board of Supervisors are important in this respect.</w:t>
      </w:r>
    </w:p>
    <w:p w14:paraId="35F02F01" w14:textId="77777777" w:rsidR="009D4DC7" w:rsidRPr="00722521" w:rsidRDefault="009D4DC7" w:rsidP="009D4DC7">
      <w:pPr>
        <w:mirrorIndents/>
        <w:rPr>
          <w:sz w:val="17"/>
          <w:szCs w:val="17"/>
        </w:rPr>
      </w:pPr>
    </w:p>
    <w:p w14:paraId="5A48057D" w14:textId="018AEA07" w:rsidR="009D4DC7" w:rsidRPr="00722521" w:rsidRDefault="009D4DC7" w:rsidP="009D4DC7">
      <w:pPr>
        <w:mirrorIndents/>
        <w:rPr>
          <w:sz w:val="17"/>
          <w:szCs w:val="17"/>
        </w:rPr>
      </w:pPr>
      <w:r w:rsidRPr="00722521">
        <w:rPr>
          <w:sz w:val="17"/>
          <w:szCs w:val="17"/>
        </w:rPr>
        <w:t xml:space="preserve">The ESA Regulations do not foresee decision-making by unanimity. Therefore, it is ensured that no single interest or group of minor interest can block the ESAs in their ability to fulfil its mandate. </w:t>
      </w:r>
      <w:r w:rsidR="00892B55" w:rsidRPr="00722521">
        <w:rPr>
          <w:sz w:val="17"/>
          <w:szCs w:val="17"/>
        </w:rPr>
        <w:t xml:space="preserve"> It is also important to avoid an “ivory tower” situation where EIOPA is able to ignore valid concerns of its members. </w:t>
      </w:r>
      <w:r w:rsidR="00725F87" w:rsidRPr="00722521">
        <w:rPr>
          <w:sz w:val="17"/>
          <w:szCs w:val="17"/>
        </w:rPr>
        <w:t>T</w:t>
      </w:r>
      <w:r w:rsidR="00892B55" w:rsidRPr="00722521">
        <w:rPr>
          <w:sz w:val="17"/>
          <w:szCs w:val="17"/>
        </w:rPr>
        <w:t xml:space="preserve">he current governance </w:t>
      </w:r>
      <w:r w:rsidR="00725F87" w:rsidRPr="00722521">
        <w:rPr>
          <w:sz w:val="17"/>
          <w:szCs w:val="17"/>
        </w:rPr>
        <w:t>system is</w:t>
      </w:r>
      <w:r w:rsidR="00892B55" w:rsidRPr="00722521">
        <w:rPr>
          <w:sz w:val="17"/>
          <w:szCs w:val="17"/>
        </w:rPr>
        <w:t xml:space="preserve"> a good balance between independence, collaboration and collective decision making.</w:t>
      </w:r>
    </w:p>
    <w:p w14:paraId="18077B3B" w14:textId="77777777" w:rsidR="009D4DC7" w:rsidRPr="00722521" w:rsidRDefault="009D4DC7" w:rsidP="009D4DC7">
      <w:pPr>
        <w:mirrorIndents/>
        <w:rPr>
          <w:sz w:val="17"/>
          <w:szCs w:val="17"/>
        </w:rPr>
      </w:pPr>
    </w:p>
    <w:p w14:paraId="3F13D58D" w14:textId="209D0338" w:rsidR="00436CD5" w:rsidRPr="00722521" w:rsidRDefault="009D4DC7" w:rsidP="00A903E6">
      <w:pPr>
        <w:mirrorIndents/>
        <w:rPr>
          <w:sz w:val="17"/>
          <w:szCs w:val="17"/>
        </w:rPr>
      </w:pPr>
      <w:r w:rsidRPr="00722521">
        <w:rPr>
          <w:sz w:val="17"/>
          <w:szCs w:val="17"/>
        </w:rPr>
        <w:t>With regards to the specific task of monitoring and fostering the supervisory independence of N</w:t>
      </w:r>
      <w:r w:rsidR="006F2ABD" w:rsidRPr="00722521">
        <w:rPr>
          <w:sz w:val="17"/>
          <w:szCs w:val="17"/>
        </w:rPr>
        <w:t>S</w:t>
      </w:r>
      <w:r w:rsidRPr="00722521">
        <w:rPr>
          <w:sz w:val="17"/>
          <w:szCs w:val="17"/>
        </w:rPr>
        <w:t>As, EIOPA’s observations and concerns should be shared with the European Commission, particularly, where the lack of independence might present a threat to the compliance of the N</w:t>
      </w:r>
      <w:r w:rsidR="006F2ABD" w:rsidRPr="00722521">
        <w:rPr>
          <w:sz w:val="17"/>
          <w:szCs w:val="17"/>
        </w:rPr>
        <w:t>S</w:t>
      </w:r>
      <w:r w:rsidRPr="00722521">
        <w:rPr>
          <w:sz w:val="17"/>
          <w:szCs w:val="17"/>
        </w:rPr>
        <w:t>A with Union Law or where it is a threat to supervisory convergence, fair competition and consistent consumer protection.</w:t>
      </w:r>
    </w:p>
    <w:p w14:paraId="622B4B0E" w14:textId="77777777" w:rsidR="00436CD5" w:rsidRPr="00722521" w:rsidRDefault="00436CD5" w:rsidP="00436CD5">
      <w:pPr>
        <w:pStyle w:val="Textkrper"/>
        <w:ind w:left="0"/>
        <w:mirrorIndents/>
        <w:rPr>
          <w:rFonts w:ascii="Verdana" w:hAnsi="Verdana"/>
          <w:sz w:val="17"/>
          <w:szCs w:val="17"/>
        </w:rPr>
      </w:pPr>
    </w:p>
    <w:p w14:paraId="27C758AF" w14:textId="77777777" w:rsidR="00436CD5" w:rsidRPr="00722521" w:rsidRDefault="00436CD5" w:rsidP="00436CD5">
      <w:pPr>
        <w:pStyle w:val="Textkrper"/>
        <w:ind w:left="0"/>
        <w:mirrorIndents/>
        <w:rPr>
          <w:rFonts w:ascii="Verdana" w:hAnsi="Verdana"/>
          <w:sz w:val="17"/>
          <w:szCs w:val="17"/>
        </w:rPr>
      </w:pPr>
    </w:p>
    <w:p w14:paraId="5459DAAD" w14:textId="31EB37C5" w:rsidR="00BA160A" w:rsidRPr="00722521" w:rsidRDefault="00BA160A" w:rsidP="00436CD5">
      <w:pPr>
        <w:pStyle w:val="Textkrper"/>
        <w:ind w:left="0"/>
        <w:mirrorIndents/>
        <w:rPr>
          <w:rFonts w:ascii="Verdana" w:hAnsi="Verdana"/>
          <w:sz w:val="17"/>
          <w:szCs w:val="17"/>
        </w:rPr>
      </w:pPr>
      <w:r w:rsidRPr="00722521">
        <w:rPr>
          <w:rFonts w:ascii="Verdana" w:hAnsi="Verdana"/>
          <w:sz w:val="17"/>
          <w:szCs w:val="17"/>
          <w:highlight w:val="lightGray"/>
        </w:rPr>
        <w:t>Question 1.4.6 EIOPA: What are, in your view, the main remaining obstacle(s) to allow for a more effective supervisory convergence?</w:t>
      </w:r>
    </w:p>
    <w:p w14:paraId="268F39E8" w14:textId="77777777" w:rsidR="00436CD5" w:rsidRPr="00722521" w:rsidRDefault="00436CD5" w:rsidP="00A903E6">
      <w:pPr>
        <w:mirrorIndents/>
        <w:rPr>
          <w:sz w:val="17"/>
          <w:szCs w:val="17"/>
        </w:rPr>
      </w:pPr>
    </w:p>
    <w:p w14:paraId="16D40746" w14:textId="3D1EB71D" w:rsidR="00DE4ECE" w:rsidRPr="00722521" w:rsidRDefault="00722521" w:rsidP="009D4DC7">
      <w:pPr>
        <w:mirrorIndents/>
        <w:rPr>
          <w:sz w:val="17"/>
          <w:szCs w:val="17"/>
        </w:rPr>
      </w:pPr>
      <w:r>
        <w:rPr>
          <w:sz w:val="17"/>
          <w:szCs w:val="17"/>
        </w:rPr>
        <w:t>VVO</w:t>
      </w:r>
      <w:r w:rsidR="009D4DC7" w:rsidRPr="00722521">
        <w:rPr>
          <w:sz w:val="17"/>
          <w:szCs w:val="17"/>
        </w:rPr>
        <w:t xml:space="preserve"> believes that supervisory convergence needs to be based on regulatory convergence and consistency. Further regulatory integration of the single market will allow the ESAs and N</w:t>
      </w:r>
      <w:r w:rsidR="00DE4ECE" w:rsidRPr="00722521">
        <w:rPr>
          <w:sz w:val="17"/>
          <w:szCs w:val="17"/>
        </w:rPr>
        <w:t>S</w:t>
      </w:r>
      <w:r w:rsidR="009D4DC7" w:rsidRPr="00722521">
        <w:rPr>
          <w:sz w:val="17"/>
          <w:szCs w:val="17"/>
        </w:rPr>
        <w:t xml:space="preserve">As to supervise markets more consistently. </w:t>
      </w:r>
    </w:p>
    <w:p w14:paraId="1493EB9C" w14:textId="77777777" w:rsidR="00DE4ECE" w:rsidRPr="00722521" w:rsidRDefault="00DE4ECE" w:rsidP="009D4DC7">
      <w:pPr>
        <w:mirrorIndents/>
        <w:rPr>
          <w:sz w:val="17"/>
          <w:szCs w:val="17"/>
        </w:rPr>
      </w:pPr>
    </w:p>
    <w:p w14:paraId="297021CA" w14:textId="1C927224" w:rsidR="00BA160A" w:rsidRPr="00722521" w:rsidRDefault="009D4DC7" w:rsidP="00A903E6">
      <w:pPr>
        <w:mirrorIndents/>
        <w:rPr>
          <w:sz w:val="17"/>
          <w:szCs w:val="17"/>
        </w:rPr>
      </w:pPr>
      <w:r w:rsidRPr="00722521">
        <w:rPr>
          <w:sz w:val="17"/>
          <w:szCs w:val="17"/>
        </w:rPr>
        <w:t>National gold-plating</w:t>
      </w:r>
      <w:r w:rsidR="00A65895" w:rsidRPr="00722521">
        <w:rPr>
          <w:sz w:val="17"/>
          <w:szCs w:val="17"/>
        </w:rPr>
        <w:t>,</w:t>
      </w:r>
      <w:r w:rsidRPr="00722521">
        <w:rPr>
          <w:sz w:val="17"/>
          <w:szCs w:val="17"/>
        </w:rPr>
        <w:t xml:space="preserve"> arbitrary implementation and application of the regulatory framework</w:t>
      </w:r>
      <w:r w:rsidR="00A65895" w:rsidRPr="00722521">
        <w:rPr>
          <w:sz w:val="17"/>
          <w:szCs w:val="17"/>
        </w:rPr>
        <w:t xml:space="preserve"> and lack of transparency</w:t>
      </w:r>
      <w:r w:rsidRPr="00722521">
        <w:rPr>
          <w:sz w:val="17"/>
          <w:szCs w:val="17"/>
        </w:rPr>
        <w:t xml:space="preserve"> present the major threats.</w:t>
      </w:r>
    </w:p>
    <w:p w14:paraId="393191FD" w14:textId="77777777" w:rsidR="00FD1248" w:rsidRPr="00722521" w:rsidRDefault="00FD1248" w:rsidP="00A903E6">
      <w:pPr>
        <w:mirrorIndents/>
        <w:rPr>
          <w:sz w:val="17"/>
          <w:szCs w:val="17"/>
        </w:rPr>
      </w:pPr>
    </w:p>
    <w:p w14:paraId="4DCD07D7" w14:textId="183A645E" w:rsidR="00BA160A" w:rsidRPr="00722521" w:rsidRDefault="00BA160A" w:rsidP="001902AA">
      <w:pPr>
        <w:pStyle w:val="Textkrper"/>
        <w:ind w:left="0"/>
        <w:mirrorIndents/>
        <w:rPr>
          <w:rFonts w:ascii="Verdana" w:hAnsi="Verdana"/>
          <w:sz w:val="17"/>
          <w:szCs w:val="17"/>
        </w:rPr>
      </w:pPr>
      <w:r w:rsidRPr="00722521">
        <w:rPr>
          <w:rFonts w:ascii="Verdana" w:hAnsi="Verdana"/>
          <w:sz w:val="17"/>
          <w:szCs w:val="17"/>
          <w:highlight w:val="lightGray"/>
        </w:rPr>
        <w:t>Question 1.4.7 EIOPA: Do you consider that EIOPA ensures that enough information on their activities and on financial institutions is available?</w:t>
      </w:r>
    </w:p>
    <w:p w14:paraId="733D29D7" w14:textId="7B942742" w:rsidR="00436CD5" w:rsidRPr="00722521" w:rsidRDefault="00BA160A" w:rsidP="00436CD5">
      <w:pPr>
        <w:pStyle w:val="CEABullet-Level1"/>
        <w:rPr>
          <w:color w:val="auto"/>
          <w:highlight w:val="lightGray"/>
        </w:rPr>
      </w:pPr>
      <w:r w:rsidRPr="00722521">
        <w:rPr>
          <w:color w:val="auto"/>
          <w:highlight w:val="lightGray"/>
        </w:rPr>
        <w:t xml:space="preserve">Yes </w:t>
      </w:r>
    </w:p>
    <w:p w14:paraId="4DB2AB8E" w14:textId="2A4D5185" w:rsidR="00BA160A" w:rsidRPr="00722521" w:rsidRDefault="00BA160A" w:rsidP="00436CD5">
      <w:pPr>
        <w:pStyle w:val="CEABullet-Level1"/>
        <w:rPr>
          <w:color w:val="auto"/>
          <w:highlight w:val="lightGray"/>
        </w:rPr>
      </w:pPr>
      <w:r w:rsidRPr="00722521">
        <w:rPr>
          <w:color w:val="auto"/>
          <w:highlight w:val="lightGray"/>
        </w:rPr>
        <w:t>No</w:t>
      </w:r>
    </w:p>
    <w:p w14:paraId="5A6C485E" w14:textId="77777777" w:rsidR="00BA160A" w:rsidRPr="00722521" w:rsidRDefault="00BA160A" w:rsidP="00436CD5">
      <w:pPr>
        <w:pStyle w:val="CEABullet-Level1"/>
        <w:rPr>
          <w:color w:val="auto"/>
          <w:highlight w:val="lightGray"/>
        </w:rPr>
      </w:pPr>
      <w:r w:rsidRPr="00722521">
        <w:rPr>
          <w:color w:val="auto"/>
          <w:highlight w:val="lightGray"/>
        </w:rPr>
        <w:t>Don’t know / no opinion / not relevant</w:t>
      </w:r>
    </w:p>
    <w:p w14:paraId="07211991" w14:textId="1E93BD40" w:rsidR="00BA160A" w:rsidRPr="00722521" w:rsidRDefault="00BA160A" w:rsidP="00A903E6">
      <w:pPr>
        <w:mirrorIndents/>
        <w:rPr>
          <w:sz w:val="17"/>
          <w:szCs w:val="17"/>
        </w:rPr>
      </w:pPr>
    </w:p>
    <w:p w14:paraId="24D014D9" w14:textId="5C86BF0A" w:rsidR="00A764BC" w:rsidRPr="00722521" w:rsidRDefault="00A764BC" w:rsidP="00A903E6">
      <w:pPr>
        <w:mirrorIndents/>
        <w:rPr>
          <w:sz w:val="17"/>
          <w:szCs w:val="17"/>
        </w:rPr>
      </w:pPr>
      <w:r w:rsidRPr="00722521">
        <w:rPr>
          <w:sz w:val="17"/>
          <w:szCs w:val="17"/>
        </w:rPr>
        <w:t>Yes</w:t>
      </w:r>
    </w:p>
    <w:p w14:paraId="385BD0A1" w14:textId="77777777" w:rsidR="00A764BC" w:rsidRPr="00722521" w:rsidRDefault="00A764BC" w:rsidP="00A903E6">
      <w:pPr>
        <w:mirrorIndents/>
        <w:rPr>
          <w:sz w:val="17"/>
          <w:szCs w:val="17"/>
        </w:rPr>
      </w:pPr>
    </w:p>
    <w:p w14:paraId="1BDE73DE"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specify what changes should be made in this area for EIOPA:</w:t>
      </w:r>
    </w:p>
    <w:p w14:paraId="04515A00" w14:textId="60385A29" w:rsidR="00BA160A" w:rsidRPr="00722521" w:rsidRDefault="00BA160A" w:rsidP="00A903E6">
      <w:pPr>
        <w:mirrorIndents/>
        <w:rPr>
          <w:sz w:val="17"/>
          <w:szCs w:val="17"/>
        </w:rPr>
      </w:pPr>
    </w:p>
    <w:p w14:paraId="6CE7C6AF" w14:textId="3A153A8E" w:rsidR="00436CD5" w:rsidRPr="00722521" w:rsidRDefault="00436CD5" w:rsidP="00A903E6">
      <w:pPr>
        <w:mirrorIndents/>
        <w:rPr>
          <w:sz w:val="17"/>
          <w:szCs w:val="17"/>
        </w:rPr>
      </w:pPr>
    </w:p>
    <w:p w14:paraId="5B742530" w14:textId="77777777" w:rsidR="00436CD5" w:rsidRPr="00722521" w:rsidRDefault="00436CD5" w:rsidP="00A903E6">
      <w:pPr>
        <w:mirrorIndents/>
        <w:rPr>
          <w:sz w:val="17"/>
          <w:szCs w:val="17"/>
        </w:rPr>
      </w:pPr>
    </w:p>
    <w:p w14:paraId="3FF67343" w14:textId="1A7DFAB9" w:rsidR="00BA160A" w:rsidRPr="00722521" w:rsidRDefault="00BA160A" w:rsidP="00A903E6">
      <w:pPr>
        <w:pStyle w:val="Textkrper"/>
        <w:mirrorIndents/>
        <w:rPr>
          <w:rFonts w:ascii="Verdana" w:hAnsi="Verdana"/>
          <w:sz w:val="17"/>
          <w:szCs w:val="17"/>
          <w:highlight w:val="lightGray"/>
        </w:rPr>
      </w:pPr>
      <w:r w:rsidRPr="00722521">
        <w:rPr>
          <w:rFonts w:ascii="Verdana" w:hAnsi="Verdana"/>
          <w:sz w:val="17"/>
          <w:szCs w:val="17"/>
          <w:highlight w:val="lightGray"/>
        </w:rPr>
        <w:t>Question 1.4.8 Do you consider that the purpose and outcome of inquiries under Article 22.4 is clear?</w:t>
      </w:r>
    </w:p>
    <w:p w14:paraId="2F36DC57" w14:textId="77777777" w:rsidR="00436CD5" w:rsidRPr="00722521" w:rsidRDefault="00BA160A" w:rsidP="00436CD5">
      <w:pPr>
        <w:pStyle w:val="CEABullet-Level1"/>
        <w:rPr>
          <w:color w:val="auto"/>
          <w:highlight w:val="lightGray"/>
        </w:rPr>
      </w:pPr>
      <w:r w:rsidRPr="00722521">
        <w:rPr>
          <w:color w:val="auto"/>
          <w:highlight w:val="lightGray"/>
        </w:rPr>
        <w:t xml:space="preserve">Yes </w:t>
      </w:r>
    </w:p>
    <w:p w14:paraId="6CB0B332" w14:textId="3E85D486" w:rsidR="00BA160A" w:rsidRPr="00722521" w:rsidRDefault="00BA160A" w:rsidP="00436CD5">
      <w:pPr>
        <w:pStyle w:val="CEABullet-Level1"/>
        <w:rPr>
          <w:color w:val="auto"/>
          <w:highlight w:val="lightGray"/>
        </w:rPr>
      </w:pPr>
      <w:r w:rsidRPr="00722521">
        <w:rPr>
          <w:color w:val="auto"/>
          <w:highlight w:val="lightGray"/>
        </w:rPr>
        <w:t>No</w:t>
      </w:r>
    </w:p>
    <w:p w14:paraId="51D7678B" w14:textId="77777777" w:rsidR="00BA160A" w:rsidRPr="00722521" w:rsidRDefault="00BA160A" w:rsidP="00436CD5">
      <w:pPr>
        <w:pStyle w:val="CEABullet-Level1"/>
        <w:rPr>
          <w:color w:val="auto"/>
          <w:highlight w:val="lightGray"/>
        </w:rPr>
      </w:pPr>
      <w:r w:rsidRPr="00722521">
        <w:rPr>
          <w:color w:val="auto"/>
          <w:highlight w:val="lightGray"/>
        </w:rPr>
        <w:t>Don’t know / no opinion / not relevant</w:t>
      </w:r>
    </w:p>
    <w:p w14:paraId="4FAC2C5E" w14:textId="158E746D" w:rsidR="00BA160A" w:rsidRPr="00722521" w:rsidRDefault="00BA160A" w:rsidP="00A903E6">
      <w:pPr>
        <w:mirrorIndents/>
        <w:rPr>
          <w:sz w:val="17"/>
          <w:szCs w:val="17"/>
        </w:rPr>
      </w:pPr>
    </w:p>
    <w:p w14:paraId="1515492D" w14:textId="49C85906" w:rsidR="00DE4ECE" w:rsidRPr="00722521" w:rsidRDefault="00DE4ECE" w:rsidP="00A903E6">
      <w:pPr>
        <w:mirrorIndents/>
        <w:rPr>
          <w:sz w:val="17"/>
          <w:szCs w:val="17"/>
        </w:rPr>
      </w:pPr>
      <w:r w:rsidRPr="00722521">
        <w:rPr>
          <w:sz w:val="17"/>
          <w:szCs w:val="17"/>
        </w:rPr>
        <w:t>Yes</w:t>
      </w:r>
    </w:p>
    <w:p w14:paraId="260C0B21" w14:textId="77777777" w:rsidR="00DE4ECE" w:rsidRPr="00722521" w:rsidRDefault="00DE4ECE" w:rsidP="00A903E6">
      <w:pPr>
        <w:mirrorIndents/>
        <w:rPr>
          <w:sz w:val="17"/>
          <w:szCs w:val="17"/>
        </w:rPr>
      </w:pPr>
    </w:p>
    <w:p w14:paraId="1B2EE911"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indicate what role such inquiries should play:</w:t>
      </w:r>
    </w:p>
    <w:p w14:paraId="6D376823" w14:textId="5B867003" w:rsidR="00436CD5" w:rsidRPr="00722521" w:rsidRDefault="00436CD5" w:rsidP="00436CD5">
      <w:pPr>
        <w:mirrorIndents/>
        <w:rPr>
          <w:sz w:val="17"/>
          <w:szCs w:val="17"/>
        </w:rPr>
      </w:pPr>
    </w:p>
    <w:p w14:paraId="4F8400C0" w14:textId="53BCEBBC" w:rsidR="00436CD5" w:rsidRPr="00722521" w:rsidRDefault="00135CB3" w:rsidP="00436CD5">
      <w:pPr>
        <w:mirrorIndents/>
        <w:rPr>
          <w:sz w:val="17"/>
          <w:szCs w:val="17"/>
        </w:rPr>
      </w:pPr>
      <w:r w:rsidRPr="00722521">
        <w:rPr>
          <w:sz w:val="17"/>
          <w:szCs w:val="17"/>
        </w:rPr>
        <w:t>N/A</w:t>
      </w:r>
    </w:p>
    <w:p w14:paraId="61D24AA4" w14:textId="77777777" w:rsidR="00436CD5" w:rsidRPr="00722521" w:rsidRDefault="00436CD5" w:rsidP="00436CD5">
      <w:pPr>
        <w:mirrorIndents/>
        <w:rPr>
          <w:sz w:val="17"/>
          <w:szCs w:val="17"/>
        </w:rPr>
      </w:pPr>
    </w:p>
    <w:p w14:paraId="663AB399" w14:textId="01A2E906" w:rsidR="00BA160A" w:rsidRPr="00722521" w:rsidRDefault="00BA160A" w:rsidP="00436CD5">
      <w:pPr>
        <w:mirrorIndents/>
        <w:rPr>
          <w:b/>
          <w:bCs/>
          <w:sz w:val="17"/>
          <w:szCs w:val="17"/>
        </w:rPr>
      </w:pPr>
      <w:r w:rsidRPr="00722521">
        <w:rPr>
          <w:b/>
          <w:sz w:val="17"/>
          <w:szCs w:val="17"/>
          <w:highlight w:val="lightGray"/>
        </w:rPr>
        <w:lastRenderedPageBreak/>
        <w:t>Please explain your answer to question 1.4.8:</w:t>
      </w:r>
    </w:p>
    <w:p w14:paraId="30FAF2E6" w14:textId="68C5FBB4" w:rsidR="00BA160A" w:rsidRPr="00722521" w:rsidRDefault="00BA160A" w:rsidP="00A903E6">
      <w:pPr>
        <w:mirrorIndents/>
        <w:rPr>
          <w:sz w:val="17"/>
          <w:szCs w:val="17"/>
        </w:rPr>
      </w:pPr>
    </w:p>
    <w:p w14:paraId="39105F9B" w14:textId="310A8D08" w:rsidR="003B6D4F" w:rsidRPr="00722521" w:rsidRDefault="00722521" w:rsidP="00A903E6">
      <w:pPr>
        <w:mirrorIndents/>
        <w:rPr>
          <w:sz w:val="17"/>
          <w:szCs w:val="17"/>
        </w:rPr>
      </w:pPr>
      <w:r>
        <w:rPr>
          <w:sz w:val="17"/>
          <w:szCs w:val="17"/>
        </w:rPr>
        <w:t>VVO</w:t>
      </w:r>
      <w:r w:rsidR="00135CB3" w:rsidRPr="00722521">
        <w:rPr>
          <w:sz w:val="17"/>
          <w:szCs w:val="17"/>
        </w:rPr>
        <w:t xml:space="preserve"> is of the view </w:t>
      </w:r>
      <w:r w:rsidR="00FD1248" w:rsidRPr="00722521">
        <w:rPr>
          <w:sz w:val="17"/>
          <w:szCs w:val="17"/>
        </w:rPr>
        <w:t xml:space="preserve">that </w:t>
      </w:r>
      <w:r w:rsidR="009D4DC7" w:rsidRPr="00722521">
        <w:rPr>
          <w:sz w:val="17"/>
          <w:szCs w:val="17"/>
        </w:rPr>
        <w:t xml:space="preserve">the empowerment of EIOPA (and the ESRB) to assess systemic risk at an EU-wide basis and develop guidelines and recommendations </w:t>
      </w:r>
      <w:r w:rsidR="00AB0B6E" w:rsidRPr="00722521">
        <w:rPr>
          <w:sz w:val="17"/>
          <w:szCs w:val="17"/>
        </w:rPr>
        <w:t>i</w:t>
      </w:r>
      <w:r w:rsidR="009D4DC7" w:rsidRPr="00722521">
        <w:rPr>
          <w:sz w:val="17"/>
          <w:szCs w:val="17"/>
        </w:rPr>
        <w:t xml:space="preserve">s well </w:t>
      </w:r>
      <w:r w:rsidR="00135CB3" w:rsidRPr="00722521">
        <w:rPr>
          <w:sz w:val="17"/>
          <w:szCs w:val="17"/>
        </w:rPr>
        <w:t>d</w:t>
      </w:r>
      <w:r w:rsidR="009D4DC7" w:rsidRPr="00722521">
        <w:rPr>
          <w:sz w:val="17"/>
          <w:szCs w:val="17"/>
        </w:rPr>
        <w:t>rafted.</w:t>
      </w:r>
    </w:p>
    <w:p w14:paraId="5B943C15" w14:textId="25BFF34D" w:rsidR="00436CD5" w:rsidRPr="00722521" w:rsidRDefault="00436CD5" w:rsidP="00A903E6">
      <w:pPr>
        <w:mirrorIndents/>
        <w:rPr>
          <w:sz w:val="17"/>
          <w:szCs w:val="17"/>
        </w:rPr>
      </w:pPr>
    </w:p>
    <w:p w14:paraId="5CE99FAF" w14:textId="5B4B6FF9" w:rsidR="00FA4090" w:rsidRPr="00722521" w:rsidRDefault="00FA4090" w:rsidP="00FA4090">
      <w:r w:rsidRPr="00722521">
        <w:t xml:space="preserve">In light of the limited systemic risk of the insurance sector, relative measures of systemic relevance assessed at national level could easily lead to insurers with no material systemic relevance being burdened with unnecessary requirements. </w:t>
      </w:r>
      <w:r w:rsidR="00FD1248" w:rsidRPr="00722521">
        <w:t xml:space="preserve">Moreover, Insurance </w:t>
      </w:r>
      <w:proofErr w:type="gramStart"/>
      <w:r w:rsidR="00FD1248" w:rsidRPr="00722521">
        <w:t>Europe  notes</w:t>
      </w:r>
      <w:proofErr w:type="gramEnd"/>
      <w:r w:rsidR="00FD1248" w:rsidRPr="00722521">
        <w:t xml:space="preserve"> that in the common market of the EU, systemic risk should be assessed at an EU-wide basis taking fully into account proportionality.</w:t>
      </w:r>
    </w:p>
    <w:p w14:paraId="15E56A3C" w14:textId="77777777" w:rsidR="00FA4090" w:rsidRPr="00722521" w:rsidRDefault="00FA4090" w:rsidP="00FA4090"/>
    <w:p w14:paraId="099FD97D" w14:textId="00E3DF4A" w:rsidR="00FA4090" w:rsidRPr="00722521" w:rsidRDefault="00FA4090" w:rsidP="00FA4090">
      <w:r w:rsidRPr="00722521">
        <w:t xml:space="preserve">If EIOPA suggests to only provide a framework which will have to be implemented and applied at national level, the systemic risk on insurers would be assessed based on local characteristics, rather than their real systemic footprint. </w:t>
      </w:r>
      <w:r w:rsidR="00722521">
        <w:t>VVO</w:t>
      </w:r>
      <w:r w:rsidRPr="00722521">
        <w:t xml:space="preserve"> believes that this is the wrong approach. Instead, and in line with the function described in Article 22 of the EIOPA Regulation, such a determination should be done consistently and at an EU-wide basis. It is also essential that assessment and measures are applied at group level only and not on every entity. The proposals which EIOPA presented risk an inefficient multilayer system which must be avoided, to ensure a consistent implementation of the IAIS holistic framework at EU level.</w:t>
      </w:r>
    </w:p>
    <w:p w14:paraId="4FE59408" w14:textId="15C8C397" w:rsidR="00FA4090" w:rsidRPr="00722521" w:rsidRDefault="00FA4090" w:rsidP="00A903E6">
      <w:pPr>
        <w:mirrorIndents/>
        <w:rPr>
          <w:sz w:val="17"/>
          <w:szCs w:val="17"/>
        </w:rPr>
      </w:pPr>
    </w:p>
    <w:p w14:paraId="5204226A" w14:textId="77777777" w:rsidR="00FA4090" w:rsidRPr="00722521" w:rsidRDefault="00FA4090" w:rsidP="00A903E6">
      <w:pPr>
        <w:mirrorIndents/>
        <w:rPr>
          <w:sz w:val="17"/>
          <w:szCs w:val="17"/>
        </w:rPr>
      </w:pPr>
    </w:p>
    <w:p w14:paraId="26452A50" w14:textId="294CB551"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 xml:space="preserve">Question 1.4.9 In your view, is there the need to add any tools or tasks </w:t>
      </w:r>
      <w:proofErr w:type="gramStart"/>
      <w:r w:rsidRPr="00722521">
        <w:rPr>
          <w:rFonts w:ascii="Verdana" w:hAnsi="Verdana"/>
          <w:sz w:val="17"/>
          <w:szCs w:val="17"/>
          <w:highlight w:val="lightGray"/>
        </w:rPr>
        <w:t>in order to</w:t>
      </w:r>
      <w:proofErr w:type="gramEnd"/>
      <w:r w:rsidRPr="00722521">
        <w:rPr>
          <w:rFonts w:ascii="Verdana" w:hAnsi="Verdana"/>
          <w:sz w:val="17"/>
          <w:szCs w:val="17"/>
          <w:highlight w:val="lightGray"/>
        </w:rPr>
        <w:t xml:space="preserve"> enhance supervisory convergence towards digital finance?</w:t>
      </w:r>
    </w:p>
    <w:p w14:paraId="7A99B9AF" w14:textId="77777777" w:rsidR="00436CD5" w:rsidRPr="00722521" w:rsidRDefault="00BA160A" w:rsidP="00436CD5">
      <w:pPr>
        <w:pStyle w:val="CEABullet-Level1"/>
        <w:rPr>
          <w:color w:val="auto"/>
          <w:highlight w:val="lightGray"/>
        </w:rPr>
      </w:pPr>
      <w:r w:rsidRPr="00722521">
        <w:rPr>
          <w:color w:val="auto"/>
          <w:highlight w:val="lightGray"/>
        </w:rPr>
        <w:t xml:space="preserve">Yes </w:t>
      </w:r>
    </w:p>
    <w:p w14:paraId="467500D9" w14:textId="42BA27E8" w:rsidR="00BA160A" w:rsidRPr="00722521" w:rsidRDefault="00BA160A" w:rsidP="00436CD5">
      <w:pPr>
        <w:pStyle w:val="CEABullet-Level1"/>
        <w:rPr>
          <w:color w:val="auto"/>
          <w:highlight w:val="lightGray"/>
        </w:rPr>
      </w:pPr>
      <w:r w:rsidRPr="00722521">
        <w:rPr>
          <w:color w:val="auto"/>
          <w:highlight w:val="lightGray"/>
        </w:rPr>
        <w:t>No</w:t>
      </w:r>
    </w:p>
    <w:p w14:paraId="11AE711B" w14:textId="77777777" w:rsidR="00BA160A" w:rsidRPr="00722521" w:rsidRDefault="00BA160A" w:rsidP="00436CD5">
      <w:pPr>
        <w:pStyle w:val="CEABullet-Level1"/>
        <w:rPr>
          <w:color w:val="auto"/>
          <w:highlight w:val="lightGray"/>
        </w:rPr>
      </w:pPr>
      <w:r w:rsidRPr="00722521">
        <w:rPr>
          <w:color w:val="auto"/>
          <w:highlight w:val="lightGray"/>
        </w:rPr>
        <w:t>Don’t know / no opinion / not relevant</w:t>
      </w:r>
    </w:p>
    <w:p w14:paraId="6C35DE57" w14:textId="151345A7" w:rsidR="00BA160A" w:rsidRPr="00722521" w:rsidRDefault="00BA160A" w:rsidP="00A903E6">
      <w:pPr>
        <w:mirrorIndents/>
        <w:rPr>
          <w:sz w:val="17"/>
          <w:szCs w:val="17"/>
        </w:rPr>
      </w:pPr>
    </w:p>
    <w:p w14:paraId="1F63DFAD" w14:textId="1F11EBA4" w:rsidR="00135CB3" w:rsidRPr="00722521" w:rsidRDefault="00892B55" w:rsidP="00A903E6">
      <w:pPr>
        <w:mirrorIndents/>
        <w:rPr>
          <w:sz w:val="17"/>
          <w:szCs w:val="17"/>
        </w:rPr>
      </w:pPr>
      <w:r w:rsidRPr="00722521">
        <w:rPr>
          <w:sz w:val="17"/>
          <w:szCs w:val="17"/>
        </w:rPr>
        <w:t>No</w:t>
      </w:r>
    </w:p>
    <w:p w14:paraId="15B5B785" w14:textId="77777777" w:rsidR="00135CB3" w:rsidRPr="00722521" w:rsidRDefault="00135CB3" w:rsidP="00A903E6">
      <w:pPr>
        <w:mirrorIndents/>
        <w:rPr>
          <w:sz w:val="17"/>
          <w:szCs w:val="17"/>
        </w:rPr>
      </w:pPr>
    </w:p>
    <w:p w14:paraId="699F9F06"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rPr>
        <w:t>If there is need to add tools or tasks, please specify which one(s) and explain:</w:t>
      </w:r>
    </w:p>
    <w:p w14:paraId="4EC29F1D" w14:textId="7D8733B4" w:rsidR="00BA160A" w:rsidRPr="00722521" w:rsidRDefault="00BA160A" w:rsidP="00A903E6">
      <w:pPr>
        <w:mirrorIndents/>
        <w:rPr>
          <w:sz w:val="17"/>
          <w:szCs w:val="17"/>
        </w:rPr>
      </w:pPr>
    </w:p>
    <w:p w14:paraId="46D78A09" w14:textId="3FF76202" w:rsidR="00436CD5" w:rsidRPr="00722521" w:rsidRDefault="00436CD5" w:rsidP="00A903E6">
      <w:pPr>
        <w:mirrorIndents/>
        <w:rPr>
          <w:sz w:val="17"/>
          <w:szCs w:val="17"/>
        </w:rPr>
      </w:pPr>
    </w:p>
    <w:p w14:paraId="1077C37E" w14:textId="77777777" w:rsidR="00436CD5" w:rsidRPr="00722521" w:rsidRDefault="00436CD5" w:rsidP="001D73BD">
      <w:pPr>
        <w:pStyle w:val="Textkrper"/>
        <w:ind w:left="0"/>
        <w:mirrorIndents/>
        <w:rPr>
          <w:rFonts w:ascii="Verdana" w:hAnsi="Verdana"/>
          <w:sz w:val="17"/>
          <w:szCs w:val="17"/>
        </w:rPr>
      </w:pPr>
    </w:p>
    <w:p w14:paraId="1B5EFD3F" w14:textId="3EE41EA7" w:rsidR="00BA160A" w:rsidRPr="00722521" w:rsidRDefault="00BA160A" w:rsidP="001D73BD">
      <w:pPr>
        <w:pStyle w:val="Textkrper"/>
        <w:ind w:left="0"/>
        <w:mirrorIndents/>
        <w:rPr>
          <w:rFonts w:ascii="Verdana" w:hAnsi="Verdana"/>
          <w:sz w:val="17"/>
          <w:szCs w:val="17"/>
          <w:highlight w:val="lightGray"/>
        </w:rPr>
      </w:pPr>
      <w:r w:rsidRPr="00722521">
        <w:rPr>
          <w:rFonts w:ascii="Verdana" w:hAnsi="Verdana"/>
          <w:sz w:val="17"/>
          <w:szCs w:val="17"/>
          <w:highlight w:val="lightGray"/>
        </w:rPr>
        <w:t>Question 1.4.10 Please assess the effectiveness of supervisory convergence tools developed by the ESAs (e.g. common supervisory actions, real case discussions, etc.) for achieving supervisory convergence:</w:t>
      </w:r>
    </w:p>
    <w:p w14:paraId="262607F8" w14:textId="567FE2D1" w:rsidR="00BA160A" w:rsidRPr="00722521" w:rsidRDefault="001D73BD" w:rsidP="001D73BD">
      <w:pPr>
        <w:pStyle w:val="CEABullet-Level1"/>
        <w:rPr>
          <w:color w:val="auto"/>
          <w:highlight w:val="lightGray"/>
        </w:rPr>
      </w:pPr>
      <w:r w:rsidRPr="00722521">
        <w:rPr>
          <w:color w:val="auto"/>
          <w:highlight w:val="lightGray"/>
        </w:rPr>
        <w:t xml:space="preserve">1 </w:t>
      </w:r>
      <w:r w:rsidR="00BA160A" w:rsidRPr="00722521">
        <w:rPr>
          <w:color w:val="auto"/>
          <w:highlight w:val="lightGray"/>
        </w:rPr>
        <w:t>- Least effective</w:t>
      </w:r>
    </w:p>
    <w:p w14:paraId="4E5F4EDC" w14:textId="4830DC68" w:rsidR="00436CD5" w:rsidRPr="00722521" w:rsidRDefault="001D73BD" w:rsidP="001D73BD">
      <w:pPr>
        <w:pStyle w:val="CEABullet-Level1"/>
        <w:rPr>
          <w:color w:val="auto"/>
          <w:highlight w:val="lightGray"/>
        </w:rPr>
      </w:pPr>
      <w:r w:rsidRPr="00722521">
        <w:rPr>
          <w:color w:val="auto"/>
          <w:highlight w:val="lightGray"/>
        </w:rPr>
        <w:t xml:space="preserve">2 </w:t>
      </w:r>
      <w:r w:rsidR="00BA160A" w:rsidRPr="00722521">
        <w:rPr>
          <w:color w:val="auto"/>
          <w:highlight w:val="lightGray"/>
        </w:rPr>
        <w:t xml:space="preserve">- Rather not effective </w:t>
      </w:r>
    </w:p>
    <w:p w14:paraId="1C0C83C5" w14:textId="15846FA1" w:rsidR="00BA160A" w:rsidRPr="00722521" w:rsidRDefault="001D73BD" w:rsidP="001D73BD">
      <w:pPr>
        <w:pStyle w:val="CEABullet-Level1"/>
        <w:rPr>
          <w:color w:val="auto"/>
          <w:highlight w:val="lightGray"/>
        </w:rPr>
      </w:pPr>
      <w:r w:rsidRPr="00722521">
        <w:rPr>
          <w:color w:val="auto"/>
          <w:highlight w:val="lightGray"/>
        </w:rPr>
        <w:t>3</w:t>
      </w:r>
      <w:r w:rsidR="00BA160A" w:rsidRPr="00722521">
        <w:rPr>
          <w:color w:val="auto"/>
          <w:highlight w:val="lightGray"/>
        </w:rPr>
        <w:t xml:space="preserve"> - Neutral</w:t>
      </w:r>
    </w:p>
    <w:p w14:paraId="08DD8CE0" w14:textId="6AB6FDE7" w:rsidR="00436CD5" w:rsidRPr="00722521" w:rsidRDefault="001D73BD" w:rsidP="001D73BD">
      <w:pPr>
        <w:pStyle w:val="CEABullet-Level1"/>
        <w:rPr>
          <w:color w:val="auto"/>
          <w:highlight w:val="lightGray"/>
        </w:rPr>
      </w:pPr>
      <w:r w:rsidRPr="00722521">
        <w:rPr>
          <w:color w:val="auto"/>
          <w:highlight w:val="lightGray"/>
        </w:rPr>
        <w:t xml:space="preserve">4 </w:t>
      </w:r>
      <w:r w:rsidR="00BA160A" w:rsidRPr="00722521">
        <w:rPr>
          <w:color w:val="auto"/>
          <w:highlight w:val="lightGray"/>
        </w:rPr>
        <w:t xml:space="preserve">- Rather effective </w:t>
      </w:r>
    </w:p>
    <w:p w14:paraId="2727EBC4" w14:textId="3FEF60D9" w:rsidR="00BA160A" w:rsidRPr="00722521" w:rsidRDefault="001D73BD" w:rsidP="001D73BD">
      <w:pPr>
        <w:pStyle w:val="CEABullet-Level1"/>
        <w:rPr>
          <w:color w:val="auto"/>
          <w:highlight w:val="lightGray"/>
        </w:rPr>
      </w:pPr>
      <w:r w:rsidRPr="00722521">
        <w:rPr>
          <w:color w:val="auto"/>
          <w:highlight w:val="lightGray"/>
        </w:rPr>
        <w:t xml:space="preserve">5 </w:t>
      </w:r>
      <w:r w:rsidR="00BA160A" w:rsidRPr="00722521">
        <w:rPr>
          <w:color w:val="auto"/>
          <w:highlight w:val="lightGray"/>
        </w:rPr>
        <w:t>- Very effective</w:t>
      </w:r>
    </w:p>
    <w:p w14:paraId="418C97D1" w14:textId="77777777" w:rsidR="00BA160A" w:rsidRPr="00722521" w:rsidRDefault="00BA160A" w:rsidP="001D73BD">
      <w:pPr>
        <w:pStyle w:val="CEABullet-Level1"/>
        <w:rPr>
          <w:color w:val="auto"/>
          <w:highlight w:val="lightGray"/>
        </w:rPr>
      </w:pPr>
      <w:r w:rsidRPr="00722521">
        <w:rPr>
          <w:color w:val="auto"/>
          <w:highlight w:val="lightGray"/>
        </w:rPr>
        <w:t>Don’t know / no opinion / not relevant</w:t>
      </w:r>
    </w:p>
    <w:p w14:paraId="49A9100E" w14:textId="6AB1053B" w:rsidR="00BA160A" w:rsidRPr="00722521" w:rsidRDefault="00BA160A" w:rsidP="00A903E6">
      <w:pPr>
        <w:mirrorIndents/>
        <w:rPr>
          <w:sz w:val="17"/>
          <w:szCs w:val="17"/>
        </w:rPr>
      </w:pPr>
    </w:p>
    <w:p w14:paraId="6E0A0A78" w14:textId="21D6ACF8" w:rsidR="001D73BD" w:rsidRPr="00722521" w:rsidRDefault="007950F6" w:rsidP="001D73BD">
      <w:pPr>
        <w:mirrorIndents/>
        <w:rPr>
          <w:sz w:val="17"/>
          <w:szCs w:val="17"/>
        </w:rPr>
      </w:pPr>
      <w:r w:rsidRPr="00722521">
        <w:rPr>
          <w:sz w:val="17"/>
          <w:szCs w:val="17"/>
        </w:rPr>
        <w:t>4</w:t>
      </w:r>
      <w:r w:rsidR="001D73BD" w:rsidRPr="00722521">
        <w:rPr>
          <w:sz w:val="17"/>
          <w:szCs w:val="17"/>
        </w:rPr>
        <w:t xml:space="preserve"> - Rather effective </w:t>
      </w:r>
    </w:p>
    <w:p w14:paraId="2422954E" w14:textId="77777777" w:rsidR="001D73BD" w:rsidRPr="00722521" w:rsidRDefault="001D73BD" w:rsidP="00A903E6">
      <w:pPr>
        <w:mirrorIndents/>
        <w:rPr>
          <w:sz w:val="17"/>
          <w:szCs w:val="17"/>
        </w:rPr>
      </w:pPr>
    </w:p>
    <w:p w14:paraId="75D9CED6" w14:textId="198BA4AA" w:rsidR="00BA160A" w:rsidRPr="00722521" w:rsidRDefault="00BA160A" w:rsidP="001D73BD">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1.4.10:</w:t>
      </w:r>
    </w:p>
    <w:p w14:paraId="687990B9" w14:textId="77777777" w:rsidR="00F16DA3" w:rsidRPr="00722521" w:rsidRDefault="00F16DA3" w:rsidP="00F16DA3">
      <w:pPr>
        <w:pStyle w:val="Textkrper"/>
        <w:mirrorIndents/>
        <w:rPr>
          <w:rFonts w:ascii="Verdana" w:hAnsi="Verdana"/>
          <w:b w:val="0"/>
          <w:bCs w:val="0"/>
          <w:sz w:val="17"/>
          <w:szCs w:val="17"/>
        </w:rPr>
      </w:pPr>
    </w:p>
    <w:p w14:paraId="56A34ABA" w14:textId="4BCF0282" w:rsidR="00F16DA3" w:rsidRPr="00722521" w:rsidRDefault="00722521" w:rsidP="001D73BD">
      <w:pPr>
        <w:mirrorIndents/>
        <w:rPr>
          <w:sz w:val="17"/>
          <w:szCs w:val="17"/>
        </w:rPr>
      </w:pPr>
      <w:r>
        <w:rPr>
          <w:sz w:val="17"/>
          <w:szCs w:val="17"/>
        </w:rPr>
        <w:t>VVO</w:t>
      </w:r>
      <w:r w:rsidR="007950F6" w:rsidRPr="00722521">
        <w:rPr>
          <w:sz w:val="17"/>
          <w:szCs w:val="17"/>
        </w:rPr>
        <w:t xml:space="preserve"> </w:t>
      </w:r>
      <w:r w:rsidR="00F16DA3" w:rsidRPr="00722521">
        <w:rPr>
          <w:sz w:val="17"/>
          <w:szCs w:val="17"/>
        </w:rPr>
        <w:t>believes that particularly peer reviews and the resulting recommendations and best practices can be a significant driver for enhancing supervisory convergence. It is important that supervisory practice is consistent across the Union in order to ensure a level playing field. Gold-plating by some N</w:t>
      </w:r>
      <w:r w:rsidR="007950F6" w:rsidRPr="00722521">
        <w:rPr>
          <w:sz w:val="17"/>
          <w:szCs w:val="17"/>
        </w:rPr>
        <w:t>C</w:t>
      </w:r>
      <w:r w:rsidR="00F16DA3" w:rsidRPr="00722521">
        <w:rPr>
          <w:sz w:val="17"/>
          <w:szCs w:val="17"/>
        </w:rPr>
        <w:t>As and potential arbitrary behaviour by others undermine fair competition and the functioning of the single market. A common supervisory culture a consistent interpretation of the tasks and the mandate and a close cooperation across the Union can be essential in this respect.</w:t>
      </w:r>
    </w:p>
    <w:p w14:paraId="5176968A" w14:textId="33507B0A" w:rsidR="00F16DA3" w:rsidRPr="00722521" w:rsidRDefault="00D45691" w:rsidP="001D73BD">
      <w:pPr>
        <w:mirrorIndents/>
        <w:rPr>
          <w:sz w:val="17"/>
          <w:szCs w:val="17"/>
        </w:rPr>
      </w:pPr>
      <w:r w:rsidRPr="00722521">
        <w:rPr>
          <w:sz w:val="17"/>
          <w:szCs w:val="17"/>
        </w:rPr>
        <w:t>To achieve this high-level objective, EIOPA has developed different tools which can be grouped in three building blocks:</w:t>
      </w:r>
    </w:p>
    <w:p w14:paraId="6A916F21" w14:textId="3775BCE4" w:rsidR="00D45691" w:rsidRPr="00722521" w:rsidRDefault="00D45691" w:rsidP="001D73BD">
      <w:pPr>
        <w:mirrorIndents/>
        <w:rPr>
          <w:sz w:val="17"/>
          <w:szCs w:val="17"/>
        </w:rPr>
      </w:pPr>
      <w:r w:rsidRPr="00722521">
        <w:rPr>
          <w:sz w:val="17"/>
          <w:szCs w:val="17"/>
        </w:rPr>
        <w:lastRenderedPageBreak/>
        <w:t xml:space="preserve">1/Common benchmarks: Guidelines and recommendations, opinions, Supervisory Handbook, Supervisory Statements, Questions and Answers, Reports on supervisory areas, Training and Events. </w:t>
      </w:r>
    </w:p>
    <w:p w14:paraId="3ADC45E1" w14:textId="226E8E35" w:rsidR="00D45691" w:rsidRPr="00722521" w:rsidRDefault="00D45691" w:rsidP="001D73BD">
      <w:pPr>
        <w:mirrorIndents/>
        <w:rPr>
          <w:sz w:val="17"/>
          <w:szCs w:val="17"/>
        </w:rPr>
      </w:pPr>
      <w:r w:rsidRPr="00722521">
        <w:rPr>
          <w:sz w:val="17"/>
          <w:szCs w:val="17"/>
        </w:rPr>
        <w:t>2/Review of practices (thematic reviews, peer reviews, consistency projects)</w:t>
      </w:r>
    </w:p>
    <w:p w14:paraId="065244B3" w14:textId="6C3C5490" w:rsidR="00D45691" w:rsidRPr="00722521" w:rsidRDefault="00D45691" w:rsidP="001D73BD">
      <w:pPr>
        <w:mirrorIndents/>
        <w:rPr>
          <w:sz w:val="17"/>
          <w:szCs w:val="17"/>
        </w:rPr>
      </w:pPr>
      <w:r w:rsidRPr="00722521">
        <w:rPr>
          <w:sz w:val="17"/>
          <w:szCs w:val="17"/>
        </w:rPr>
        <w:t>3/EIOPA’s independent assessments (bilateral engagement, engagements with several NCAs).</w:t>
      </w:r>
    </w:p>
    <w:p w14:paraId="6185125E" w14:textId="63F0FF71" w:rsidR="00D45691" w:rsidRPr="00722521" w:rsidRDefault="00D45691" w:rsidP="001D73BD">
      <w:pPr>
        <w:mirrorIndents/>
        <w:rPr>
          <w:sz w:val="17"/>
          <w:szCs w:val="17"/>
        </w:rPr>
      </w:pPr>
      <w:r w:rsidRPr="00722521">
        <w:rPr>
          <w:sz w:val="17"/>
          <w:szCs w:val="17"/>
        </w:rPr>
        <w:t xml:space="preserve">As </w:t>
      </w:r>
      <w:r w:rsidR="0052653B" w:rsidRPr="00722521">
        <w:rPr>
          <w:sz w:val="17"/>
          <w:szCs w:val="17"/>
        </w:rPr>
        <w:t>stated</w:t>
      </w:r>
      <w:r w:rsidRPr="00722521">
        <w:rPr>
          <w:sz w:val="17"/>
          <w:szCs w:val="17"/>
        </w:rPr>
        <w:t xml:space="preserve"> above, the number of tools at EIOPA’s disposal should be streamlined at the risk of complexifying the regulatory applicable framework.</w:t>
      </w:r>
    </w:p>
    <w:p w14:paraId="4D7A0539" w14:textId="18948630" w:rsidR="00F16DA3" w:rsidRPr="00722521" w:rsidRDefault="00F16DA3" w:rsidP="001D73BD">
      <w:pPr>
        <w:mirrorIndents/>
        <w:rPr>
          <w:sz w:val="17"/>
          <w:szCs w:val="17"/>
        </w:rPr>
      </w:pPr>
      <w:r w:rsidRPr="00722521">
        <w:rPr>
          <w:sz w:val="17"/>
          <w:szCs w:val="17"/>
        </w:rPr>
        <w:t xml:space="preserve">Other tools used by EIOPA, </w:t>
      </w:r>
      <w:proofErr w:type="spellStart"/>
      <w:r w:rsidRPr="00722521">
        <w:rPr>
          <w:sz w:val="17"/>
          <w:szCs w:val="17"/>
        </w:rPr>
        <w:t>eg</w:t>
      </w:r>
      <w:proofErr w:type="spellEnd"/>
      <w:r w:rsidRPr="00722521">
        <w:rPr>
          <w:sz w:val="17"/>
          <w:szCs w:val="17"/>
        </w:rPr>
        <w:t xml:space="preserve"> (supervisory) statements, were of mixed impact and, in case of the statements on dividends, had a substantially negative impact on the consistent and convergent supervision. Already following its first statement, </w:t>
      </w:r>
      <w:r w:rsidR="00722521">
        <w:rPr>
          <w:sz w:val="17"/>
          <w:szCs w:val="17"/>
        </w:rPr>
        <w:t>VVO</w:t>
      </w:r>
      <w:r w:rsidR="007950F6" w:rsidRPr="00722521">
        <w:rPr>
          <w:sz w:val="17"/>
          <w:szCs w:val="17"/>
        </w:rPr>
        <w:t xml:space="preserve"> argued for a case-by-case risk-based approach as provided in Solvency II </w:t>
      </w:r>
      <w:r w:rsidRPr="00722521">
        <w:rPr>
          <w:sz w:val="17"/>
          <w:szCs w:val="17"/>
        </w:rPr>
        <w:t xml:space="preserve">rather than relying on a (populistic) statement which was implemented significantly different across the </w:t>
      </w:r>
      <w:r w:rsidR="007950F6" w:rsidRPr="00722521">
        <w:rPr>
          <w:sz w:val="17"/>
          <w:szCs w:val="17"/>
        </w:rPr>
        <w:t>m</w:t>
      </w:r>
      <w:r w:rsidRPr="00722521">
        <w:rPr>
          <w:sz w:val="17"/>
          <w:szCs w:val="17"/>
        </w:rPr>
        <w:t xml:space="preserve">ember </w:t>
      </w:r>
      <w:r w:rsidR="007950F6" w:rsidRPr="00722521">
        <w:rPr>
          <w:sz w:val="17"/>
          <w:szCs w:val="17"/>
        </w:rPr>
        <w:t>s</w:t>
      </w:r>
      <w:r w:rsidRPr="00722521">
        <w:rPr>
          <w:sz w:val="17"/>
          <w:szCs w:val="17"/>
        </w:rPr>
        <w:t>tates. Nearly one year into the process, EIOPA renewed the political statement but did not provide for the necessary tools for a consistent application of the regulatory framework under the current conditions.</w:t>
      </w:r>
    </w:p>
    <w:p w14:paraId="1D38BE17" w14:textId="492EB941" w:rsidR="009D4DC7" w:rsidRPr="00722521" w:rsidRDefault="009D4DC7" w:rsidP="00A903E6">
      <w:pPr>
        <w:pStyle w:val="Textkrper"/>
        <w:mirrorIndents/>
        <w:rPr>
          <w:rFonts w:ascii="Verdana" w:hAnsi="Verdana"/>
          <w:sz w:val="17"/>
          <w:szCs w:val="17"/>
        </w:rPr>
      </w:pPr>
    </w:p>
    <w:p w14:paraId="080154BF" w14:textId="77777777" w:rsidR="00BA160A" w:rsidRPr="00722521" w:rsidRDefault="00BA160A" w:rsidP="00A903E6">
      <w:pPr>
        <w:mirrorIndents/>
        <w:rPr>
          <w:sz w:val="17"/>
          <w:szCs w:val="17"/>
        </w:rPr>
      </w:pPr>
    </w:p>
    <w:p w14:paraId="361CD152" w14:textId="77777777" w:rsidR="00BA160A" w:rsidRPr="00722521" w:rsidRDefault="00BA160A" w:rsidP="00A903E6">
      <w:pPr>
        <w:pStyle w:val="Listenabsatz"/>
        <w:numPr>
          <w:ilvl w:val="1"/>
          <w:numId w:val="6"/>
        </w:numPr>
        <w:tabs>
          <w:tab w:val="left" w:pos="566"/>
        </w:tabs>
        <w:ind w:left="232" w:hanging="450"/>
        <w:mirrorIndents/>
        <w:rPr>
          <w:rFonts w:ascii="Verdana" w:hAnsi="Verdana"/>
          <w:b/>
          <w:szCs w:val="17"/>
        </w:rPr>
      </w:pPr>
      <w:r w:rsidRPr="00722521">
        <w:rPr>
          <w:rFonts w:ascii="Verdana" w:hAnsi="Verdana"/>
          <w:b/>
          <w:szCs w:val="17"/>
        </w:rPr>
        <w:t>Breach of Union law and dispute settlement</w:t>
      </w:r>
    </w:p>
    <w:p w14:paraId="0A96F788" w14:textId="77777777" w:rsidR="00BA160A" w:rsidRPr="00722521" w:rsidRDefault="00BA160A" w:rsidP="00A903E6">
      <w:pPr>
        <w:pStyle w:val="Textkrper"/>
        <w:mirrorIndents/>
        <w:rPr>
          <w:rFonts w:ascii="Verdana" w:hAnsi="Verdana"/>
          <w:sz w:val="17"/>
          <w:szCs w:val="17"/>
        </w:rPr>
      </w:pPr>
    </w:p>
    <w:p w14:paraId="5CA2CD7C" w14:textId="7F05EFB2" w:rsidR="00BA160A" w:rsidRPr="00722521" w:rsidRDefault="00BA160A" w:rsidP="007F61E8">
      <w:pPr>
        <w:pStyle w:val="Textkrper"/>
        <w:ind w:left="0"/>
        <w:mirrorIndents/>
        <w:rPr>
          <w:rFonts w:ascii="Verdana" w:hAnsi="Verdana"/>
          <w:sz w:val="17"/>
          <w:szCs w:val="17"/>
          <w:highlight w:val="lightGray"/>
        </w:rPr>
      </w:pPr>
      <w:r w:rsidRPr="00722521">
        <w:rPr>
          <w:rFonts w:ascii="Verdana" w:hAnsi="Verdana"/>
          <w:sz w:val="17"/>
          <w:szCs w:val="17"/>
          <w:highlight w:val="lightGray"/>
        </w:rPr>
        <w:t>Question 1.5.1 Do you think that the ESAs’ powers in relation to breaches of Union law (Article 17 ESAs’ Regulations) and binding mediation (Article 19 ESAs’ Regulations) are effective?</w:t>
      </w:r>
    </w:p>
    <w:p w14:paraId="615C64CD" w14:textId="60C18333" w:rsidR="007F61E8" w:rsidRPr="00722521" w:rsidRDefault="00BA160A" w:rsidP="007F61E8">
      <w:pPr>
        <w:pStyle w:val="CEABullet-Level1"/>
        <w:rPr>
          <w:color w:val="auto"/>
          <w:highlight w:val="lightGray"/>
        </w:rPr>
      </w:pPr>
      <w:r w:rsidRPr="00722521">
        <w:rPr>
          <w:color w:val="auto"/>
          <w:highlight w:val="lightGray"/>
        </w:rPr>
        <w:t xml:space="preserve">Yes </w:t>
      </w:r>
    </w:p>
    <w:p w14:paraId="6CB1E6E9" w14:textId="31CB5A85" w:rsidR="00BA160A" w:rsidRPr="00722521" w:rsidRDefault="00BA160A" w:rsidP="007F61E8">
      <w:pPr>
        <w:pStyle w:val="CEABullet-Level1"/>
        <w:rPr>
          <w:color w:val="auto"/>
          <w:highlight w:val="lightGray"/>
        </w:rPr>
      </w:pPr>
      <w:r w:rsidRPr="00722521">
        <w:rPr>
          <w:color w:val="auto"/>
          <w:highlight w:val="lightGray"/>
        </w:rPr>
        <w:t>No</w:t>
      </w:r>
    </w:p>
    <w:p w14:paraId="7FF462D0" w14:textId="77777777" w:rsidR="00BA160A" w:rsidRPr="00722521" w:rsidRDefault="00BA160A" w:rsidP="007F61E8">
      <w:pPr>
        <w:pStyle w:val="CEABullet-Level1"/>
        <w:rPr>
          <w:color w:val="auto"/>
          <w:highlight w:val="lightGray"/>
        </w:rPr>
      </w:pPr>
      <w:r w:rsidRPr="00722521">
        <w:rPr>
          <w:color w:val="auto"/>
          <w:highlight w:val="lightGray"/>
        </w:rPr>
        <w:t>Don’t know / no opinion / not relevant</w:t>
      </w:r>
    </w:p>
    <w:p w14:paraId="5D7FD499" w14:textId="0C7D8014" w:rsidR="00BA160A" w:rsidRPr="00722521" w:rsidRDefault="00BA160A" w:rsidP="00A903E6">
      <w:pPr>
        <w:mirrorIndents/>
        <w:rPr>
          <w:sz w:val="17"/>
          <w:szCs w:val="17"/>
        </w:rPr>
      </w:pPr>
    </w:p>
    <w:p w14:paraId="7095CCD7" w14:textId="33D7CC4A" w:rsidR="001D73BD" w:rsidRPr="00722521" w:rsidRDefault="003900AF" w:rsidP="001D73BD">
      <w:pPr>
        <w:pStyle w:val="CEABullet-Level1"/>
        <w:numPr>
          <w:ilvl w:val="0"/>
          <w:numId w:val="0"/>
        </w:numPr>
        <w:rPr>
          <w:color w:val="auto"/>
        </w:rPr>
      </w:pPr>
      <w:r w:rsidRPr="00722521">
        <w:rPr>
          <w:color w:val="auto"/>
        </w:rPr>
        <w:t>Yes</w:t>
      </w:r>
    </w:p>
    <w:p w14:paraId="45A73D4E" w14:textId="77777777" w:rsidR="001D73BD" w:rsidRPr="00722521" w:rsidRDefault="001D73BD" w:rsidP="00A903E6">
      <w:pPr>
        <w:mirrorIndents/>
        <w:rPr>
          <w:sz w:val="17"/>
          <w:szCs w:val="17"/>
        </w:rPr>
      </w:pPr>
    </w:p>
    <w:p w14:paraId="0C0BE859" w14:textId="77777777" w:rsidR="00BA160A" w:rsidRPr="00722521" w:rsidRDefault="00BA160A" w:rsidP="007F61E8">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1.5.1:</w:t>
      </w:r>
    </w:p>
    <w:p w14:paraId="7C6982F9" w14:textId="32561F67" w:rsidR="00BA160A" w:rsidRPr="00722521" w:rsidRDefault="00BA160A" w:rsidP="00A903E6">
      <w:pPr>
        <w:mirrorIndents/>
        <w:rPr>
          <w:sz w:val="17"/>
          <w:szCs w:val="17"/>
        </w:rPr>
      </w:pPr>
    </w:p>
    <w:p w14:paraId="125D4DC2" w14:textId="787ACED7" w:rsidR="007F61E8" w:rsidRPr="00722521" w:rsidRDefault="007950F6" w:rsidP="00A903E6">
      <w:pPr>
        <w:mirrorIndents/>
        <w:rPr>
          <w:sz w:val="17"/>
          <w:szCs w:val="17"/>
        </w:rPr>
      </w:pPr>
      <w:r w:rsidRPr="00722521">
        <w:rPr>
          <w:sz w:val="17"/>
          <w:szCs w:val="17"/>
        </w:rPr>
        <w:t>N/A</w:t>
      </w:r>
    </w:p>
    <w:p w14:paraId="76D2924D" w14:textId="77777777" w:rsidR="00BA160A" w:rsidRPr="00722521" w:rsidRDefault="00BA160A" w:rsidP="007F61E8">
      <w:pPr>
        <w:pStyle w:val="Textkrper"/>
        <w:ind w:left="0"/>
        <w:mirrorIndents/>
        <w:rPr>
          <w:rFonts w:ascii="Verdana" w:hAnsi="Verdana"/>
          <w:sz w:val="17"/>
          <w:szCs w:val="17"/>
        </w:rPr>
      </w:pPr>
      <w:r w:rsidRPr="00722521">
        <w:rPr>
          <w:rFonts w:ascii="Verdana" w:hAnsi="Verdana"/>
          <w:sz w:val="17"/>
          <w:szCs w:val="17"/>
          <w:highlight w:val="lightGray"/>
        </w:rPr>
        <w:t>Question 1.5.2 EIOPA: Do you think that the use of the breach of Union law procedure by EIOPA is adequate?</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5298"/>
        <w:gridCol w:w="1432"/>
        <w:gridCol w:w="1261"/>
        <w:gridCol w:w="1520"/>
      </w:tblGrid>
      <w:tr w:rsidR="00BA160A" w:rsidRPr="00722521" w14:paraId="06A43F7F" w14:textId="77777777" w:rsidTr="007F61E8">
        <w:trPr>
          <w:trHeight w:hRule="exact" w:val="477"/>
        </w:trPr>
        <w:tc>
          <w:tcPr>
            <w:tcW w:w="2785" w:type="pct"/>
            <w:tcBorders>
              <w:top w:val="single" w:sz="8" w:space="0" w:color="BABABA"/>
              <w:left w:val="single" w:sz="8" w:space="0" w:color="BABABA"/>
              <w:bottom w:val="single" w:sz="8" w:space="0" w:color="BABABA"/>
              <w:right w:val="single" w:sz="8" w:space="0" w:color="BABABA"/>
            </w:tcBorders>
          </w:tcPr>
          <w:p w14:paraId="074379F4" w14:textId="77777777" w:rsidR="00BA160A" w:rsidRPr="00722521" w:rsidRDefault="00BA160A" w:rsidP="00A903E6">
            <w:pPr>
              <w:mirrorIndents/>
              <w:rPr>
                <w:sz w:val="17"/>
                <w:szCs w:val="17"/>
              </w:rPr>
            </w:pPr>
          </w:p>
        </w:tc>
        <w:tc>
          <w:tcPr>
            <w:tcW w:w="753" w:type="pct"/>
            <w:tcBorders>
              <w:top w:val="single" w:sz="8" w:space="0" w:color="BABABA"/>
              <w:left w:val="single" w:sz="8" w:space="0" w:color="BABABA"/>
              <w:bottom w:val="single" w:sz="8" w:space="0" w:color="BABABA"/>
              <w:right w:val="single" w:sz="8" w:space="0" w:color="BABABA"/>
            </w:tcBorders>
            <w:hideMark/>
          </w:tcPr>
          <w:p w14:paraId="42AA415C" w14:textId="77777777" w:rsidR="00BA160A" w:rsidRPr="00722521" w:rsidRDefault="00BA160A" w:rsidP="00A903E6">
            <w:pPr>
              <w:pStyle w:val="TableParagraph"/>
              <w:mirrorIndents/>
              <w:rPr>
                <w:szCs w:val="17"/>
              </w:rPr>
            </w:pPr>
            <w:r w:rsidRPr="00722521">
              <w:rPr>
                <w:w w:val="105"/>
                <w:szCs w:val="17"/>
              </w:rPr>
              <w:t>Yes</w:t>
            </w:r>
          </w:p>
        </w:tc>
        <w:tc>
          <w:tcPr>
            <w:tcW w:w="663" w:type="pct"/>
            <w:tcBorders>
              <w:top w:val="single" w:sz="8" w:space="0" w:color="BABABA"/>
              <w:left w:val="single" w:sz="8" w:space="0" w:color="BABABA"/>
              <w:bottom w:val="single" w:sz="8" w:space="0" w:color="BABABA"/>
              <w:right w:val="single" w:sz="8" w:space="0" w:color="BABABA"/>
            </w:tcBorders>
            <w:hideMark/>
          </w:tcPr>
          <w:p w14:paraId="189A3759" w14:textId="77777777" w:rsidR="00BA160A" w:rsidRPr="00722521" w:rsidRDefault="00BA160A" w:rsidP="00A903E6">
            <w:pPr>
              <w:pStyle w:val="TableParagraph"/>
              <w:mirrorIndents/>
              <w:rPr>
                <w:szCs w:val="17"/>
              </w:rPr>
            </w:pPr>
            <w:r w:rsidRPr="00722521">
              <w:rPr>
                <w:w w:val="105"/>
                <w:szCs w:val="17"/>
              </w:rPr>
              <w:t>No</w:t>
            </w:r>
          </w:p>
        </w:tc>
        <w:tc>
          <w:tcPr>
            <w:tcW w:w="799" w:type="pct"/>
            <w:tcBorders>
              <w:top w:val="single" w:sz="8" w:space="0" w:color="BABABA"/>
              <w:left w:val="single" w:sz="8" w:space="0" w:color="BABABA"/>
              <w:bottom w:val="single" w:sz="8" w:space="0" w:color="BABABA"/>
              <w:right w:val="single" w:sz="8" w:space="0" w:color="BABABA"/>
            </w:tcBorders>
            <w:hideMark/>
          </w:tcPr>
          <w:p w14:paraId="6F4A0B66" w14:textId="77777777" w:rsidR="00BA160A" w:rsidRPr="00722521" w:rsidRDefault="00BA160A" w:rsidP="00A903E6">
            <w:pPr>
              <w:pStyle w:val="TableParagraph"/>
              <w:mirrorIndents/>
              <w:rPr>
                <w:szCs w:val="17"/>
              </w:rPr>
            </w:pPr>
            <w:r w:rsidRPr="00722521">
              <w:rPr>
                <w:w w:val="105"/>
                <w:szCs w:val="17"/>
              </w:rPr>
              <w:t>N.A.</w:t>
            </w:r>
          </w:p>
        </w:tc>
      </w:tr>
      <w:tr w:rsidR="00BA160A" w:rsidRPr="00722521" w14:paraId="74AD40D6" w14:textId="77777777" w:rsidTr="007F61E8">
        <w:trPr>
          <w:trHeight w:hRule="exact" w:val="633"/>
        </w:trPr>
        <w:tc>
          <w:tcPr>
            <w:tcW w:w="2785" w:type="pct"/>
            <w:tcBorders>
              <w:top w:val="single" w:sz="8" w:space="0" w:color="BABABA"/>
              <w:left w:val="single" w:sz="8" w:space="0" w:color="BABABA"/>
              <w:bottom w:val="single" w:sz="8" w:space="0" w:color="BABABA"/>
              <w:right w:val="single" w:sz="8" w:space="0" w:color="BABABA"/>
            </w:tcBorders>
            <w:hideMark/>
          </w:tcPr>
          <w:p w14:paraId="66248CED" w14:textId="77777777" w:rsidR="00BA160A" w:rsidRPr="00722521" w:rsidRDefault="00BA160A" w:rsidP="00A903E6">
            <w:pPr>
              <w:pStyle w:val="TableParagraph"/>
              <w:mirrorIndents/>
              <w:rPr>
                <w:szCs w:val="17"/>
              </w:rPr>
            </w:pPr>
            <w:r w:rsidRPr="00722521">
              <w:rPr>
                <w:w w:val="105"/>
                <w:szCs w:val="17"/>
              </w:rPr>
              <w:t>Before 2019 ESAs’ review</w:t>
            </w:r>
          </w:p>
        </w:tc>
        <w:tc>
          <w:tcPr>
            <w:tcW w:w="753" w:type="pct"/>
            <w:tcBorders>
              <w:top w:val="single" w:sz="8" w:space="0" w:color="BABABA"/>
              <w:left w:val="single" w:sz="8" w:space="0" w:color="BABABA"/>
              <w:bottom w:val="single" w:sz="8" w:space="0" w:color="BABABA"/>
              <w:right w:val="single" w:sz="8" w:space="0" w:color="BABABA"/>
            </w:tcBorders>
          </w:tcPr>
          <w:p w14:paraId="7DDC0CCF" w14:textId="77777777" w:rsidR="00BA160A" w:rsidRPr="00722521" w:rsidRDefault="00BA160A" w:rsidP="00A903E6">
            <w:pPr>
              <w:pStyle w:val="TableParagraph"/>
              <w:mirrorIndents/>
              <w:rPr>
                <w:b/>
                <w:szCs w:val="17"/>
              </w:rPr>
            </w:pPr>
          </w:p>
        </w:tc>
        <w:tc>
          <w:tcPr>
            <w:tcW w:w="663" w:type="pct"/>
            <w:tcBorders>
              <w:top w:val="single" w:sz="8" w:space="0" w:color="BABABA"/>
              <w:left w:val="single" w:sz="8" w:space="0" w:color="BABABA"/>
              <w:bottom w:val="single" w:sz="8" w:space="0" w:color="BABABA"/>
              <w:right w:val="single" w:sz="8" w:space="0" w:color="BABABA"/>
            </w:tcBorders>
          </w:tcPr>
          <w:p w14:paraId="72B8D112" w14:textId="36C452BC" w:rsidR="00BA160A" w:rsidRPr="00722521" w:rsidRDefault="00AF7132" w:rsidP="00A903E6">
            <w:pPr>
              <w:pStyle w:val="TableParagraph"/>
              <w:mirrorIndents/>
              <w:rPr>
                <w:b/>
                <w:szCs w:val="17"/>
              </w:rPr>
            </w:pPr>
            <w:r w:rsidRPr="00722521">
              <w:rPr>
                <w:b/>
                <w:szCs w:val="17"/>
              </w:rPr>
              <w:t>x</w:t>
            </w:r>
          </w:p>
        </w:tc>
        <w:tc>
          <w:tcPr>
            <w:tcW w:w="799" w:type="pct"/>
            <w:tcBorders>
              <w:top w:val="single" w:sz="8" w:space="0" w:color="BABABA"/>
              <w:left w:val="single" w:sz="8" w:space="0" w:color="BABABA"/>
              <w:bottom w:val="single" w:sz="8" w:space="0" w:color="BABABA"/>
              <w:right w:val="single" w:sz="8" w:space="0" w:color="BABABA"/>
            </w:tcBorders>
          </w:tcPr>
          <w:p w14:paraId="02FE6675" w14:textId="1A5E0DB6" w:rsidR="00BA160A" w:rsidRPr="00722521" w:rsidRDefault="00BA160A" w:rsidP="00A903E6">
            <w:pPr>
              <w:pStyle w:val="TableParagraph"/>
              <w:mirrorIndents/>
              <w:rPr>
                <w:b/>
                <w:szCs w:val="17"/>
              </w:rPr>
            </w:pPr>
          </w:p>
        </w:tc>
      </w:tr>
      <w:tr w:rsidR="00BA160A" w:rsidRPr="00722521" w14:paraId="3E2AFB16" w14:textId="77777777" w:rsidTr="007F61E8">
        <w:trPr>
          <w:trHeight w:hRule="exact" w:val="633"/>
        </w:trPr>
        <w:tc>
          <w:tcPr>
            <w:tcW w:w="2785" w:type="pct"/>
            <w:tcBorders>
              <w:top w:val="single" w:sz="8" w:space="0" w:color="BABABA"/>
              <w:left w:val="single" w:sz="8" w:space="0" w:color="BABABA"/>
              <w:bottom w:val="single" w:sz="8" w:space="0" w:color="BABABA"/>
              <w:right w:val="single" w:sz="8" w:space="0" w:color="BABABA"/>
            </w:tcBorders>
            <w:hideMark/>
          </w:tcPr>
          <w:p w14:paraId="359D43A3" w14:textId="41BAC47E" w:rsidR="00BA160A" w:rsidRPr="00722521" w:rsidRDefault="007F61E8" w:rsidP="00A903E6">
            <w:pPr>
              <w:pStyle w:val="TableParagraph"/>
              <w:mirrorIndents/>
              <w:rPr>
                <w:szCs w:val="17"/>
              </w:rPr>
            </w:pPr>
            <w:r w:rsidRPr="00722521">
              <w:rPr>
                <w:w w:val="105"/>
                <w:szCs w:val="17"/>
              </w:rPr>
              <w:t>A</w:t>
            </w:r>
            <w:r w:rsidR="00BA160A" w:rsidRPr="00722521">
              <w:rPr>
                <w:w w:val="105"/>
                <w:szCs w:val="17"/>
              </w:rPr>
              <w:t>fter 2019 ESAs’ review</w:t>
            </w:r>
          </w:p>
        </w:tc>
        <w:tc>
          <w:tcPr>
            <w:tcW w:w="753" w:type="pct"/>
            <w:tcBorders>
              <w:top w:val="single" w:sz="8" w:space="0" w:color="BABABA"/>
              <w:left w:val="single" w:sz="8" w:space="0" w:color="BABABA"/>
              <w:bottom w:val="single" w:sz="8" w:space="0" w:color="BABABA"/>
              <w:right w:val="single" w:sz="8" w:space="0" w:color="BABABA"/>
            </w:tcBorders>
          </w:tcPr>
          <w:p w14:paraId="63827512" w14:textId="77777777" w:rsidR="00BA160A" w:rsidRPr="00722521" w:rsidRDefault="00BA160A" w:rsidP="00A903E6">
            <w:pPr>
              <w:pStyle w:val="TableParagraph"/>
              <w:mirrorIndents/>
              <w:rPr>
                <w:b/>
                <w:szCs w:val="17"/>
              </w:rPr>
            </w:pPr>
          </w:p>
        </w:tc>
        <w:tc>
          <w:tcPr>
            <w:tcW w:w="663" w:type="pct"/>
            <w:tcBorders>
              <w:top w:val="single" w:sz="8" w:space="0" w:color="BABABA"/>
              <w:left w:val="single" w:sz="8" w:space="0" w:color="BABABA"/>
              <w:bottom w:val="single" w:sz="8" w:space="0" w:color="BABABA"/>
              <w:right w:val="single" w:sz="8" w:space="0" w:color="BABABA"/>
            </w:tcBorders>
          </w:tcPr>
          <w:p w14:paraId="72A46AF7" w14:textId="77777777" w:rsidR="00BA160A" w:rsidRPr="00722521" w:rsidRDefault="00BA160A" w:rsidP="00A903E6">
            <w:pPr>
              <w:pStyle w:val="TableParagraph"/>
              <w:mirrorIndents/>
              <w:rPr>
                <w:b/>
                <w:szCs w:val="17"/>
              </w:rPr>
            </w:pPr>
          </w:p>
        </w:tc>
        <w:tc>
          <w:tcPr>
            <w:tcW w:w="799" w:type="pct"/>
            <w:tcBorders>
              <w:top w:val="single" w:sz="8" w:space="0" w:color="BABABA"/>
              <w:left w:val="single" w:sz="8" w:space="0" w:color="BABABA"/>
              <w:bottom w:val="single" w:sz="8" w:space="0" w:color="BABABA"/>
              <w:right w:val="single" w:sz="8" w:space="0" w:color="BABABA"/>
            </w:tcBorders>
          </w:tcPr>
          <w:p w14:paraId="267052F3" w14:textId="271225AF" w:rsidR="00BA160A" w:rsidRPr="00722521" w:rsidRDefault="00F16DA3" w:rsidP="00A903E6">
            <w:pPr>
              <w:pStyle w:val="TableParagraph"/>
              <w:mirrorIndents/>
              <w:rPr>
                <w:b/>
                <w:szCs w:val="17"/>
              </w:rPr>
            </w:pPr>
            <w:r w:rsidRPr="00722521">
              <w:rPr>
                <w:b/>
                <w:szCs w:val="17"/>
              </w:rPr>
              <w:t>x</w:t>
            </w:r>
          </w:p>
        </w:tc>
      </w:tr>
    </w:tbl>
    <w:p w14:paraId="11EF476C" w14:textId="77777777" w:rsidR="00BA160A" w:rsidRPr="00722521" w:rsidRDefault="00BA160A" w:rsidP="00A903E6">
      <w:pPr>
        <w:pStyle w:val="Textkrper"/>
        <w:mirrorIndents/>
        <w:rPr>
          <w:rFonts w:ascii="Verdana" w:hAnsi="Verdana"/>
          <w:sz w:val="17"/>
          <w:szCs w:val="17"/>
        </w:rPr>
      </w:pPr>
    </w:p>
    <w:p w14:paraId="2393B834" w14:textId="77777777" w:rsidR="00BA160A" w:rsidRPr="00722521" w:rsidRDefault="00BA160A" w:rsidP="007F61E8">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1.5.2 for EIOPA:</w:t>
      </w:r>
    </w:p>
    <w:p w14:paraId="6A83AC9D" w14:textId="779DE9CA" w:rsidR="00BA160A" w:rsidRPr="00722521" w:rsidRDefault="00BA160A" w:rsidP="00A903E6">
      <w:pPr>
        <w:mirrorIndents/>
        <w:rPr>
          <w:sz w:val="17"/>
          <w:szCs w:val="17"/>
        </w:rPr>
      </w:pPr>
    </w:p>
    <w:p w14:paraId="001EE139" w14:textId="2540BF7C" w:rsidR="007F61E8" w:rsidRPr="00722521" w:rsidRDefault="00AF7132" w:rsidP="00A903E6">
      <w:pPr>
        <w:mirrorIndents/>
        <w:rPr>
          <w:sz w:val="17"/>
          <w:szCs w:val="17"/>
        </w:rPr>
      </w:pPr>
      <w:r w:rsidRPr="00722521">
        <w:rPr>
          <w:sz w:val="17"/>
          <w:szCs w:val="17"/>
        </w:rPr>
        <w:t xml:space="preserve"> The analysis of EIOPA’s annual reports 2009-2019 indicate a certain restraint to use this tool. Despite having received a considerable number of requests during this time most cases were rejected on the grounds of non-admissibility. Only few formal proceedings were launched and settled before adopting a decision against competent authorities or financial institutions. This conclusion somewhat contrasts the cases of inadequate supervision that became public in context with insurers operating on a cross-border basis. No assessment can be made with regard to period after 2019 ESAs review.</w:t>
      </w:r>
    </w:p>
    <w:p w14:paraId="23EB8B9C" w14:textId="77777777" w:rsidR="007F61E8" w:rsidRPr="00722521" w:rsidRDefault="007F61E8" w:rsidP="00A903E6">
      <w:pPr>
        <w:mirrorIndents/>
        <w:rPr>
          <w:sz w:val="17"/>
          <w:szCs w:val="17"/>
        </w:rPr>
      </w:pPr>
    </w:p>
    <w:p w14:paraId="588201D0" w14:textId="1CDA3A20" w:rsidR="00BA160A" w:rsidRPr="00722521" w:rsidRDefault="00BA160A" w:rsidP="007F61E8">
      <w:pPr>
        <w:pStyle w:val="Textkrper"/>
        <w:ind w:left="0"/>
        <w:mirrorIndents/>
        <w:rPr>
          <w:rFonts w:ascii="Verdana" w:hAnsi="Verdana"/>
          <w:sz w:val="17"/>
          <w:szCs w:val="17"/>
        </w:rPr>
      </w:pPr>
      <w:r w:rsidRPr="00722521">
        <w:rPr>
          <w:rFonts w:ascii="Verdana" w:hAnsi="Verdana"/>
          <w:sz w:val="17"/>
          <w:szCs w:val="17"/>
          <w:highlight w:val="lightGray"/>
        </w:rPr>
        <w:t>Question 1.5.3 Should there be other instruments available to the ESAs to address instances of non-application or incorrect application of Union law amounting to a breach ex-post?</w:t>
      </w:r>
    </w:p>
    <w:p w14:paraId="4D062FEA" w14:textId="06B65B53" w:rsidR="007F61E8" w:rsidRPr="00722521" w:rsidRDefault="00BA160A" w:rsidP="007F61E8">
      <w:pPr>
        <w:pStyle w:val="CEABullet-Level1"/>
        <w:rPr>
          <w:color w:val="auto"/>
          <w:highlight w:val="lightGray"/>
        </w:rPr>
      </w:pPr>
      <w:r w:rsidRPr="00722521">
        <w:rPr>
          <w:color w:val="auto"/>
          <w:highlight w:val="lightGray"/>
        </w:rPr>
        <w:t>Yes</w:t>
      </w:r>
    </w:p>
    <w:p w14:paraId="0E8C6F4B" w14:textId="7EF55BA4" w:rsidR="00BA160A" w:rsidRPr="00722521" w:rsidRDefault="00BA160A" w:rsidP="007F61E8">
      <w:pPr>
        <w:pStyle w:val="CEABullet-Level1"/>
        <w:rPr>
          <w:color w:val="auto"/>
          <w:highlight w:val="lightGray"/>
        </w:rPr>
      </w:pPr>
      <w:r w:rsidRPr="00722521">
        <w:rPr>
          <w:color w:val="auto"/>
          <w:highlight w:val="lightGray"/>
        </w:rPr>
        <w:t>No</w:t>
      </w:r>
    </w:p>
    <w:p w14:paraId="3C9644D9" w14:textId="77777777" w:rsidR="00BA160A" w:rsidRPr="00722521" w:rsidRDefault="00BA160A" w:rsidP="007F61E8">
      <w:pPr>
        <w:pStyle w:val="CEABullet-Level1"/>
        <w:rPr>
          <w:color w:val="auto"/>
          <w:highlight w:val="lightGray"/>
        </w:rPr>
      </w:pPr>
      <w:r w:rsidRPr="00722521">
        <w:rPr>
          <w:color w:val="auto"/>
          <w:highlight w:val="lightGray"/>
        </w:rPr>
        <w:t>Don’t know / no opinion / not relevant</w:t>
      </w:r>
    </w:p>
    <w:p w14:paraId="6BDBFFF0" w14:textId="573E1382" w:rsidR="00BA160A" w:rsidRPr="00722521" w:rsidRDefault="00BA160A" w:rsidP="00A903E6">
      <w:pPr>
        <w:mirrorIndents/>
        <w:rPr>
          <w:sz w:val="17"/>
          <w:szCs w:val="17"/>
        </w:rPr>
      </w:pPr>
    </w:p>
    <w:p w14:paraId="037F34CD" w14:textId="04EB32BD" w:rsidR="007950F6" w:rsidRPr="00722521" w:rsidRDefault="007950F6" w:rsidP="00A903E6">
      <w:pPr>
        <w:mirrorIndents/>
        <w:rPr>
          <w:sz w:val="17"/>
          <w:szCs w:val="17"/>
        </w:rPr>
      </w:pPr>
      <w:r w:rsidRPr="00722521">
        <w:rPr>
          <w:sz w:val="17"/>
          <w:szCs w:val="17"/>
        </w:rPr>
        <w:t>No</w:t>
      </w:r>
    </w:p>
    <w:p w14:paraId="431B5DDD" w14:textId="77777777" w:rsidR="007950F6" w:rsidRPr="00722521" w:rsidRDefault="007950F6" w:rsidP="00A903E6">
      <w:pPr>
        <w:mirrorIndents/>
        <w:rPr>
          <w:sz w:val="17"/>
          <w:szCs w:val="17"/>
        </w:rPr>
      </w:pPr>
    </w:p>
    <w:p w14:paraId="71F6827C" w14:textId="77777777" w:rsidR="00BA160A" w:rsidRPr="00722521" w:rsidRDefault="00BA160A" w:rsidP="007F61E8">
      <w:pPr>
        <w:pStyle w:val="Textkrper"/>
        <w:ind w:left="0"/>
        <w:mirrorIndents/>
        <w:rPr>
          <w:rFonts w:ascii="Verdana" w:hAnsi="Verdana"/>
          <w:sz w:val="17"/>
          <w:szCs w:val="17"/>
        </w:rPr>
      </w:pPr>
      <w:r w:rsidRPr="00722521">
        <w:rPr>
          <w:rFonts w:ascii="Verdana" w:hAnsi="Verdana"/>
          <w:sz w:val="17"/>
          <w:szCs w:val="17"/>
          <w:highlight w:val="lightGray"/>
        </w:rPr>
        <w:lastRenderedPageBreak/>
        <w:t>Please explain what those other instruments would be:</w:t>
      </w:r>
    </w:p>
    <w:p w14:paraId="17E144A2" w14:textId="33790A1C" w:rsidR="00BA160A" w:rsidRPr="00722521" w:rsidRDefault="00BA160A" w:rsidP="00A903E6">
      <w:pPr>
        <w:mirrorIndents/>
        <w:rPr>
          <w:sz w:val="17"/>
          <w:szCs w:val="17"/>
        </w:rPr>
      </w:pPr>
    </w:p>
    <w:p w14:paraId="67B15216" w14:textId="2397206A" w:rsidR="007F61E8" w:rsidRPr="00722521" w:rsidRDefault="007950F6" w:rsidP="00A903E6">
      <w:pPr>
        <w:mirrorIndents/>
        <w:rPr>
          <w:sz w:val="17"/>
          <w:szCs w:val="17"/>
        </w:rPr>
      </w:pPr>
      <w:r w:rsidRPr="00722521">
        <w:rPr>
          <w:sz w:val="17"/>
          <w:szCs w:val="17"/>
        </w:rPr>
        <w:t>N/A</w:t>
      </w:r>
    </w:p>
    <w:p w14:paraId="1816759F" w14:textId="77777777" w:rsidR="007F61E8" w:rsidRPr="00722521" w:rsidRDefault="007F61E8" w:rsidP="00A903E6">
      <w:pPr>
        <w:mirrorIndents/>
        <w:rPr>
          <w:sz w:val="17"/>
          <w:szCs w:val="17"/>
        </w:rPr>
      </w:pPr>
    </w:p>
    <w:p w14:paraId="3812C21C" w14:textId="77777777" w:rsidR="00BA160A" w:rsidRPr="00722521" w:rsidRDefault="00BA160A" w:rsidP="007F61E8">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1.5.3:</w:t>
      </w:r>
    </w:p>
    <w:p w14:paraId="4389AE70" w14:textId="77777777" w:rsidR="007950F6" w:rsidRPr="00722521" w:rsidRDefault="007950F6" w:rsidP="007950F6">
      <w:pPr>
        <w:mirrorIndents/>
        <w:rPr>
          <w:sz w:val="17"/>
          <w:szCs w:val="17"/>
        </w:rPr>
      </w:pPr>
    </w:p>
    <w:p w14:paraId="48A4813D" w14:textId="56E61D7A" w:rsidR="007950F6" w:rsidRPr="00722521" w:rsidRDefault="00722521" w:rsidP="007950F6">
      <w:pPr>
        <w:mirrorIndents/>
        <w:rPr>
          <w:sz w:val="17"/>
          <w:szCs w:val="17"/>
        </w:rPr>
      </w:pPr>
      <w:r>
        <w:rPr>
          <w:sz w:val="17"/>
          <w:szCs w:val="17"/>
        </w:rPr>
        <w:t>VVO</w:t>
      </w:r>
      <w:r w:rsidR="007950F6" w:rsidRPr="00722521">
        <w:rPr>
          <w:sz w:val="17"/>
          <w:szCs w:val="17"/>
        </w:rPr>
        <w:t xml:space="preserve"> is not aware of any cases where EIOPA used its tools against breach of Union law at this stage.</w:t>
      </w:r>
    </w:p>
    <w:p w14:paraId="53E4A8A8" w14:textId="77777777" w:rsidR="00F16DA3" w:rsidRPr="00722521" w:rsidRDefault="00F16DA3" w:rsidP="00F16DA3">
      <w:pPr>
        <w:mirrorIndents/>
        <w:rPr>
          <w:sz w:val="17"/>
          <w:szCs w:val="17"/>
        </w:rPr>
      </w:pPr>
    </w:p>
    <w:p w14:paraId="49113204" w14:textId="543F442E" w:rsidR="007950F6" w:rsidRPr="00722521" w:rsidRDefault="00722521" w:rsidP="00F16DA3">
      <w:pPr>
        <w:mirrorIndents/>
        <w:rPr>
          <w:sz w:val="17"/>
          <w:szCs w:val="17"/>
        </w:rPr>
      </w:pPr>
      <w:r>
        <w:rPr>
          <w:sz w:val="17"/>
          <w:szCs w:val="17"/>
        </w:rPr>
        <w:t>VVO</w:t>
      </w:r>
      <w:r w:rsidR="00F16DA3" w:rsidRPr="00722521">
        <w:rPr>
          <w:sz w:val="17"/>
          <w:szCs w:val="17"/>
        </w:rPr>
        <w:t xml:space="preserve"> believes that the inconsistent implementation and application of Union </w:t>
      </w:r>
      <w:r w:rsidR="007950F6" w:rsidRPr="00722521">
        <w:rPr>
          <w:sz w:val="17"/>
          <w:szCs w:val="17"/>
        </w:rPr>
        <w:t>l</w:t>
      </w:r>
      <w:r w:rsidR="00F16DA3" w:rsidRPr="00722521">
        <w:rPr>
          <w:sz w:val="17"/>
          <w:szCs w:val="17"/>
        </w:rPr>
        <w:t>aw can be one of the main sources for an unlevel playing field and regulatory and supervisory inconsistencies. Gold-plating/arbitrary implementation and application of Union law should therefore be assessed by EIOPA for subject matters of its own mandate.</w:t>
      </w:r>
    </w:p>
    <w:p w14:paraId="72AB50C7" w14:textId="3146E98A" w:rsidR="00315D35" w:rsidRPr="00722521" w:rsidRDefault="00315D35" w:rsidP="00F16DA3">
      <w:pPr>
        <w:mirrorIndents/>
        <w:rPr>
          <w:sz w:val="17"/>
          <w:szCs w:val="17"/>
        </w:rPr>
      </w:pPr>
    </w:p>
    <w:p w14:paraId="5399421B" w14:textId="771D347C" w:rsidR="00315D35" w:rsidRPr="00722521" w:rsidRDefault="00722521" w:rsidP="00315D35">
      <w:pPr>
        <w:mirrorIndents/>
        <w:rPr>
          <w:sz w:val="17"/>
          <w:szCs w:val="17"/>
        </w:rPr>
      </w:pPr>
      <w:r>
        <w:rPr>
          <w:sz w:val="17"/>
          <w:szCs w:val="17"/>
        </w:rPr>
        <w:t>VVO</w:t>
      </w:r>
      <w:r w:rsidR="00315D35" w:rsidRPr="00722521">
        <w:rPr>
          <w:sz w:val="17"/>
          <w:szCs w:val="17"/>
        </w:rPr>
        <w:t xml:space="preserve"> considers the mandate and empowerment of EIOPA sufficient. </w:t>
      </w:r>
      <w:r w:rsidR="0052653B" w:rsidRPr="00722521">
        <w:rPr>
          <w:sz w:val="17"/>
          <w:szCs w:val="17"/>
        </w:rPr>
        <w:t>While</w:t>
      </w:r>
      <w:r w:rsidR="00315D35" w:rsidRPr="00722521">
        <w:rPr>
          <w:sz w:val="17"/>
          <w:szCs w:val="17"/>
        </w:rPr>
        <w:t xml:space="preserve"> further measures </w:t>
      </w:r>
      <w:r w:rsidR="0052653B" w:rsidRPr="00722521">
        <w:rPr>
          <w:sz w:val="17"/>
          <w:szCs w:val="17"/>
        </w:rPr>
        <w:t>i</w:t>
      </w:r>
      <w:r w:rsidR="00315D35" w:rsidRPr="00722521">
        <w:rPr>
          <w:sz w:val="17"/>
          <w:szCs w:val="17"/>
        </w:rPr>
        <w:t xml:space="preserve">n addition to the provisions laid down in Article 17, </w:t>
      </w:r>
      <w:r w:rsidR="0052653B" w:rsidRPr="00722521">
        <w:rPr>
          <w:sz w:val="17"/>
          <w:szCs w:val="17"/>
        </w:rPr>
        <w:t>could eventually</w:t>
      </w:r>
      <w:r w:rsidR="00315D35" w:rsidRPr="00722521">
        <w:rPr>
          <w:sz w:val="17"/>
          <w:szCs w:val="17"/>
        </w:rPr>
        <w:t xml:space="preserve"> be considered where a breach of Union Law leads to an immediate threat to the integrity of the single market</w:t>
      </w:r>
      <w:r w:rsidR="0052653B" w:rsidRPr="00722521">
        <w:rPr>
          <w:sz w:val="17"/>
          <w:szCs w:val="17"/>
        </w:rPr>
        <w:t xml:space="preserve">, </w:t>
      </w:r>
      <w:r w:rsidR="00315D35" w:rsidRPr="00722521">
        <w:rPr>
          <w:sz w:val="17"/>
          <w:szCs w:val="17"/>
        </w:rPr>
        <w:t>the mandate for these measures would need to be defined.</w:t>
      </w:r>
    </w:p>
    <w:p w14:paraId="087A27BB" w14:textId="77777777" w:rsidR="00315D35" w:rsidRPr="00722521" w:rsidRDefault="00315D35" w:rsidP="00F16DA3">
      <w:pPr>
        <w:mirrorIndents/>
        <w:rPr>
          <w:sz w:val="17"/>
          <w:szCs w:val="17"/>
        </w:rPr>
      </w:pPr>
    </w:p>
    <w:p w14:paraId="0CAAF8C6" w14:textId="77777777" w:rsidR="00BA160A" w:rsidRPr="00722521" w:rsidRDefault="00BA160A" w:rsidP="00A903E6">
      <w:pPr>
        <w:mirrorIndents/>
        <w:rPr>
          <w:sz w:val="17"/>
          <w:szCs w:val="17"/>
        </w:rPr>
      </w:pPr>
    </w:p>
    <w:p w14:paraId="161686B2" w14:textId="031BAF88" w:rsidR="00BA160A" w:rsidRPr="00722521" w:rsidRDefault="00BA160A" w:rsidP="007F61E8">
      <w:pPr>
        <w:pStyle w:val="Textkrper"/>
        <w:ind w:left="0"/>
        <w:mirrorIndents/>
        <w:rPr>
          <w:rFonts w:ascii="Verdana" w:hAnsi="Verdana"/>
          <w:sz w:val="17"/>
          <w:szCs w:val="17"/>
        </w:rPr>
      </w:pPr>
      <w:r w:rsidRPr="00722521">
        <w:rPr>
          <w:rFonts w:ascii="Verdana" w:hAnsi="Verdana"/>
          <w:sz w:val="17"/>
          <w:szCs w:val="17"/>
          <w:highlight w:val="lightGray"/>
        </w:rPr>
        <w:t xml:space="preserve">Question 1.5.4 Do you think that the new written non-objection procedure by the </w:t>
      </w:r>
      <w:proofErr w:type="spellStart"/>
      <w:r w:rsidRPr="00722521">
        <w:rPr>
          <w:rFonts w:ascii="Verdana" w:hAnsi="Verdana"/>
          <w:sz w:val="17"/>
          <w:szCs w:val="17"/>
          <w:highlight w:val="lightGray"/>
        </w:rPr>
        <w:t>BoS</w:t>
      </w:r>
      <w:proofErr w:type="spellEnd"/>
      <w:r w:rsidRPr="00722521">
        <w:rPr>
          <w:rFonts w:ascii="Verdana" w:hAnsi="Verdana"/>
          <w:sz w:val="17"/>
          <w:szCs w:val="17"/>
          <w:highlight w:val="lightGray"/>
        </w:rPr>
        <w:t xml:space="preserve"> and the new independent panels for the decisions on breaches of Union law and dispute settlements introduced in the 2019 ESAs’ review have improved these </w:t>
      </w:r>
      <w:r w:rsidR="007F61E8" w:rsidRPr="00722521">
        <w:rPr>
          <w:rFonts w:ascii="Verdana" w:hAnsi="Verdana"/>
          <w:sz w:val="17"/>
          <w:szCs w:val="17"/>
          <w:highlight w:val="lightGray"/>
        </w:rPr>
        <w:t>decision-making</w:t>
      </w:r>
      <w:r w:rsidRPr="00722521">
        <w:rPr>
          <w:rFonts w:ascii="Verdana" w:hAnsi="Verdana"/>
          <w:sz w:val="17"/>
          <w:szCs w:val="17"/>
          <w:highlight w:val="lightGray"/>
        </w:rPr>
        <w:t xml:space="preserve"> processes?</w:t>
      </w:r>
    </w:p>
    <w:p w14:paraId="3ED647F3" w14:textId="1032ACCB" w:rsidR="007F61E8" w:rsidRPr="00722521" w:rsidRDefault="00BA160A" w:rsidP="007F61E8">
      <w:pPr>
        <w:pStyle w:val="CEABullet-Level1"/>
        <w:rPr>
          <w:color w:val="auto"/>
          <w:highlight w:val="lightGray"/>
        </w:rPr>
      </w:pPr>
      <w:r w:rsidRPr="00722521">
        <w:rPr>
          <w:color w:val="auto"/>
          <w:highlight w:val="lightGray"/>
        </w:rPr>
        <w:t xml:space="preserve">Yes </w:t>
      </w:r>
    </w:p>
    <w:p w14:paraId="793A0811" w14:textId="1A475D62" w:rsidR="00BA160A" w:rsidRPr="00722521" w:rsidRDefault="00BA160A" w:rsidP="007F61E8">
      <w:pPr>
        <w:pStyle w:val="CEABullet-Level1"/>
        <w:rPr>
          <w:color w:val="auto"/>
          <w:highlight w:val="lightGray"/>
        </w:rPr>
      </w:pPr>
      <w:r w:rsidRPr="00722521">
        <w:rPr>
          <w:color w:val="auto"/>
          <w:highlight w:val="lightGray"/>
        </w:rPr>
        <w:t>No</w:t>
      </w:r>
    </w:p>
    <w:p w14:paraId="4254773A" w14:textId="77777777" w:rsidR="00BA160A" w:rsidRPr="00722521" w:rsidRDefault="00BA160A" w:rsidP="007F61E8">
      <w:pPr>
        <w:pStyle w:val="CEABullet-Level1"/>
        <w:rPr>
          <w:color w:val="auto"/>
          <w:highlight w:val="lightGray"/>
        </w:rPr>
      </w:pPr>
      <w:r w:rsidRPr="00722521">
        <w:rPr>
          <w:color w:val="auto"/>
          <w:highlight w:val="lightGray"/>
        </w:rPr>
        <w:t>Don’t know / no opinion / not relevant</w:t>
      </w:r>
    </w:p>
    <w:p w14:paraId="3D6EBA12" w14:textId="4B242D33" w:rsidR="00BA160A" w:rsidRPr="00722521" w:rsidRDefault="00BA160A" w:rsidP="00A903E6">
      <w:pPr>
        <w:mirrorIndents/>
        <w:rPr>
          <w:sz w:val="17"/>
          <w:szCs w:val="17"/>
        </w:rPr>
      </w:pPr>
    </w:p>
    <w:p w14:paraId="45E6D618" w14:textId="477C89B4" w:rsidR="007950F6" w:rsidRPr="00722521" w:rsidRDefault="007950F6" w:rsidP="00A903E6">
      <w:pPr>
        <w:mirrorIndents/>
        <w:rPr>
          <w:sz w:val="17"/>
          <w:szCs w:val="17"/>
        </w:rPr>
      </w:pPr>
      <w:r w:rsidRPr="00722521">
        <w:rPr>
          <w:sz w:val="17"/>
          <w:szCs w:val="17"/>
        </w:rPr>
        <w:t>Don’t know / no opinion / not relevant</w:t>
      </w:r>
    </w:p>
    <w:p w14:paraId="0FBB88B9" w14:textId="77777777" w:rsidR="007950F6" w:rsidRPr="00722521" w:rsidRDefault="007950F6" w:rsidP="00A903E6">
      <w:pPr>
        <w:mirrorIndents/>
        <w:rPr>
          <w:sz w:val="17"/>
          <w:szCs w:val="17"/>
        </w:rPr>
      </w:pPr>
    </w:p>
    <w:p w14:paraId="5BE521C0" w14:textId="77777777" w:rsidR="00BA160A" w:rsidRPr="00722521" w:rsidRDefault="00BA160A" w:rsidP="007F61E8">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1.5.4:</w:t>
      </w:r>
    </w:p>
    <w:p w14:paraId="4BBFB49F" w14:textId="77777777" w:rsidR="00BA160A" w:rsidRPr="00722521" w:rsidRDefault="00BA160A" w:rsidP="00205B86">
      <w:pPr>
        <w:mirrorIndents/>
        <w:jc w:val="right"/>
        <w:rPr>
          <w:sz w:val="17"/>
          <w:szCs w:val="17"/>
        </w:rPr>
      </w:pPr>
    </w:p>
    <w:p w14:paraId="14810CDD" w14:textId="77777777" w:rsidR="00BA160A" w:rsidRPr="00722521" w:rsidRDefault="00BA160A" w:rsidP="00A903E6">
      <w:pPr>
        <w:mirrorIndents/>
        <w:rPr>
          <w:sz w:val="17"/>
          <w:szCs w:val="17"/>
        </w:rPr>
      </w:pPr>
    </w:p>
    <w:p w14:paraId="35D742D1" w14:textId="0236716C" w:rsidR="00BA160A" w:rsidRPr="00722521" w:rsidRDefault="00BA160A" w:rsidP="007950F6">
      <w:pPr>
        <w:pStyle w:val="Textkrper"/>
        <w:ind w:left="0"/>
        <w:mirrorIndents/>
        <w:rPr>
          <w:rFonts w:ascii="Verdana" w:hAnsi="Verdana"/>
          <w:sz w:val="17"/>
          <w:szCs w:val="17"/>
          <w:highlight w:val="lightGray"/>
        </w:rPr>
      </w:pPr>
      <w:r w:rsidRPr="00722521">
        <w:rPr>
          <w:rFonts w:ascii="Verdana" w:hAnsi="Verdana"/>
          <w:sz w:val="17"/>
          <w:szCs w:val="17"/>
          <w:highlight w:val="lightGray"/>
        </w:rPr>
        <w:t>Question 1.5.5 EIOPA: Do you think that EIOPA has always acted, where needed, under Article 17 and Article 19 of the ESAs’ Regulations?</w:t>
      </w:r>
    </w:p>
    <w:p w14:paraId="6E1059A9" w14:textId="161EDF6A" w:rsidR="00205B86" w:rsidRPr="00722521" w:rsidRDefault="00BA160A" w:rsidP="00205B86">
      <w:pPr>
        <w:pStyle w:val="CEABullet-Level1"/>
        <w:rPr>
          <w:color w:val="auto"/>
          <w:highlight w:val="lightGray"/>
        </w:rPr>
      </w:pPr>
      <w:r w:rsidRPr="00722521">
        <w:rPr>
          <w:color w:val="auto"/>
          <w:highlight w:val="lightGray"/>
        </w:rPr>
        <w:t xml:space="preserve">Yes </w:t>
      </w:r>
    </w:p>
    <w:p w14:paraId="1E2B1F2C" w14:textId="5DD92293" w:rsidR="00BA160A" w:rsidRPr="00722521" w:rsidRDefault="00BA160A" w:rsidP="00205B86">
      <w:pPr>
        <w:pStyle w:val="CEABullet-Level1"/>
        <w:rPr>
          <w:color w:val="auto"/>
          <w:highlight w:val="lightGray"/>
        </w:rPr>
      </w:pPr>
      <w:r w:rsidRPr="00722521">
        <w:rPr>
          <w:color w:val="auto"/>
          <w:highlight w:val="lightGray"/>
        </w:rPr>
        <w:t>No</w:t>
      </w:r>
    </w:p>
    <w:p w14:paraId="7757AD41" w14:textId="77777777" w:rsidR="00BA160A" w:rsidRPr="00722521" w:rsidRDefault="00BA160A" w:rsidP="00205B86">
      <w:pPr>
        <w:pStyle w:val="CEABullet-Level1"/>
        <w:rPr>
          <w:color w:val="auto"/>
          <w:highlight w:val="lightGray"/>
        </w:rPr>
      </w:pPr>
      <w:r w:rsidRPr="00722521">
        <w:rPr>
          <w:color w:val="auto"/>
          <w:highlight w:val="lightGray"/>
        </w:rPr>
        <w:t>Don’t know / no opinion / not relevant</w:t>
      </w:r>
    </w:p>
    <w:p w14:paraId="799E8162" w14:textId="108CD29C" w:rsidR="00BA160A" w:rsidRPr="00722521" w:rsidRDefault="00BA160A" w:rsidP="00A903E6">
      <w:pPr>
        <w:mirrorIndents/>
        <w:rPr>
          <w:sz w:val="17"/>
          <w:szCs w:val="17"/>
        </w:rPr>
      </w:pPr>
    </w:p>
    <w:p w14:paraId="610CCBF3" w14:textId="6511F842" w:rsidR="00AF7132" w:rsidRPr="00722521" w:rsidRDefault="00AF7132" w:rsidP="007950F6">
      <w:pPr>
        <w:mirrorIndents/>
        <w:rPr>
          <w:sz w:val="17"/>
          <w:szCs w:val="17"/>
        </w:rPr>
      </w:pPr>
      <w:r w:rsidRPr="00722521">
        <w:rPr>
          <w:sz w:val="17"/>
          <w:szCs w:val="17"/>
        </w:rPr>
        <w:t>No</w:t>
      </w:r>
    </w:p>
    <w:p w14:paraId="05785768" w14:textId="77777777" w:rsidR="007950F6" w:rsidRPr="00722521" w:rsidRDefault="007950F6" w:rsidP="00A903E6">
      <w:pPr>
        <w:mirrorIndents/>
        <w:rPr>
          <w:sz w:val="17"/>
          <w:szCs w:val="17"/>
        </w:rPr>
      </w:pPr>
    </w:p>
    <w:p w14:paraId="50D686A9" w14:textId="77777777" w:rsidR="00BA160A" w:rsidRPr="00722521" w:rsidRDefault="00BA160A" w:rsidP="007950F6">
      <w:pPr>
        <w:pStyle w:val="Textkrper"/>
        <w:ind w:left="0"/>
        <w:mirrorIndents/>
        <w:rPr>
          <w:rFonts w:ascii="Verdana" w:hAnsi="Verdana"/>
          <w:sz w:val="17"/>
          <w:szCs w:val="17"/>
          <w:highlight w:val="lightGray"/>
        </w:rPr>
      </w:pPr>
      <w:r w:rsidRPr="00722521">
        <w:rPr>
          <w:rFonts w:ascii="Verdana" w:hAnsi="Verdana"/>
          <w:sz w:val="17"/>
          <w:szCs w:val="17"/>
          <w:highlight w:val="lightGray"/>
        </w:rPr>
        <w:t>Please give concrete examples where you consider that EIOPA should have taken relevant action under these Articles:</w:t>
      </w:r>
    </w:p>
    <w:p w14:paraId="1DFDA4E4" w14:textId="77777777" w:rsidR="00BA160A" w:rsidRPr="00722521" w:rsidRDefault="00BA160A" w:rsidP="00A903E6">
      <w:pPr>
        <w:mirrorIndents/>
        <w:rPr>
          <w:sz w:val="17"/>
          <w:szCs w:val="17"/>
        </w:rPr>
      </w:pPr>
    </w:p>
    <w:p w14:paraId="1B49E0A1" w14:textId="6DC306DA" w:rsidR="00BA160A" w:rsidRPr="00722521" w:rsidRDefault="007950F6" w:rsidP="00A903E6">
      <w:pPr>
        <w:mirrorIndents/>
        <w:rPr>
          <w:sz w:val="17"/>
          <w:szCs w:val="17"/>
        </w:rPr>
      </w:pPr>
      <w:r w:rsidRPr="00722521">
        <w:rPr>
          <w:sz w:val="17"/>
          <w:szCs w:val="17"/>
        </w:rPr>
        <w:t>N/A</w:t>
      </w:r>
    </w:p>
    <w:p w14:paraId="446C4176" w14:textId="77777777" w:rsidR="00205B86" w:rsidRPr="00722521" w:rsidRDefault="00205B86" w:rsidP="00A903E6">
      <w:pPr>
        <w:mirrorIndents/>
        <w:rPr>
          <w:sz w:val="17"/>
          <w:szCs w:val="17"/>
        </w:rPr>
      </w:pPr>
    </w:p>
    <w:p w14:paraId="7C3B487E" w14:textId="77777777" w:rsidR="00BA160A" w:rsidRPr="00722521" w:rsidRDefault="00BA160A" w:rsidP="007950F6">
      <w:pPr>
        <w:pStyle w:val="Textkrper"/>
        <w:ind w:left="0"/>
        <w:mirrorIndents/>
        <w:rPr>
          <w:rFonts w:ascii="Verdana" w:hAnsi="Verdana"/>
          <w:sz w:val="17"/>
          <w:szCs w:val="17"/>
          <w:highlight w:val="lightGray"/>
        </w:rPr>
      </w:pPr>
      <w:r w:rsidRPr="00722521">
        <w:rPr>
          <w:rFonts w:ascii="Verdana" w:hAnsi="Verdana"/>
          <w:sz w:val="17"/>
          <w:szCs w:val="17"/>
          <w:highlight w:val="lightGray"/>
        </w:rPr>
        <w:t>Question 1.5.6 EIOPA: Could you provide concrete examples where the introduction of further binding mediation provisions in sectoral legislation would be useful?</w:t>
      </w:r>
    </w:p>
    <w:p w14:paraId="74310EFB" w14:textId="1623553E" w:rsidR="00BA160A" w:rsidRPr="00722521" w:rsidRDefault="00BA160A" w:rsidP="00A903E6">
      <w:pPr>
        <w:mirrorIndents/>
        <w:rPr>
          <w:sz w:val="17"/>
          <w:szCs w:val="17"/>
        </w:rPr>
      </w:pPr>
    </w:p>
    <w:p w14:paraId="19189F75" w14:textId="3D875AC6" w:rsidR="00BA160A" w:rsidRPr="00722521" w:rsidRDefault="007950F6" w:rsidP="00A903E6">
      <w:pPr>
        <w:mirrorIndents/>
        <w:rPr>
          <w:sz w:val="17"/>
          <w:szCs w:val="17"/>
        </w:rPr>
      </w:pPr>
      <w:r w:rsidRPr="00722521">
        <w:rPr>
          <w:sz w:val="17"/>
          <w:szCs w:val="17"/>
        </w:rPr>
        <w:t>N/A</w:t>
      </w:r>
    </w:p>
    <w:p w14:paraId="60AA111C" w14:textId="77777777" w:rsidR="00BA160A" w:rsidRPr="00722521" w:rsidRDefault="00BA160A" w:rsidP="00A903E6">
      <w:pPr>
        <w:mirrorIndents/>
        <w:rPr>
          <w:sz w:val="17"/>
          <w:szCs w:val="17"/>
        </w:rPr>
      </w:pPr>
    </w:p>
    <w:p w14:paraId="1F62287E" w14:textId="69F23AC8" w:rsidR="00BA160A" w:rsidRPr="00722521" w:rsidRDefault="00BA160A" w:rsidP="007950F6">
      <w:pPr>
        <w:pStyle w:val="Textkrper"/>
        <w:ind w:left="0"/>
        <w:mirrorIndents/>
        <w:rPr>
          <w:rFonts w:ascii="Verdana" w:hAnsi="Verdana"/>
          <w:sz w:val="17"/>
          <w:szCs w:val="17"/>
          <w:highlight w:val="lightGray"/>
        </w:rPr>
      </w:pPr>
      <w:r w:rsidRPr="00722521">
        <w:rPr>
          <w:rFonts w:ascii="Verdana" w:hAnsi="Verdana"/>
          <w:sz w:val="17"/>
          <w:szCs w:val="17"/>
          <w:highlight w:val="lightGray"/>
        </w:rPr>
        <w:t>Question 1.5.7 EIOPA: Why do you think the use of these EIOPA’s powers h</w:t>
      </w:r>
      <w:r w:rsidR="00205B86" w:rsidRPr="00722521">
        <w:rPr>
          <w:rFonts w:ascii="Verdana" w:hAnsi="Verdana"/>
          <w:sz w:val="17"/>
          <w:szCs w:val="17"/>
          <w:highlight w:val="lightGray"/>
        </w:rPr>
        <w:t>as been limited?</w:t>
      </w:r>
    </w:p>
    <w:p w14:paraId="13B81FA6" w14:textId="77777777" w:rsidR="00BA160A" w:rsidRPr="00722521" w:rsidRDefault="00BA160A" w:rsidP="007950F6">
      <w:pPr>
        <w:pStyle w:val="Textkrper"/>
        <w:ind w:left="0"/>
        <w:mirrorIndents/>
        <w:rPr>
          <w:rFonts w:ascii="Verdana" w:hAnsi="Verdana"/>
          <w:sz w:val="17"/>
          <w:szCs w:val="17"/>
          <w:highlight w:val="lightGray"/>
        </w:rPr>
      </w:pPr>
      <w:r w:rsidRPr="00722521">
        <w:rPr>
          <w:rFonts w:ascii="Verdana" w:hAnsi="Verdana"/>
          <w:sz w:val="17"/>
          <w:szCs w:val="17"/>
          <w:highlight w:val="lightGray"/>
        </w:rPr>
        <w:t>Please explain how these processes could be improved:</w:t>
      </w:r>
    </w:p>
    <w:p w14:paraId="14E9D457" w14:textId="5B622A95" w:rsidR="00BA160A" w:rsidRPr="00722521" w:rsidRDefault="00BA160A" w:rsidP="00A903E6">
      <w:pPr>
        <w:mirrorIndents/>
        <w:rPr>
          <w:sz w:val="17"/>
          <w:szCs w:val="17"/>
        </w:rPr>
      </w:pPr>
    </w:p>
    <w:p w14:paraId="4738BB8D" w14:textId="77777777" w:rsidR="007950F6" w:rsidRPr="00722521" w:rsidRDefault="007950F6" w:rsidP="007950F6">
      <w:pPr>
        <w:mirrorIndents/>
        <w:rPr>
          <w:sz w:val="17"/>
          <w:szCs w:val="17"/>
        </w:rPr>
      </w:pPr>
      <w:r w:rsidRPr="00722521">
        <w:rPr>
          <w:sz w:val="17"/>
          <w:szCs w:val="17"/>
        </w:rPr>
        <w:t>N/A</w:t>
      </w:r>
    </w:p>
    <w:p w14:paraId="4371F64F" w14:textId="77777777" w:rsidR="00205B86" w:rsidRPr="00722521" w:rsidRDefault="00205B86" w:rsidP="00A903E6">
      <w:pPr>
        <w:mirrorIndents/>
        <w:rPr>
          <w:sz w:val="17"/>
          <w:szCs w:val="17"/>
        </w:rPr>
      </w:pPr>
    </w:p>
    <w:p w14:paraId="6983DBC1" w14:textId="77777777" w:rsidR="00BA160A" w:rsidRPr="00722521" w:rsidRDefault="00BA160A" w:rsidP="00A903E6">
      <w:pPr>
        <w:pStyle w:val="Listenabsatz"/>
        <w:numPr>
          <w:ilvl w:val="1"/>
          <w:numId w:val="6"/>
        </w:numPr>
        <w:tabs>
          <w:tab w:val="left" w:pos="566"/>
        </w:tabs>
        <w:ind w:left="232" w:hanging="450"/>
        <w:mirrorIndents/>
        <w:rPr>
          <w:rFonts w:ascii="Verdana" w:hAnsi="Verdana"/>
          <w:b/>
          <w:szCs w:val="17"/>
        </w:rPr>
      </w:pPr>
      <w:r w:rsidRPr="00722521">
        <w:rPr>
          <w:rFonts w:ascii="Verdana" w:hAnsi="Verdana"/>
          <w:b/>
          <w:szCs w:val="17"/>
        </w:rPr>
        <w:lastRenderedPageBreak/>
        <w:t>Emergency situations and response to COVID-19</w:t>
      </w:r>
      <w:r w:rsidRPr="00722521">
        <w:rPr>
          <w:rFonts w:ascii="Verdana" w:hAnsi="Verdana"/>
          <w:b/>
          <w:spacing w:val="-1"/>
          <w:szCs w:val="17"/>
        </w:rPr>
        <w:t xml:space="preserve"> </w:t>
      </w:r>
      <w:r w:rsidRPr="00722521">
        <w:rPr>
          <w:rFonts w:ascii="Verdana" w:hAnsi="Verdana"/>
          <w:b/>
          <w:szCs w:val="17"/>
        </w:rPr>
        <w:t>crisis</w:t>
      </w:r>
    </w:p>
    <w:p w14:paraId="0B06F133" w14:textId="77777777" w:rsidR="00BA160A" w:rsidRPr="00722521" w:rsidRDefault="00BA160A" w:rsidP="00A903E6">
      <w:pPr>
        <w:mirrorIndents/>
        <w:rPr>
          <w:sz w:val="17"/>
          <w:szCs w:val="17"/>
        </w:rPr>
      </w:pPr>
    </w:p>
    <w:p w14:paraId="245FFA36" w14:textId="3D02A475"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1.6.1 EIOPA: Please rate the impact of EIOPA’s response in the context of the COVID-19 crisis:</w:t>
      </w:r>
    </w:p>
    <w:p w14:paraId="62DCDFA2" w14:textId="38C146B9" w:rsidR="00205B86" w:rsidRPr="00722521" w:rsidRDefault="00BA160A" w:rsidP="001F77E6">
      <w:pPr>
        <w:pStyle w:val="CEABullet-Level1"/>
        <w:rPr>
          <w:color w:val="auto"/>
          <w:highlight w:val="lightGray"/>
        </w:rPr>
      </w:pPr>
      <w:r w:rsidRPr="00722521">
        <w:rPr>
          <w:color w:val="auto"/>
          <w:highlight w:val="lightGray"/>
        </w:rPr>
        <w:t>1 - the less significant impact</w:t>
      </w:r>
    </w:p>
    <w:p w14:paraId="110EA470" w14:textId="7C887D84" w:rsidR="00BA160A" w:rsidRPr="00722521" w:rsidRDefault="00BA160A" w:rsidP="001F77E6">
      <w:pPr>
        <w:pStyle w:val="CEABullet-Level1"/>
        <w:rPr>
          <w:color w:val="auto"/>
          <w:highlight w:val="lightGray"/>
        </w:rPr>
      </w:pPr>
      <w:r w:rsidRPr="00722521">
        <w:rPr>
          <w:color w:val="auto"/>
          <w:highlight w:val="lightGray"/>
        </w:rPr>
        <w:t>2</w:t>
      </w:r>
    </w:p>
    <w:p w14:paraId="79C726B7" w14:textId="77777777" w:rsidR="00BA160A" w:rsidRPr="00722521" w:rsidRDefault="00BA160A" w:rsidP="001F77E6">
      <w:pPr>
        <w:pStyle w:val="CEABullet-Level1"/>
        <w:rPr>
          <w:color w:val="auto"/>
          <w:highlight w:val="lightGray"/>
        </w:rPr>
      </w:pPr>
      <w:r w:rsidRPr="00722521">
        <w:rPr>
          <w:color w:val="auto"/>
          <w:highlight w:val="lightGray"/>
        </w:rPr>
        <w:t>3</w:t>
      </w:r>
    </w:p>
    <w:p w14:paraId="68252600" w14:textId="2F7B1781" w:rsidR="00BA160A" w:rsidRPr="00722521" w:rsidRDefault="00BA160A" w:rsidP="001F77E6">
      <w:pPr>
        <w:pStyle w:val="CEABullet-Level1"/>
        <w:rPr>
          <w:color w:val="auto"/>
          <w:highlight w:val="lightGray"/>
        </w:rPr>
      </w:pPr>
      <w:r w:rsidRPr="00722521">
        <w:rPr>
          <w:color w:val="auto"/>
          <w:highlight w:val="lightGray"/>
        </w:rPr>
        <w:t>4</w:t>
      </w:r>
    </w:p>
    <w:p w14:paraId="742FC103" w14:textId="04916FD0" w:rsidR="00BA160A" w:rsidRPr="00722521" w:rsidRDefault="00BA160A" w:rsidP="001F77E6">
      <w:pPr>
        <w:pStyle w:val="CEABullet-Level1"/>
        <w:rPr>
          <w:color w:val="auto"/>
          <w:highlight w:val="lightGray"/>
        </w:rPr>
      </w:pPr>
      <w:r w:rsidRPr="00722521">
        <w:rPr>
          <w:color w:val="auto"/>
          <w:highlight w:val="lightGray"/>
        </w:rPr>
        <w:t>5 - the most significant impact</w:t>
      </w:r>
    </w:p>
    <w:p w14:paraId="670C8952" w14:textId="69C2EBD7" w:rsidR="00BA160A" w:rsidRPr="00722521" w:rsidRDefault="00BA160A" w:rsidP="001F77E6">
      <w:pPr>
        <w:pStyle w:val="CEABullet-Level1"/>
        <w:rPr>
          <w:color w:val="auto"/>
          <w:highlight w:val="lightGray"/>
        </w:rPr>
      </w:pPr>
      <w:r w:rsidRPr="00722521">
        <w:rPr>
          <w:color w:val="auto"/>
          <w:highlight w:val="lightGray"/>
        </w:rPr>
        <w:t>Don’t know / no opinion / not relevant</w:t>
      </w:r>
    </w:p>
    <w:p w14:paraId="66FD0B18" w14:textId="0F2D372C" w:rsidR="00BA160A" w:rsidRPr="00722521" w:rsidRDefault="00BA160A" w:rsidP="00A903E6">
      <w:pPr>
        <w:mirrorIndents/>
        <w:rPr>
          <w:sz w:val="17"/>
          <w:szCs w:val="17"/>
        </w:rPr>
      </w:pPr>
    </w:p>
    <w:p w14:paraId="54AA4F27" w14:textId="5C52E5D6" w:rsidR="001F77E6" w:rsidRPr="00722521" w:rsidRDefault="001F77E6" w:rsidP="00A903E6">
      <w:pPr>
        <w:mirrorIndents/>
        <w:rPr>
          <w:sz w:val="17"/>
          <w:szCs w:val="17"/>
        </w:rPr>
      </w:pPr>
      <w:r w:rsidRPr="00722521">
        <w:rPr>
          <w:sz w:val="17"/>
          <w:szCs w:val="17"/>
        </w:rPr>
        <w:t>3</w:t>
      </w:r>
    </w:p>
    <w:p w14:paraId="73482964" w14:textId="77777777" w:rsidR="001F77E6" w:rsidRPr="00722521" w:rsidRDefault="001F77E6" w:rsidP="00A903E6">
      <w:pPr>
        <w:mirrorIndents/>
        <w:rPr>
          <w:sz w:val="17"/>
          <w:szCs w:val="17"/>
        </w:rPr>
      </w:pPr>
    </w:p>
    <w:p w14:paraId="149F7EAC"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explain your answer to question 1.6.1 for EIOPA:</w:t>
      </w:r>
    </w:p>
    <w:p w14:paraId="422F0DE3" w14:textId="77777777" w:rsidR="00F16DA3" w:rsidRPr="00722521" w:rsidRDefault="00F16DA3" w:rsidP="00F16DA3">
      <w:pPr>
        <w:pStyle w:val="Textkrper"/>
        <w:ind w:left="0"/>
        <w:mirrorIndents/>
        <w:rPr>
          <w:b w:val="0"/>
          <w:bCs w:val="0"/>
          <w:iCs/>
          <w:sz w:val="17"/>
          <w:szCs w:val="17"/>
          <w:highlight w:val="yellow"/>
        </w:rPr>
      </w:pPr>
    </w:p>
    <w:p w14:paraId="71925954" w14:textId="735A5E3D" w:rsidR="00F16DA3" w:rsidRPr="00722521" w:rsidRDefault="00722521" w:rsidP="00F16DA3">
      <w:pPr>
        <w:pStyle w:val="Textkrper"/>
        <w:ind w:left="0"/>
        <w:mirrorIndents/>
        <w:rPr>
          <w:rFonts w:ascii="Verdana" w:hAnsi="Verdana"/>
          <w:b w:val="0"/>
          <w:bCs w:val="0"/>
          <w:iCs/>
          <w:sz w:val="17"/>
          <w:szCs w:val="17"/>
        </w:rPr>
      </w:pPr>
      <w:r>
        <w:rPr>
          <w:rFonts w:ascii="Verdana" w:hAnsi="Verdana"/>
          <w:b w:val="0"/>
          <w:bCs w:val="0"/>
          <w:iCs/>
          <w:sz w:val="17"/>
          <w:szCs w:val="17"/>
        </w:rPr>
        <w:t>VVO</w:t>
      </w:r>
      <w:r w:rsidR="00F16DA3" w:rsidRPr="00722521">
        <w:rPr>
          <w:rFonts w:ascii="Verdana" w:hAnsi="Verdana"/>
          <w:b w:val="0"/>
          <w:bCs w:val="0"/>
          <w:iCs/>
          <w:sz w:val="17"/>
          <w:szCs w:val="17"/>
        </w:rPr>
        <w:t xml:space="preserve"> considers EIOPA’s emergency response to have had a very significant impact, but, unfortunately, not </w:t>
      </w:r>
      <w:r w:rsidR="00892B55" w:rsidRPr="00722521">
        <w:rPr>
          <w:rFonts w:ascii="Verdana" w:hAnsi="Verdana"/>
          <w:b w:val="0"/>
          <w:bCs w:val="0"/>
          <w:iCs/>
          <w:sz w:val="17"/>
          <w:szCs w:val="17"/>
        </w:rPr>
        <w:t xml:space="preserve">only </w:t>
      </w:r>
      <w:r w:rsidR="00F16DA3" w:rsidRPr="00722521">
        <w:rPr>
          <w:rFonts w:ascii="Verdana" w:hAnsi="Verdana"/>
          <w:b w:val="0"/>
          <w:bCs w:val="0"/>
          <w:iCs/>
          <w:sz w:val="17"/>
          <w:szCs w:val="17"/>
        </w:rPr>
        <w:t xml:space="preserve">in a positive way. While </w:t>
      </w:r>
      <w:r>
        <w:rPr>
          <w:rFonts w:ascii="Verdana" w:hAnsi="Verdana"/>
          <w:b w:val="0"/>
          <w:bCs w:val="0"/>
          <w:iCs/>
          <w:sz w:val="17"/>
          <w:szCs w:val="17"/>
        </w:rPr>
        <w:t>VVO</w:t>
      </w:r>
      <w:r w:rsidR="00F16DA3" w:rsidRPr="00722521">
        <w:rPr>
          <w:rFonts w:ascii="Verdana" w:hAnsi="Verdana"/>
          <w:b w:val="0"/>
          <w:bCs w:val="0"/>
          <w:iCs/>
          <w:sz w:val="17"/>
          <w:szCs w:val="17"/>
        </w:rPr>
        <w:t xml:space="preserve"> appreciates the statement that the sector was stable and operationally resilient</w:t>
      </w:r>
      <w:r w:rsidR="00812E07" w:rsidRPr="00722521">
        <w:rPr>
          <w:rFonts w:ascii="Verdana" w:hAnsi="Verdana"/>
          <w:b w:val="0"/>
          <w:bCs w:val="0"/>
          <w:iCs/>
          <w:sz w:val="17"/>
          <w:szCs w:val="17"/>
        </w:rPr>
        <w:t xml:space="preserve"> and the relief on supervisory reporting deadlines, </w:t>
      </w:r>
      <w:r w:rsidR="00892B55" w:rsidRPr="00722521">
        <w:rPr>
          <w:rFonts w:ascii="Verdana" w:hAnsi="Verdana"/>
          <w:b w:val="0"/>
          <w:bCs w:val="0"/>
          <w:iCs/>
          <w:sz w:val="17"/>
          <w:szCs w:val="17"/>
        </w:rPr>
        <w:t xml:space="preserve">EIOPA’s call for a dividend ban was not appropriate. </w:t>
      </w:r>
      <w:r w:rsidR="00315D35" w:rsidRPr="00722521">
        <w:rPr>
          <w:rFonts w:ascii="Verdana" w:hAnsi="Verdana"/>
          <w:b w:val="0"/>
          <w:bCs w:val="0"/>
          <w:iCs/>
          <w:sz w:val="17"/>
          <w:szCs w:val="17"/>
        </w:rPr>
        <w:t>Moreover, the statement undermined the credibility of the regulatory framework, Solvency II.</w:t>
      </w:r>
    </w:p>
    <w:p w14:paraId="1679EB45" w14:textId="77777777" w:rsidR="00F16DA3" w:rsidRPr="00722521" w:rsidRDefault="00F16DA3" w:rsidP="00F16DA3">
      <w:pPr>
        <w:pStyle w:val="Textkrper"/>
        <w:ind w:left="0"/>
        <w:mirrorIndents/>
        <w:rPr>
          <w:rFonts w:ascii="Verdana" w:hAnsi="Verdana"/>
          <w:b w:val="0"/>
          <w:bCs w:val="0"/>
          <w:iCs/>
          <w:sz w:val="17"/>
          <w:szCs w:val="17"/>
        </w:rPr>
      </w:pPr>
    </w:p>
    <w:p w14:paraId="5E43845D" w14:textId="26EDAA8A" w:rsidR="00F16DA3" w:rsidRPr="00722521" w:rsidRDefault="00F16DA3" w:rsidP="00F16DA3">
      <w:pPr>
        <w:pStyle w:val="Textkrper"/>
        <w:ind w:left="0"/>
        <w:mirrorIndents/>
        <w:rPr>
          <w:rFonts w:ascii="Verdana" w:hAnsi="Verdana"/>
          <w:b w:val="0"/>
          <w:bCs w:val="0"/>
          <w:iCs/>
          <w:sz w:val="17"/>
          <w:szCs w:val="17"/>
        </w:rPr>
      </w:pPr>
      <w:r w:rsidRPr="00722521">
        <w:rPr>
          <w:rFonts w:ascii="Verdana" w:hAnsi="Verdana"/>
          <w:b w:val="0"/>
          <w:bCs w:val="0"/>
          <w:iCs/>
          <w:sz w:val="17"/>
          <w:szCs w:val="17"/>
        </w:rPr>
        <w:t>Solvency II, already, empowers N</w:t>
      </w:r>
      <w:r w:rsidR="008E10E3" w:rsidRPr="00722521">
        <w:rPr>
          <w:rFonts w:ascii="Verdana" w:hAnsi="Verdana"/>
          <w:b w:val="0"/>
          <w:bCs w:val="0"/>
          <w:iCs/>
          <w:sz w:val="17"/>
          <w:szCs w:val="17"/>
        </w:rPr>
        <w:t>S</w:t>
      </w:r>
      <w:r w:rsidRPr="00722521">
        <w:rPr>
          <w:rFonts w:ascii="Verdana" w:hAnsi="Verdana"/>
          <w:b w:val="0"/>
          <w:bCs w:val="0"/>
          <w:iCs/>
          <w:sz w:val="17"/>
          <w:szCs w:val="17"/>
        </w:rPr>
        <w:t>As to assess if the distribution of such payments would risk the ability of the undertaking to comply with its SCR, even in a stressed situation. In cases, where the N</w:t>
      </w:r>
      <w:r w:rsidR="008E10E3" w:rsidRPr="00722521">
        <w:rPr>
          <w:rFonts w:ascii="Verdana" w:hAnsi="Verdana"/>
          <w:b w:val="0"/>
          <w:bCs w:val="0"/>
          <w:iCs/>
          <w:sz w:val="17"/>
          <w:szCs w:val="17"/>
        </w:rPr>
        <w:t>S</w:t>
      </w:r>
      <w:r w:rsidRPr="00722521">
        <w:rPr>
          <w:rFonts w:ascii="Verdana" w:hAnsi="Verdana"/>
          <w:b w:val="0"/>
          <w:bCs w:val="0"/>
          <w:iCs/>
          <w:sz w:val="17"/>
          <w:szCs w:val="17"/>
        </w:rPr>
        <w:t>A considers that the distribution of such payments will endanger the solvency position of an undertaking, the N</w:t>
      </w:r>
      <w:r w:rsidR="008E10E3" w:rsidRPr="00722521">
        <w:rPr>
          <w:rFonts w:ascii="Verdana" w:hAnsi="Verdana"/>
          <w:b w:val="0"/>
          <w:bCs w:val="0"/>
          <w:iCs/>
          <w:sz w:val="17"/>
          <w:szCs w:val="17"/>
        </w:rPr>
        <w:t>S</w:t>
      </w:r>
      <w:r w:rsidRPr="00722521">
        <w:rPr>
          <w:rFonts w:ascii="Verdana" w:hAnsi="Verdana"/>
          <w:b w:val="0"/>
          <w:bCs w:val="0"/>
          <w:iCs/>
          <w:sz w:val="17"/>
          <w:szCs w:val="17"/>
        </w:rPr>
        <w:t>A can intervene. For the coordination of N</w:t>
      </w:r>
      <w:r w:rsidR="008E10E3" w:rsidRPr="00722521">
        <w:rPr>
          <w:rFonts w:ascii="Verdana" w:hAnsi="Verdana"/>
          <w:b w:val="0"/>
          <w:bCs w:val="0"/>
          <w:iCs/>
          <w:sz w:val="17"/>
          <w:szCs w:val="17"/>
        </w:rPr>
        <w:t>S</w:t>
      </w:r>
      <w:r w:rsidRPr="00722521">
        <w:rPr>
          <w:rFonts w:ascii="Verdana" w:hAnsi="Verdana"/>
          <w:b w:val="0"/>
          <w:bCs w:val="0"/>
          <w:iCs/>
          <w:sz w:val="17"/>
          <w:szCs w:val="17"/>
        </w:rPr>
        <w:t xml:space="preserve">A policy, EIOPA’s </w:t>
      </w:r>
      <w:proofErr w:type="spellStart"/>
      <w:r w:rsidRPr="00722521">
        <w:rPr>
          <w:rFonts w:ascii="Verdana" w:hAnsi="Verdana"/>
          <w:b w:val="0"/>
          <w:bCs w:val="0"/>
          <w:iCs/>
          <w:sz w:val="17"/>
          <w:szCs w:val="17"/>
        </w:rPr>
        <w:t>BoS</w:t>
      </w:r>
      <w:proofErr w:type="spellEnd"/>
      <w:r w:rsidRPr="00722521">
        <w:rPr>
          <w:rFonts w:ascii="Verdana" w:hAnsi="Verdana"/>
          <w:b w:val="0"/>
          <w:bCs w:val="0"/>
          <w:iCs/>
          <w:sz w:val="17"/>
          <w:szCs w:val="17"/>
        </w:rPr>
        <w:t xml:space="preserve"> and technical working groups provide the appropriate vehicles.</w:t>
      </w:r>
    </w:p>
    <w:p w14:paraId="5F39DCDE" w14:textId="77777777" w:rsidR="00F16DA3" w:rsidRPr="00722521" w:rsidRDefault="00F16DA3" w:rsidP="00F16DA3">
      <w:pPr>
        <w:pStyle w:val="Textkrper"/>
        <w:ind w:left="0"/>
        <w:mirrorIndents/>
        <w:rPr>
          <w:rFonts w:ascii="Verdana" w:hAnsi="Verdana"/>
          <w:b w:val="0"/>
          <w:bCs w:val="0"/>
          <w:iCs/>
          <w:sz w:val="17"/>
          <w:szCs w:val="17"/>
        </w:rPr>
      </w:pPr>
    </w:p>
    <w:p w14:paraId="49DB1EDE" w14:textId="0EC0940C" w:rsidR="00F16DA3" w:rsidRPr="00722521" w:rsidRDefault="00F16DA3" w:rsidP="00F16DA3">
      <w:pPr>
        <w:pStyle w:val="Textkrper"/>
        <w:ind w:left="0"/>
        <w:mirrorIndents/>
        <w:rPr>
          <w:rFonts w:ascii="Verdana" w:hAnsi="Verdana"/>
          <w:b w:val="0"/>
          <w:bCs w:val="0"/>
          <w:iCs/>
          <w:sz w:val="17"/>
          <w:szCs w:val="17"/>
        </w:rPr>
      </w:pPr>
      <w:r w:rsidRPr="00722521">
        <w:rPr>
          <w:rFonts w:ascii="Verdana" w:hAnsi="Verdana"/>
          <w:b w:val="0"/>
          <w:bCs w:val="0"/>
          <w:iCs/>
          <w:sz w:val="17"/>
          <w:szCs w:val="17"/>
        </w:rPr>
        <w:t xml:space="preserve">Therefore, the EIOPA </w:t>
      </w:r>
      <w:r w:rsidR="00892B55" w:rsidRPr="00722521">
        <w:rPr>
          <w:rFonts w:ascii="Verdana" w:hAnsi="Verdana"/>
          <w:b w:val="0"/>
          <w:bCs w:val="0"/>
          <w:iCs/>
          <w:sz w:val="17"/>
          <w:szCs w:val="17"/>
        </w:rPr>
        <w:t xml:space="preserve">public </w:t>
      </w:r>
      <w:r w:rsidRPr="00722521">
        <w:rPr>
          <w:rFonts w:ascii="Verdana" w:hAnsi="Verdana"/>
          <w:b w:val="0"/>
          <w:bCs w:val="0"/>
          <w:iCs/>
          <w:sz w:val="17"/>
          <w:szCs w:val="17"/>
        </w:rPr>
        <w:t xml:space="preserve">statement </w:t>
      </w:r>
      <w:r w:rsidR="00892B55" w:rsidRPr="00722521">
        <w:rPr>
          <w:rFonts w:ascii="Verdana" w:hAnsi="Verdana"/>
          <w:b w:val="0"/>
          <w:bCs w:val="0"/>
          <w:iCs/>
          <w:sz w:val="17"/>
          <w:szCs w:val="17"/>
        </w:rPr>
        <w:t xml:space="preserve">for </w:t>
      </w:r>
      <w:r w:rsidRPr="00722521">
        <w:rPr>
          <w:rFonts w:ascii="Verdana" w:hAnsi="Verdana"/>
          <w:b w:val="0"/>
          <w:bCs w:val="0"/>
          <w:iCs/>
          <w:sz w:val="17"/>
          <w:szCs w:val="17"/>
        </w:rPr>
        <w:t>a ban on such payments did not provide any additional value. Instead, it led to disturbance of capital markets, a threat to the freedom of capital in the EU and, in fact, to fragmentation of the consistency of supervisory policy across the Union as some N</w:t>
      </w:r>
      <w:r w:rsidR="008E10E3" w:rsidRPr="00722521">
        <w:rPr>
          <w:rFonts w:ascii="Verdana" w:hAnsi="Verdana"/>
          <w:b w:val="0"/>
          <w:bCs w:val="0"/>
          <w:iCs/>
          <w:sz w:val="17"/>
          <w:szCs w:val="17"/>
        </w:rPr>
        <w:t>S</w:t>
      </w:r>
      <w:r w:rsidRPr="00722521">
        <w:rPr>
          <w:rFonts w:ascii="Verdana" w:hAnsi="Verdana"/>
          <w:b w:val="0"/>
          <w:bCs w:val="0"/>
          <w:iCs/>
          <w:sz w:val="17"/>
          <w:szCs w:val="17"/>
        </w:rPr>
        <w:t>As applied a strict ban while others applied Solvency II consequently.</w:t>
      </w:r>
    </w:p>
    <w:p w14:paraId="763C0BE7" w14:textId="77777777" w:rsidR="00F16DA3" w:rsidRPr="00722521" w:rsidRDefault="00F16DA3" w:rsidP="00F16DA3">
      <w:pPr>
        <w:pStyle w:val="Textkrper"/>
        <w:ind w:left="0"/>
        <w:mirrorIndents/>
        <w:rPr>
          <w:rFonts w:ascii="Verdana" w:hAnsi="Verdana"/>
          <w:b w:val="0"/>
          <w:bCs w:val="0"/>
          <w:iCs/>
          <w:sz w:val="17"/>
          <w:szCs w:val="17"/>
        </w:rPr>
      </w:pPr>
    </w:p>
    <w:p w14:paraId="78A19447" w14:textId="4FB09B31" w:rsidR="00F16DA3" w:rsidRPr="00722521" w:rsidRDefault="00F16DA3" w:rsidP="00F16DA3">
      <w:pPr>
        <w:pStyle w:val="Textkrper"/>
        <w:ind w:left="0"/>
        <w:mirrorIndents/>
        <w:rPr>
          <w:rFonts w:ascii="Verdana" w:hAnsi="Verdana"/>
          <w:b w:val="0"/>
          <w:bCs w:val="0"/>
          <w:iCs/>
          <w:sz w:val="17"/>
          <w:szCs w:val="17"/>
        </w:rPr>
      </w:pPr>
      <w:r w:rsidRPr="00722521">
        <w:rPr>
          <w:rFonts w:ascii="Verdana" w:hAnsi="Verdana"/>
          <w:b w:val="0"/>
          <w:bCs w:val="0"/>
          <w:iCs/>
          <w:sz w:val="17"/>
          <w:szCs w:val="17"/>
        </w:rPr>
        <w:t xml:space="preserve">EIOPA </w:t>
      </w:r>
      <w:r w:rsidR="00892B55" w:rsidRPr="00722521">
        <w:rPr>
          <w:rFonts w:ascii="Verdana" w:hAnsi="Verdana"/>
          <w:b w:val="0"/>
          <w:bCs w:val="0"/>
          <w:iCs/>
          <w:sz w:val="17"/>
          <w:szCs w:val="17"/>
        </w:rPr>
        <w:t xml:space="preserve">could have provided </w:t>
      </w:r>
      <w:r w:rsidR="00725F87" w:rsidRPr="00722521">
        <w:rPr>
          <w:rFonts w:ascii="Verdana" w:hAnsi="Verdana"/>
          <w:b w:val="0"/>
          <w:bCs w:val="0"/>
          <w:iCs/>
          <w:sz w:val="17"/>
          <w:szCs w:val="17"/>
        </w:rPr>
        <w:t xml:space="preserve">guidance </w:t>
      </w:r>
      <w:r w:rsidR="00892B55" w:rsidRPr="00722521">
        <w:rPr>
          <w:rFonts w:ascii="Verdana" w:hAnsi="Verdana"/>
          <w:b w:val="0"/>
          <w:bCs w:val="0"/>
          <w:iCs/>
          <w:sz w:val="17"/>
          <w:szCs w:val="17"/>
        </w:rPr>
        <w:t xml:space="preserve">early </w:t>
      </w:r>
      <w:r w:rsidR="00725F87" w:rsidRPr="00722521">
        <w:rPr>
          <w:rFonts w:ascii="Verdana" w:hAnsi="Verdana"/>
          <w:b w:val="0"/>
          <w:bCs w:val="0"/>
          <w:iCs/>
          <w:sz w:val="17"/>
          <w:szCs w:val="17"/>
        </w:rPr>
        <w:t xml:space="preserve">on </w:t>
      </w:r>
      <w:r w:rsidR="00892B55" w:rsidRPr="00722521">
        <w:rPr>
          <w:rFonts w:ascii="Verdana" w:hAnsi="Verdana"/>
          <w:b w:val="0"/>
          <w:bCs w:val="0"/>
          <w:iCs/>
          <w:sz w:val="17"/>
          <w:szCs w:val="17"/>
        </w:rPr>
        <w:t>for</w:t>
      </w:r>
      <w:r w:rsidRPr="00722521">
        <w:rPr>
          <w:rFonts w:ascii="Verdana" w:hAnsi="Verdana"/>
          <w:b w:val="0"/>
          <w:bCs w:val="0"/>
          <w:iCs/>
          <w:sz w:val="17"/>
          <w:szCs w:val="17"/>
        </w:rPr>
        <w:t xml:space="preserve"> N</w:t>
      </w:r>
      <w:r w:rsidR="008E10E3" w:rsidRPr="00722521">
        <w:rPr>
          <w:rFonts w:ascii="Verdana" w:hAnsi="Verdana"/>
          <w:b w:val="0"/>
          <w:bCs w:val="0"/>
          <w:iCs/>
          <w:sz w:val="17"/>
          <w:szCs w:val="17"/>
        </w:rPr>
        <w:t>S</w:t>
      </w:r>
      <w:r w:rsidRPr="00722521">
        <w:rPr>
          <w:rFonts w:ascii="Verdana" w:hAnsi="Verdana"/>
          <w:b w:val="0"/>
          <w:bCs w:val="0"/>
          <w:iCs/>
          <w:sz w:val="17"/>
          <w:szCs w:val="17"/>
        </w:rPr>
        <w:t xml:space="preserve">As </w:t>
      </w:r>
      <w:r w:rsidR="00725F87" w:rsidRPr="00722521">
        <w:rPr>
          <w:rFonts w:ascii="Verdana" w:hAnsi="Verdana"/>
          <w:b w:val="0"/>
          <w:bCs w:val="0"/>
          <w:iCs/>
          <w:sz w:val="17"/>
          <w:szCs w:val="17"/>
        </w:rPr>
        <w:t xml:space="preserve">to </w:t>
      </w:r>
      <w:r w:rsidRPr="00722521">
        <w:rPr>
          <w:rFonts w:ascii="Verdana" w:hAnsi="Verdana"/>
          <w:b w:val="0"/>
          <w:bCs w:val="0"/>
          <w:iCs/>
          <w:sz w:val="17"/>
          <w:szCs w:val="17"/>
        </w:rPr>
        <w:t xml:space="preserve">assess </w:t>
      </w:r>
      <w:r w:rsidR="00892B55" w:rsidRPr="00722521">
        <w:rPr>
          <w:rFonts w:ascii="Verdana" w:hAnsi="Verdana"/>
          <w:b w:val="0"/>
          <w:bCs w:val="0"/>
          <w:iCs/>
          <w:sz w:val="17"/>
          <w:szCs w:val="17"/>
        </w:rPr>
        <w:t xml:space="preserve">on a case by case basis </w:t>
      </w:r>
      <w:r w:rsidRPr="00722521">
        <w:rPr>
          <w:rFonts w:ascii="Verdana" w:hAnsi="Verdana"/>
          <w:b w:val="0"/>
          <w:bCs w:val="0"/>
          <w:iCs/>
          <w:sz w:val="17"/>
          <w:szCs w:val="17"/>
        </w:rPr>
        <w:t xml:space="preserve">insurers </w:t>
      </w:r>
      <w:r w:rsidR="00892B55" w:rsidRPr="00722521">
        <w:rPr>
          <w:rFonts w:ascii="Verdana" w:hAnsi="Verdana"/>
          <w:b w:val="0"/>
          <w:bCs w:val="0"/>
          <w:iCs/>
          <w:sz w:val="17"/>
          <w:szCs w:val="17"/>
        </w:rPr>
        <w:t xml:space="preserve">ability to pay dividends </w:t>
      </w:r>
      <w:r w:rsidRPr="00722521">
        <w:rPr>
          <w:rFonts w:ascii="Verdana" w:hAnsi="Verdana"/>
          <w:b w:val="0"/>
          <w:bCs w:val="0"/>
          <w:iCs/>
          <w:sz w:val="17"/>
          <w:szCs w:val="17"/>
        </w:rPr>
        <w:t>during the COVID-19 crisis. Until now (</w:t>
      </w:r>
      <w:r w:rsidR="0052653B" w:rsidRPr="00722521">
        <w:rPr>
          <w:rFonts w:ascii="Verdana" w:hAnsi="Verdana"/>
          <w:b w:val="0"/>
          <w:bCs w:val="0"/>
          <w:iCs/>
          <w:sz w:val="17"/>
          <w:szCs w:val="17"/>
        </w:rPr>
        <w:t xml:space="preserve">May </w:t>
      </w:r>
      <w:r w:rsidRPr="00722521">
        <w:rPr>
          <w:rFonts w:ascii="Verdana" w:hAnsi="Verdana"/>
          <w:b w:val="0"/>
          <w:bCs w:val="0"/>
          <w:iCs/>
          <w:sz w:val="17"/>
          <w:szCs w:val="17"/>
        </w:rPr>
        <w:t xml:space="preserve">2021), EIOPA </w:t>
      </w:r>
      <w:r w:rsidR="008E10E3" w:rsidRPr="00722521">
        <w:rPr>
          <w:rFonts w:ascii="Verdana" w:hAnsi="Verdana"/>
          <w:b w:val="0"/>
          <w:bCs w:val="0"/>
          <w:iCs/>
          <w:sz w:val="17"/>
          <w:szCs w:val="17"/>
        </w:rPr>
        <w:t xml:space="preserve">has </w:t>
      </w:r>
      <w:r w:rsidRPr="00722521">
        <w:rPr>
          <w:rFonts w:ascii="Verdana" w:hAnsi="Verdana"/>
          <w:b w:val="0"/>
          <w:bCs w:val="0"/>
          <w:iCs/>
          <w:sz w:val="17"/>
          <w:szCs w:val="17"/>
        </w:rPr>
        <w:t>not provide</w:t>
      </w:r>
      <w:r w:rsidR="008E10E3" w:rsidRPr="00722521">
        <w:rPr>
          <w:rFonts w:ascii="Verdana" w:hAnsi="Verdana"/>
          <w:b w:val="0"/>
          <w:bCs w:val="0"/>
          <w:iCs/>
          <w:sz w:val="17"/>
          <w:szCs w:val="17"/>
        </w:rPr>
        <w:t>d</w:t>
      </w:r>
      <w:r w:rsidRPr="00722521">
        <w:rPr>
          <w:rFonts w:ascii="Verdana" w:hAnsi="Verdana"/>
          <w:b w:val="0"/>
          <w:bCs w:val="0"/>
          <w:iCs/>
          <w:sz w:val="17"/>
          <w:szCs w:val="17"/>
        </w:rPr>
        <w:t xml:space="preserve"> such assistance which might have enabled a consistent supervisory approach on the basis of the application of the common supervisory regime, </w:t>
      </w:r>
      <w:r w:rsidR="008E10E3" w:rsidRPr="00722521">
        <w:rPr>
          <w:rFonts w:ascii="Verdana" w:hAnsi="Verdana"/>
          <w:b w:val="0"/>
          <w:bCs w:val="0"/>
          <w:iCs/>
          <w:sz w:val="17"/>
          <w:szCs w:val="17"/>
        </w:rPr>
        <w:t>Solvency</w:t>
      </w:r>
      <w:r w:rsidRPr="00722521">
        <w:rPr>
          <w:rFonts w:ascii="Verdana" w:hAnsi="Verdana"/>
          <w:b w:val="0"/>
          <w:bCs w:val="0"/>
          <w:iCs/>
          <w:sz w:val="17"/>
          <w:szCs w:val="17"/>
        </w:rPr>
        <w:t xml:space="preserve"> II, and safeguarding the freedoms of the single market.</w:t>
      </w:r>
    </w:p>
    <w:p w14:paraId="1DB69901" w14:textId="5869D616" w:rsidR="00BA160A" w:rsidRPr="00722521" w:rsidRDefault="00BA160A" w:rsidP="00F16DA3">
      <w:pPr>
        <w:jc w:val="left"/>
        <w:rPr>
          <w:iCs/>
          <w:sz w:val="17"/>
          <w:szCs w:val="17"/>
        </w:rPr>
      </w:pPr>
    </w:p>
    <w:p w14:paraId="64AFDE19" w14:textId="303A799F" w:rsidR="00CF2007" w:rsidRPr="00722521" w:rsidRDefault="00CF2007" w:rsidP="00F16DA3">
      <w:pPr>
        <w:jc w:val="left"/>
        <w:rPr>
          <w:iCs/>
          <w:sz w:val="17"/>
          <w:szCs w:val="17"/>
        </w:rPr>
      </w:pPr>
    </w:p>
    <w:p w14:paraId="0683C706" w14:textId="3F0A2E0A"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1.6.2 Please rate the effectiveness of the ESAs’ follow-up actions on the European Systemic Risk Board (ESRB) recommendations below in the context of the COVID-19 crisis:</w:t>
      </w:r>
    </w:p>
    <w:tbl>
      <w:tblPr>
        <w:tblW w:w="4820" w:type="pct"/>
        <w:tblInd w:w="388"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477"/>
        <w:gridCol w:w="1282"/>
        <w:gridCol w:w="1282"/>
        <w:gridCol w:w="1282"/>
        <w:gridCol w:w="1282"/>
        <w:gridCol w:w="1282"/>
        <w:gridCol w:w="1282"/>
      </w:tblGrid>
      <w:tr w:rsidR="00BA160A" w:rsidRPr="00722521" w14:paraId="6A440088" w14:textId="77777777" w:rsidTr="00205B86">
        <w:trPr>
          <w:trHeight w:hRule="exact" w:val="1560"/>
        </w:trPr>
        <w:tc>
          <w:tcPr>
            <w:tcW w:w="805" w:type="pct"/>
            <w:vMerge w:val="restart"/>
            <w:tcBorders>
              <w:top w:val="single" w:sz="8" w:space="0" w:color="BABABA"/>
              <w:left w:val="single" w:sz="8" w:space="0" w:color="BABABA"/>
              <w:bottom w:val="single" w:sz="8" w:space="0" w:color="BABABA"/>
              <w:right w:val="single" w:sz="8" w:space="0" w:color="BABABA"/>
            </w:tcBorders>
          </w:tcPr>
          <w:p w14:paraId="0876D706"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hideMark/>
          </w:tcPr>
          <w:p w14:paraId="5223AA3D" w14:textId="77777777" w:rsidR="00BA160A" w:rsidRPr="00722521" w:rsidRDefault="00BA160A" w:rsidP="00A903E6">
            <w:pPr>
              <w:pStyle w:val="TableParagraph"/>
              <w:mirrorIndents/>
              <w:rPr>
                <w:szCs w:val="17"/>
              </w:rPr>
            </w:pPr>
            <w:r w:rsidRPr="00722521">
              <w:rPr>
                <w:w w:val="99"/>
                <w:szCs w:val="17"/>
              </w:rPr>
              <w:t>1</w:t>
            </w:r>
          </w:p>
          <w:p w14:paraId="3D46D4AE" w14:textId="77777777" w:rsidR="00BA160A" w:rsidRPr="00722521" w:rsidRDefault="00BA160A" w:rsidP="00A903E6">
            <w:pPr>
              <w:pStyle w:val="TableParagraph"/>
              <w:ind w:hanging="55"/>
              <w:mirrorIndents/>
              <w:rPr>
                <w:szCs w:val="17"/>
              </w:rPr>
            </w:pPr>
            <w:r w:rsidRPr="00722521">
              <w:rPr>
                <w:szCs w:val="17"/>
              </w:rPr>
              <w:t>(least effective)</w:t>
            </w:r>
          </w:p>
        </w:tc>
        <w:tc>
          <w:tcPr>
            <w:tcW w:w="699" w:type="pct"/>
            <w:tcBorders>
              <w:top w:val="single" w:sz="8" w:space="0" w:color="BABABA"/>
              <w:left w:val="single" w:sz="8" w:space="0" w:color="BABABA"/>
              <w:bottom w:val="nil"/>
              <w:right w:val="single" w:sz="8" w:space="0" w:color="BABABA"/>
            </w:tcBorders>
            <w:hideMark/>
          </w:tcPr>
          <w:p w14:paraId="6159EDFA" w14:textId="77777777" w:rsidR="00BA160A" w:rsidRPr="00722521" w:rsidRDefault="00BA160A" w:rsidP="00A903E6">
            <w:pPr>
              <w:pStyle w:val="TableParagraph"/>
              <w:mirrorIndents/>
              <w:rPr>
                <w:szCs w:val="17"/>
              </w:rPr>
            </w:pPr>
            <w:r w:rsidRPr="00722521">
              <w:rPr>
                <w:w w:val="99"/>
                <w:szCs w:val="17"/>
              </w:rPr>
              <w:t>2</w:t>
            </w:r>
          </w:p>
          <w:p w14:paraId="520B76B2" w14:textId="77777777" w:rsidR="00BA160A" w:rsidRPr="00722521" w:rsidRDefault="00BA160A" w:rsidP="00A903E6">
            <w:pPr>
              <w:pStyle w:val="TableParagraph"/>
              <w:mirrorIndents/>
              <w:rPr>
                <w:szCs w:val="17"/>
              </w:rPr>
            </w:pPr>
            <w:r w:rsidRPr="00722521">
              <w:rPr>
                <w:w w:val="105"/>
                <w:szCs w:val="17"/>
              </w:rPr>
              <w:t>(rather not</w:t>
            </w:r>
            <w:r w:rsidRPr="00722521">
              <w:rPr>
                <w:w w:val="102"/>
                <w:szCs w:val="17"/>
              </w:rPr>
              <w:t xml:space="preserve"> </w:t>
            </w:r>
            <w:r w:rsidRPr="00722521">
              <w:rPr>
                <w:w w:val="105"/>
                <w:szCs w:val="17"/>
              </w:rPr>
              <w:t>effective)</w:t>
            </w:r>
          </w:p>
        </w:tc>
        <w:tc>
          <w:tcPr>
            <w:tcW w:w="699" w:type="pct"/>
            <w:tcBorders>
              <w:top w:val="single" w:sz="8" w:space="0" w:color="BABABA"/>
              <w:left w:val="single" w:sz="8" w:space="0" w:color="BABABA"/>
              <w:bottom w:val="nil"/>
              <w:right w:val="single" w:sz="8" w:space="0" w:color="BABABA"/>
            </w:tcBorders>
            <w:hideMark/>
          </w:tcPr>
          <w:p w14:paraId="1CD57391" w14:textId="77777777" w:rsidR="00BA160A" w:rsidRPr="00722521" w:rsidRDefault="00BA160A" w:rsidP="00A903E6">
            <w:pPr>
              <w:pStyle w:val="TableParagraph"/>
              <w:mirrorIndents/>
              <w:rPr>
                <w:szCs w:val="17"/>
              </w:rPr>
            </w:pPr>
            <w:r w:rsidRPr="00722521">
              <w:rPr>
                <w:w w:val="99"/>
                <w:szCs w:val="17"/>
              </w:rPr>
              <w:t>3</w:t>
            </w:r>
          </w:p>
          <w:p w14:paraId="43BF408A" w14:textId="77777777" w:rsidR="00BA160A" w:rsidRPr="00722521" w:rsidRDefault="00BA160A" w:rsidP="00A903E6">
            <w:pPr>
              <w:pStyle w:val="TableParagraph"/>
              <w:mirrorIndents/>
              <w:rPr>
                <w:szCs w:val="17"/>
              </w:rPr>
            </w:pPr>
            <w:r w:rsidRPr="00722521">
              <w:rPr>
                <w:szCs w:val="17"/>
              </w:rPr>
              <w:t>(neutral)</w:t>
            </w:r>
          </w:p>
        </w:tc>
        <w:tc>
          <w:tcPr>
            <w:tcW w:w="699" w:type="pct"/>
            <w:tcBorders>
              <w:top w:val="single" w:sz="8" w:space="0" w:color="BABABA"/>
              <w:left w:val="single" w:sz="8" w:space="0" w:color="BABABA"/>
              <w:bottom w:val="nil"/>
              <w:right w:val="single" w:sz="8" w:space="0" w:color="BABABA"/>
            </w:tcBorders>
            <w:hideMark/>
          </w:tcPr>
          <w:p w14:paraId="1B1BD72F" w14:textId="77777777" w:rsidR="00BA160A" w:rsidRPr="00722521" w:rsidRDefault="00BA160A" w:rsidP="00A903E6">
            <w:pPr>
              <w:pStyle w:val="TableParagraph"/>
              <w:mirrorIndents/>
              <w:rPr>
                <w:szCs w:val="17"/>
              </w:rPr>
            </w:pPr>
            <w:r w:rsidRPr="00722521">
              <w:rPr>
                <w:w w:val="99"/>
                <w:szCs w:val="17"/>
              </w:rPr>
              <w:t>4</w:t>
            </w:r>
          </w:p>
          <w:p w14:paraId="161AF2E1" w14:textId="77777777" w:rsidR="00BA160A" w:rsidRPr="00722521" w:rsidRDefault="00BA160A" w:rsidP="00A903E6">
            <w:pPr>
              <w:pStyle w:val="TableParagraph"/>
              <w:ind w:hanging="55"/>
              <w:mirrorIndents/>
              <w:rPr>
                <w:szCs w:val="17"/>
              </w:rPr>
            </w:pPr>
            <w:r w:rsidRPr="00722521">
              <w:rPr>
                <w:w w:val="105"/>
                <w:szCs w:val="17"/>
              </w:rPr>
              <w:t xml:space="preserve">(rather </w:t>
            </w:r>
            <w:r w:rsidRPr="00722521">
              <w:rPr>
                <w:szCs w:val="17"/>
              </w:rPr>
              <w:t>effective)</w:t>
            </w:r>
          </w:p>
        </w:tc>
        <w:tc>
          <w:tcPr>
            <w:tcW w:w="699" w:type="pct"/>
            <w:tcBorders>
              <w:top w:val="single" w:sz="8" w:space="0" w:color="BABABA"/>
              <w:left w:val="single" w:sz="8" w:space="0" w:color="BABABA"/>
              <w:bottom w:val="nil"/>
              <w:right w:val="single" w:sz="8" w:space="0" w:color="BABABA"/>
            </w:tcBorders>
            <w:hideMark/>
          </w:tcPr>
          <w:p w14:paraId="22E45C2F" w14:textId="77777777" w:rsidR="00BA160A" w:rsidRPr="00722521" w:rsidRDefault="00BA160A" w:rsidP="00A903E6">
            <w:pPr>
              <w:pStyle w:val="TableParagraph"/>
              <w:mirrorIndents/>
              <w:rPr>
                <w:szCs w:val="17"/>
              </w:rPr>
            </w:pPr>
            <w:r w:rsidRPr="00722521">
              <w:rPr>
                <w:w w:val="99"/>
                <w:szCs w:val="17"/>
              </w:rPr>
              <w:t>5</w:t>
            </w:r>
          </w:p>
          <w:p w14:paraId="2DB144A0" w14:textId="77777777" w:rsidR="00BA160A" w:rsidRPr="00722521" w:rsidRDefault="00BA160A" w:rsidP="00A903E6">
            <w:pPr>
              <w:pStyle w:val="TableParagraph"/>
              <w:ind w:hanging="55"/>
              <w:mirrorIndents/>
              <w:rPr>
                <w:szCs w:val="17"/>
              </w:rPr>
            </w:pPr>
            <w:r w:rsidRPr="00722521">
              <w:rPr>
                <w:w w:val="105"/>
                <w:szCs w:val="17"/>
              </w:rPr>
              <w:t xml:space="preserve">(most </w:t>
            </w:r>
            <w:r w:rsidRPr="00722521">
              <w:rPr>
                <w:szCs w:val="17"/>
              </w:rPr>
              <w:t>effective)</w:t>
            </w:r>
          </w:p>
        </w:tc>
        <w:tc>
          <w:tcPr>
            <w:tcW w:w="699" w:type="pct"/>
            <w:tcBorders>
              <w:top w:val="single" w:sz="8" w:space="0" w:color="BABABA"/>
              <w:left w:val="single" w:sz="8" w:space="0" w:color="BABABA"/>
              <w:bottom w:val="nil"/>
              <w:right w:val="single" w:sz="8" w:space="0" w:color="BABABA"/>
            </w:tcBorders>
            <w:hideMark/>
          </w:tcPr>
          <w:p w14:paraId="04A287E5"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8"/>
                <w:w w:val="105"/>
                <w:szCs w:val="17"/>
              </w:rPr>
              <w:t xml:space="preserve"> </w:t>
            </w:r>
            <w:r w:rsidRPr="00722521">
              <w:rPr>
                <w:w w:val="105"/>
                <w:szCs w:val="17"/>
              </w:rPr>
              <w:t>-</w:t>
            </w:r>
            <w:r w:rsidRPr="00722521">
              <w:rPr>
                <w:w w:val="102"/>
                <w:szCs w:val="17"/>
              </w:rPr>
              <w:t xml:space="preserve"> </w:t>
            </w:r>
            <w:r w:rsidRPr="00722521">
              <w:rPr>
                <w:w w:val="105"/>
                <w:szCs w:val="17"/>
              </w:rPr>
              <w:t>Not</w:t>
            </w:r>
          </w:p>
        </w:tc>
      </w:tr>
      <w:tr w:rsidR="00BA160A" w:rsidRPr="00722521" w14:paraId="1E3693CF" w14:textId="77777777" w:rsidTr="00205B86">
        <w:trPr>
          <w:trHeight w:hRule="exact" w:val="398"/>
        </w:trPr>
        <w:tc>
          <w:tcPr>
            <w:tcW w:w="805" w:type="pct"/>
            <w:vMerge/>
            <w:tcBorders>
              <w:top w:val="single" w:sz="8" w:space="0" w:color="BABABA"/>
              <w:left w:val="single" w:sz="8" w:space="0" w:color="BABABA"/>
              <w:bottom w:val="single" w:sz="8" w:space="0" w:color="BABABA"/>
              <w:right w:val="single" w:sz="8" w:space="0" w:color="BABABA"/>
            </w:tcBorders>
            <w:vAlign w:val="center"/>
            <w:hideMark/>
          </w:tcPr>
          <w:p w14:paraId="4DD53EEB" w14:textId="77777777" w:rsidR="00BA160A" w:rsidRPr="00722521" w:rsidRDefault="00BA160A" w:rsidP="00A903E6">
            <w:pPr>
              <w:jc w:val="left"/>
              <w:rPr>
                <w:rFonts w:eastAsia="Microsoft Sans Serif" w:cs="Microsoft Sans Serif"/>
                <w:sz w:val="17"/>
                <w:szCs w:val="17"/>
              </w:rPr>
            </w:pPr>
          </w:p>
        </w:tc>
        <w:tc>
          <w:tcPr>
            <w:tcW w:w="699" w:type="pct"/>
            <w:tcBorders>
              <w:top w:val="nil"/>
              <w:left w:val="single" w:sz="8" w:space="0" w:color="BABABA"/>
              <w:bottom w:val="single" w:sz="8" w:space="0" w:color="BABABA"/>
              <w:right w:val="single" w:sz="8" w:space="0" w:color="BABABA"/>
            </w:tcBorders>
          </w:tcPr>
          <w:p w14:paraId="08DB8B3A"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6978D8FB"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5C28F5C4"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2A693F37"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22AAE0BF"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hideMark/>
          </w:tcPr>
          <w:p w14:paraId="107CC8F8" w14:textId="77777777" w:rsidR="00BA160A" w:rsidRPr="00722521" w:rsidRDefault="00BA160A" w:rsidP="00A903E6">
            <w:pPr>
              <w:pStyle w:val="TableParagraph"/>
              <w:mirrorIndents/>
              <w:rPr>
                <w:szCs w:val="17"/>
              </w:rPr>
            </w:pPr>
            <w:r w:rsidRPr="00722521">
              <w:rPr>
                <w:szCs w:val="17"/>
              </w:rPr>
              <w:t>applicable</w:t>
            </w:r>
          </w:p>
        </w:tc>
      </w:tr>
      <w:tr w:rsidR="00BA160A" w:rsidRPr="00722521" w14:paraId="1F2ACAE2" w14:textId="77777777" w:rsidTr="008E10E3">
        <w:trPr>
          <w:trHeight w:hRule="exact" w:val="1446"/>
        </w:trPr>
        <w:tc>
          <w:tcPr>
            <w:tcW w:w="805" w:type="pct"/>
            <w:tcBorders>
              <w:top w:val="single" w:sz="8" w:space="0" w:color="BABABA"/>
              <w:left w:val="single" w:sz="8" w:space="0" w:color="BABABA"/>
              <w:bottom w:val="single" w:sz="8" w:space="0" w:color="BABABA"/>
              <w:right w:val="single" w:sz="8" w:space="0" w:color="BABABA"/>
            </w:tcBorders>
            <w:hideMark/>
          </w:tcPr>
          <w:p w14:paraId="2ED12B24" w14:textId="77777777" w:rsidR="00BA160A" w:rsidRPr="00722521" w:rsidRDefault="00BA160A" w:rsidP="00A903E6">
            <w:pPr>
              <w:pStyle w:val="TableParagraph"/>
              <w:mirrorIndents/>
              <w:rPr>
                <w:szCs w:val="17"/>
              </w:rPr>
            </w:pPr>
            <w:r w:rsidRPr="00722521">
              <w:rPr>
                <w:szCs w:val="17"/>
              </w:rPr>
              <w:t>Market illiquidity and implications for asset managers and insurers</w:t>
            </w:r>
          </w:p>
        </w:tc>
        <w:tc>
          <w:tcPr>
            <w:tcW w:w="699" w:type="pct"/>
            <w:tcBorders>
              <w:top w:val="single" w:sz="8" w:space="0" w:color="BABABA"/>
              <w:left w:val="single" w:sz="8" w:space="0" w:color="BABABA"/>
              <w:bottom w:val="single" w:sz="8" w:space="0" w:color="BABABA"/>
              <w:right w:val="single" w:sz="8" w:space="0" w:color="BABABA"/>
            </w:tcBorders>
            <w:vAlign w:val="center"/>
          </w:tcPr>
          <w:p w14:paraId="4D542569" w14:textId="77777777" w:rsidR="00BA160A" w:rsidRPr="00722521" w:rsidRDefault="00BA160A" w:rsidP="008E10E3">
            <w:pPr>
              <w:pStyle w:val="TableParagraph"/>
              <w:mirrorIndents/>
              <w:jc w:val="center"/>
              <w:rPr>
                <w:b/>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2976AB20" w14:textId="117E44C8" w:rsidR="00BA160A" w:rsidRPr="00722521" w:rsidRDefault="00F16DA3" w:rsidP="008E10E3">
            <w:pPr>
              <w:pStyle w:val="TableParagraph"/>
              <w:mirrorIndents/>
              <w:jc w:val="center"/>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vAlign w:val="center"/>
          </w:tcPr>
          <w:p w14:paraId="37FBCD00" w14:textId="77777777" w:rsidR="00BA160A" w:rsidRPr="00722521" w:rsidRDefault="00BA160A" w:rsidP="008E10E3">
            <w:pPr>
              <w:pStyle w:val="TableParagraph"/>
              <w:mirrorIndents/>
              <w:jc w:val="center"/>
              <w:rPr>
                <w:b/>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1065E229" w14:textId="77777777" w:rsidR="00BA160A" w:rsidRPr="00722521" w:rsidRDefault="00BA160A" w:rsidP="008E10E3">
            <w:pPr>
              <w:pStyle w:val="TableParagraph"/>
              <w:mirrorIndents/>
              <w:jc w:val="center"/>
              <w:rPr>
                <w:b/>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5D056D8D" w14:textId="77777777" w:rsidR="00BA160A" w:rsidRPr="00722521" w:rsidRDefault="00BA160A" w:rsidP="008E10E3">
            <w:pPr>
              <w:pStyle w:val="TableParagraph"/>
              <w:mirrorIndents/>
              <w:jc w:val="center"/>
              <w:rPr>
                <w:b/>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0CA4890F" w14:textId="77777777" w:rsidR="00BA160A" w:rsidRPr="00722521" w:rsidRDefault="00BA160A" w:rsidP="008E10E3">
            <w:pPr>
              <w:pStyle w:val="TableParagraph"/>
              <w:mirrorIndents/>
              <w:jc w:val="center"/>
              <w:rPr>
                <w:b/>
                <w:szCs w:val="17"/>
              </w:rPr>
            </w:pPr>
          </w:p>
        </w:tc>
      </w:tr>
      <w:tr w:rsidR="00BA160A" w:rsidRPr="00722521" w14:paraId="68A1F884" w14:textId="77777777" w:rsidTr="008E10E3">
        <w:trPr>
          <w:trHeight w:hRule="exact" w:val="2417"/>
        </w:trPr>
        <w:tc>
          <w:tcPr>
            <w:tcW w:w="805" w:type="pct"/>
            <w:tcBorders>
              <w:top w:val="single" w:sz="8" w:space="0" w:color="BABABA"/>
              <w:left w:val="single" w:sz="8" w:space="0" w:color="BABABA"/>
              <w:bottom w:val="single" w:sz="8" w:space="0" w:color="BABABA"/>
              <w:right w:val="single" w:sz="8" w:space="0" w:color="BABABA"/>
            </w:tcBorders>
            <w:hideMark/>
          </w:tcPr>
          <w:p w14:paraId="47B6100D" w14:textId="77777777" w:rsidR="00BA160A" w:rsidRPr="00722521" w:rsidRDefault="00BA160A" w:rsidP="00A903E6">
            <w:pPr>
              <w:pStyle w:val="TableParagraph"/>
              <w:mirrorIndents/>
              <w:rPr>
                <w:szCs w:val="17"/>
              </w:rPr>
            </w:pPr>
            <w:r w:rsidRPr="00722521">
              <w:rPr>
                <w:w w:val="105"/>
                <w:szCs w:val="17"/>
              </w:rPr>
              <w:lastRenderedPageBreak/>
              <w:t xml:space="preserve">Impact of large scale </w:t>
            </w:r>
            <w:r w:rsidRPr="00722521">
              <w:rPr>
                <w:szCs w:val="17"/>
              </w:rPr>
              <w:t xml:space="preserve">downgrades </w:t>
            </w:r>
            <w:r w:rsidRPr="00722521">
              <w:rPr>
                <w:w w:val="105"/>
                <w:szCs w:val="17"/>
              </w:rPr>
              <w:t>of corporate bonds on markets and</w:t>
            </w:r>
            <w:r w:rsidRPr="00722521">
              <w:rPr>
                <w:w w:val="102"/>
                <w:szCs w:val="17"/>
              </w:rPr>
              <w:t xml:space="preserve"> </w:t>
            </w:r>
            <w:r w:rsidRPr="00722521">
              <w:rPr>
                <w:w w:val="105"/>
                <w:szCs w:val="17"/>
              </w:rPr>
              <w:t>entities across the financial system</w:t>
            </w:r>
          </w:p>
        </w:tc>
        <w:tc>
          <w:tcPr>
            <w:tcW w:w="699" w:type="pct"/>
            <w:tcBorders>
              <w:top w:val="single" w:sz="8" w:space="0" w:color="BABABA"/>
              <w:left w:val="single" w:sz="8" w:space="0" w:color="BABABA"/>
              <w:bottom w:val="single" w:sz="8" w:space="0" w:color="BABABA"/>
              <w:right w:val="single" w:sz="8" w:space="0" w:color="BABABA"/>
            </w:tcBorders>
            <w:vAlign w:val="center"/>
          </w:tcPr>
          <w:p w14:paraId="75F1A5A4" w14:textId="77777777" w:rsidR="00BA160A" w:rsidRPr="00722521" w:rsidRDefault="00BA160A" w:rsidP="008E10E3">
            <w:pPr>
              <w:pStyle w:val="TableParagraph"/>
              <w:mirrorIndents/>
              <w:jc w:val="center"/>
              <w:rPr>
                <w:b/>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5CC8E379" w14:textId="77777777" w:rsidR="00BA160A" w:rsidRPr="00722521" w:rsidRDefault="00BA160A" w:rsidP="008E10E3">
            <w:pPr>
              <w:pStyle w:val="TableParagraph"/>
              <w:mirrorIndents/>
              <w:jc w:val="center"/>
              <w:rPr>
                <w:b/>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733A8A53" w14:textId="0C155964" w:rsidR="00BA160A" w:rsidRPr="00722521" w:rsidRDefault="00F16DA3" w:rsidP="008E10E3">
            <w:pPr>
              <w:pStyle w:val="TableParagraph"/>
              <w:mirrorIndents/>
              <w:jc w:val="center"/>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vAlign w:val="center"/>
          </w:tcPr>
          <w:p w14:paraId="6BA3FA85" w14:textId="77777777" w:rsidR="00BA160A" w:rsidRPr="00722521" w:rsidRDefault="00BA160A" w:rsidP="008E10E3">
            <w:pPr>
              <w:pStyle w:val="TableParagraph"/>
              <w:mirrorIndents/>
              <w:jc w:val="center"/>
              <w:rPr>
                <w:b/>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7EF8789D" w14:textId="77777777" w:rsidR="00BA160A" w:rsidRPr="00722521" w:rsidRDefault="00BA160A" w:rsidP="008E10E3">
            <w:pPr>
              <w:pStyle w:val="TableParagraph"/>
              <w:mirrorIndents/>
              <w:jc w:val="center"/>
              <w:rPr>
                <w:b/>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1316B171" w14:textId="77777777" w:rsidR="00BA160A" w:rsidRPr="00722521" w:rsidRDefault="00BA160A" w:rsidP="008E10E3">
            <w:pPr>
              <w:pStyle w:val="TableParagraph"/>
              <w:mirrorIndents/>
              <w:jc w:val="center"/>
              <w:rPr>
                <w:b/>
                <w:szCs w:val="17"/>
              </w:rPr>
            </w:pPr>
          </w:p>
        </w:tc>
      </w:tr>
      <w:tr w:rsidR="00BA160A" w:rsidRPr="00722521" w14:paraId="68770810" w14:textId="77777777" w:rsidTr="008E10E3">
        <w:trPr>
          <w:trHeight w:hRule="exact" w:val="1778"/>
        </w:trPr>
        <w:tc>
          <w:tcPr>
            <w:tcW w:w="805" w:type="pct"/>
            <w:tcBorders>
              <w:top w:val="single" w:sz="8" w:space="0" w:color="BABABA"/>
              <w:left w:val="single" w:sz="8" w:space="0" w:color="BABABA"/>
              <w:bottom w:val="single" w:sz="8" w:space="0" w:color="BABABA"/>
              <w:right w:val="single" w:sz="8" w:space="0" w:color="BABABA"/>
            </w:tcBorders>
            <w:hideMark/>
          </w:tcPr>
          <w:p w14:paraId="28C7D033" w14:textId="14CF2D6E" w:rsidR="00BA160A" w:rsidRPr="00722521" w:rsidRDefault="00BA160A" w:rsidP="00A903E6">
            <w:pPr>
              <w:pStyle w:val="TableParagraph"/>
              <w:mirrorIndents/>
              <w:rPr>
                <w:szCs w:val="17"/>
              </w:rPr>
            </w:pPr>
            <w:r w:rsidRPr="00722521">
              <w:rPr>
                <w:szCs w:val="17"/>
              </w:rPr>
              <w:t>System-wide restraints on dividend payments,</w:t>
            </w:r>
            <w:r w:rsidR="00205B86" w:rsidRPr="00722521">
              <w:rPr>
                <w:szCs w:val="17"/>
              </w:rPr>
              <w:t xml:space="preserve"> </w:t>
            </w:r>
            <w:r w:rsidR="00205B86" w:rsidRPr="00722521">
              <w:rPr>
                <w:w w:val="105"/>
                <w:szCs w:val="17"/>
              </w:rPr>
              <w:t xml:space="preserve">share </w:t>
            </w:r>
            <w:r w:rsidR="00205B86" w:rsidRPr="00722521">
              <w:rPr>
                <w:szCs w:val="17"/>
              </w:rPr>
              <w:t xml:space="preserve">buybacks </w:t>
            </w:r>
            <w:r w:rsidR="00205B86" w:rsidRPr="00722521">
              <w:rPr>
                <w:w w:val="105"/>
                <w:szCs w:val="17"/>
              </w:rPr>
              <w:t>and other pay-outs</w:t>
            </w:r>
          </w:p>
        </w:tc>
        <w:tc>
          <w:tcPr>
            <w:tcW w:w="699" w:type="pct"/>
            <w:tcBorders>
              <w:top w:val="single" w:sz="8" w:space="0" w:color="BABABA"/>
              <w:left w:val="single" w:sz="8" w:space="0" w:color="BABABA"/>
              <w:bottom w:val="single" w:sz="8" w:space="0" w:color="BABABA"/>
              <w:right w:val="single" w:sz="8" w:space="0" w:color="BABABA"/>
            </w:tcBorders>
            <w:vAlign w:val="center"/>
          </w:tcPr>
          <w:p w14:paraId="148AEBC1" w14:textId="57D3F731" w:rsidR="00BA160A" w:rsidRPr="00722521" w:rsidRDefault="00F16DA3" w:rsidP="008E10E3">
            <w:pPr>
              <w:mirrorIndents/>
              <w:jc w:val="center"/>
              <w:rPr>
                <w:b/>
                <w:sz w:val="17"/>
                <w:szCs w:val="17"/>
              </w:rPr>
            </w:pPr>
            <w:r w:rsidRPr="00722521">
              <w:rPr>
                <w:b/>
                <w:bCs/>
                <w:sz w:val="17"/>
                <w:szCs w:val="17"/>
              </w:rPr>
              <w:t>x</w:t>
            </w:r>
          </w:p>
        </w:tc>
        <w:tc>
          <w:tcPr>
            <w:tcW w:w="699" w:type="pct"/>
            <w:tcBorders>
              <w:top w:val="single" w:sz="8" w:space="0" w:color="BABABA"/>
              <w:left w:val="single" w:sz="8" w:space="0" w:color="BABABA"/>
              <w:bottom w:val="single" w:sz="8" w:space="0" w:color="BABABA"/>
              <w:right w:val="single" w:sz="8" w:space="0" w:color="BABABA"/>
            </w:tcBorders>
            <w:vAlign w:val="center"/>
          </w:tcPr>
          <w:p w14:paraId="3082F992" w14:textId="77777777" w:rsidR="00BA160A" w:rsidRPr="00722521" w:rsidRDefault="00BA160A" w:rsidP="008E10E3">
            <w:pPr>
              <w:mirrorIndents/>
              <w:jc w:val="center"/>
              <w:rPr>
                <w:sz w:val="17"/>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2BAD2132" w14:textId="77777777" w:rsidR="00BA160A" w:rsidRPr="00722521" w:rsidRDefault="00BA160A" w:rsidP="008E10E3">
            <w:pPr>
              <w:mirrorIndents/>
              <w:jc w:val="center"/>
              <w:rPr>
                <w:sz w:val="17"/>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2BDF35C2" w14:textId="77777777" w:rsidR="00BA160A" w:rsidRPr="00722521" w:rsidRDefault="00BA160A" w:rsidP="008E10E3">
            <w:pPr>
              <w:mirrorIndents/>
              <w:jc w:val="center"/>
              <w:rPr>
                <w:sz w:val="17"/>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2D1E2EF7" w14:textId="77777777" w:rsidR="00BA160A" w:rsidRPr="00722521" w:rsidRDefault="00BA160A" w:rsidP="008E10E3">
            <w:pPr>
              <w:mirrorIndents/>
              <w:jc w:val="center"/>
              <w:rPr>
                <w:sz w:val="17"/>
                <w:szCs w:val="17"/>
              </w:rPr>
            </w:pPr>
          </w:p>
        </w:tc>
        <w:tc>
          <w:tcPr>
            <w:tcW w:w="699" w:type="pct"/>
            <w:tcBorders>
              <w:top w:val="single" w:sz="8" w:space="0" w:color="BABABA"/>
              <w:left w:val="single" w:sz="8" w:space="0" w:color="BABABA"/>
              <w:bottom w:val="single" w:sz="8" w:space="0" w:color="BABABA"/>
              <w:right w:val="single" w:sz="8" w:space="0" w:color="BABABA"/>
            </w:tcBorders>
            <w:vAlign w:val="center"/>
          </w:tcPr>
          <w:p w14:paraId="79FC8B40" w14:textId="77777777" w:rsidR="00BA160A" w:rsidRPr="00722521" w:rsidRDefault="00BA160A" w:rsidP="008E10E3">
            <w:pPr>
              <w:mirrorIndents/>
              <w:jc w:val="center"/>
              <w:rPr>
                <w:sz w:val="17"/>
                <w:szCs w:val="17"/>
              </w:rPr>
            </w:pPr>
          </w:p>
        </w:tc>
      </w:tr>
      <w:tr w:rsidR="00205B86" w:rsidRPr="00722521" w14:paraId="587878DE" w14:textId="77777777" w:rsidTr="008E10E3">
        <w:trPr>
          <w:trHeight w:hRule="exact" w:val="903"/>
        </w:trPr>
        <w:tc>
          <w:tcPr>
            <w:tcW w:w="805" w:type="pct"/>
            <w:tcBorders>
              <w:top w:val="single" w:sz="8" w:space="0" w:color="BABABA"/>
              <w:left w:val="single" w:sz="8" w:space="0" w:color="BABABA"/>
              <w:bottom w:val="single" w:sz="4" w:space="0" w:color="auto"/>
              <w:right w:val="single" w:sz="8" w:space="0" w:color="BABABA"/>
            </w:tcBorders>
          </w:tcPr>
          <w:p w14:paraId="6000E6C8" w14:textId="7537C77B" w:rsidR="00205B86" w:rsidRPr="00722521" w:rsidRDefault="00205B86" w:rsidP="00A903E6">
            <w:pPr>
              <w:pStyle w:val="TableParagraph"/>
              <w:mirrorIndents/>
              <w:rPr>
                <w:szCs w:val="17"/>
              </w:rPr>
            </w:pPr>
            <w:r w:rsidRPr="00722521">
              <w:rPr>
                <w:szCs w:val="17"/>
              </w:rPr>
              <w:t>Liquidity risks arising from margin calls</w:t>
            </w:r>
          </w:p>
        </w:tc>
        <w:tc>
          <w:tcPr>
            <w:tcW w:w="699" w:type="pct"/>
            <w:tcBorders>
              <w:top w:val="single" w:sz="8" w:space="0" w:color="BABABA"/>
              <w:left w:val="single" w:sz="8" w:space="0" w:color="BABABA"/>
              <w:bottom w:val="single" w:sz="4" w:space="0" w:color="auto"/>
              <w:right w:val="single" w:sz="8" w:space="0" w:color="BABABA"/>
            </w:tcBorders>
            <w:vAlign w:val="center"/>
          </w:tcPr>
          <w:p w14:paraId="1DA26272" w14:textId="77777777" w:rsidR="00205B86" w:rsidRPr="00722521" w:rsidRDefault="00205B86" w:rsidP="008E10E3">
            <w:pPr>
              <w:mirrorIndents/>
              <w:jc w:val="center"/>
              <w:rPr>
                <w:sz w:val="17"/>
                <w:szCs w:val="17"/>
              </w:rPr>
            </w:pPr>
          </w:p>
        </w:tc>
        <w:tc>
          <w:tcPr>
            <w:tcW w:w="699" w:type="pct"/>
            <w:tcBorders>
              <w:top w:val="single" w:sz="8" w:space="0" w:color="BABABA"/>
              <w:left w:val="single" w:sz="8" w:space="0" w:color="BABABA"/>
              <w:bottom w:val="single" w:sz="4" w:space="0" w:color="auto"/>
              <w:right w:val="single" w:sz="8" w:space="0" w:color="BABABA"/>
            </w:tcBorders>
            <w:vAlign w:val="center"/>
          </w:tcPr>
          <w:p w14:paraId="79A77671" w14:textId="77777777" w:rsidR="00205B86" w:rsidRPr="00722521" w:rsidRDefault="00205B86" w:rsidP="008E10E3">
            <w:pPr>
              <w:mirrorIndents/>
              <w:jc w:val="center"/>
              <w:rPr>
                <w:sz w:val="17"/>
                <w:szCs w:val="17"/>
              </w:rPr>
            </w:pPr>
          </w:p>
        </w:tc>
        <w:tc>
          <w:tcPr>
            <w:tcW w:w="699" w:type="pct"/>
            <w:tcBorders>
              <w:top w:val="single" w:sz="8" w:space="0" w:color="BABABA"/>
              <w:left w:val="single" w:sz="8" w:space="0" w:color="BABABA"/>
              <w:bottom w:val="single" w:sz="4" w:space="0" w:color="auto"/>
              <w:right w:val="single" w:sz="8" w:space="0" w:color="BABABA"/>
            </w:tcBorders>
            <w:vAlign w:val="center"/>
          </w:tcPr>
          <w:p w14:paraId="2877D4BF" w14:textId="1952109E" w:rsidR="00205B86" w:rsidRPr="00722521" w:rsidRDefault="00F16DA3" w:rsidP="008E10E3">
            <w:pPr>
              <w:mirrorIndents/>
              <w:jc w:val="center"/>
              <w:rPr>
                <w:b/>
                <w:sz w:val="17"/>
                <w:szCs w:val="17"/>
              </w:rPr>
            </w:pPr>
            <w:r w:rsidRPr="00722521">
              <w:rPr>
                <w:b/>
                <w:bCs/>
                <w:sz w:val="17"/>
                <w:szCs w:val="17"/>
              </w:rPr>
              <w:t>x</w:t>
            </w:r>
          </w:p>
        </w:tc>
        <w:tc>
          <w:tcPr>
            <w:tcW w:w="699" w:type="pct"/>
            <w:tcBorders>
              <w:top w:val="single" w:sz="8" w:space="0" w:color="BABABA"/>
              <w:left w:val="single" w:sz="8" w:space="0" w:color="BABABA"/>
              <w:bottom w:val="single" w:sz="4" w:space="0" w:color="auto"/>
              <w:right w:val="single" w:sz="8" w:space="0" w:color="BABABA"/>
            </w:tcBorders>
            <w:vAlign w:val="center"/>
          </w:tcPr>
          <w:p w14:paraId="18297B6E" w14:textId="77777777" w:rsidR="00205B86" w:rsidRPr="00722521" w:rsidRDefault="00205B86" w:rsidP="008E10E3">
            <w:pPr>
              <w:mirrorIndents/>
              <w:jc w:val="center"/>
              <w:rPr>
                <w:sz w:val="17"/>
                <w:szCs w:val="17"/>
              </w:rPr>
            </w:pPr>
          </w:p>
        </w:tc>
        <w:tc>
          <w:tcPr>
            <w:tcW w:w="699" w:type="pct"/>
            <w:tcBorders>
              <w:top w:val="single" w:sz="8" w:space="0" w:color="BABABA"/>
              <w:left w:val="single" w:sz="8" w:space="0" w:color="BABABA"/>
              <w:bottom w:val="single" w:sz="4" w:space="0" w:color="auto"/>
              <w:right w:val="single" w:sz="8" w:space="0" w:color="BABABA"/>
            </w:tcBorders>
            <w:vAlign w:val="center"/>
          </w:tcPr>
          <w:p w14:paraId="0A70EED9" w14:textId="77777777" w:rsidR="00205B86" w:rsidRPr="00722521" w:rsidRDefault="00205B86" w:rsidP="008E10E3">
            <w:pPr>
              <w:mirrorIndents/>
              <w:jc w:val="center"/>
              <w:rPr>
                <w:sz w:val="17"/>
                <w:szCs w:val="17"/>
              </w:rPr>
            </w:pPr>
          </w:p>
        </w:tc>
        <w:tc>
          <w:tcPr>
            <w:tcW w:w="699" w:type="pct"/>
            <w:tcBorders>
              <w:top w:val="single" w:sz="8" w:space="0" w:color="BABABA"/>
              <w:left w:val="single" w:sz="8" w:space="0" w:color="BABABA"/>
              <w:bottom w:val="single" w:sz="4" w:space="0" w:color="auto"/>
              <w:right w:val="single" w:sz="8" w:space="0" w:color="BABABA"/>
            </w:tcBorders>
            <w:vAlign w:val="center"/>
          </w:tcPr>
          <w:p w14:paraId="2987C40A" w14:textId="77777777" w:rsidR="00205B86" w:rsidRPr="00722521" w:rsidRDefault="00205B86" w:rsidP="008E10E3">
            <w:pPr>
              <w:mirrorIndents/>
              <w:jc w:val="center"/>
              <w:rPr>
                <w:sz w:val="17"/>
                <w:szCs w:val="17"/>
              </w:rPr>
            </w:pPr>
          </w:p>
        </w:tc>
      </w:tr>
    </w:tbl>
    <w:p w14:paraId="7F78FE76" w14:textId="77777777" w:rsidR="001902AA" w:rsidRPr="00722521" w:rsidRDefault="001902AA" w:rsidP="00205B86">
      <w:pPr>
        <w:pStyle w:val="Textkrper"/>
        <w:ind w:left="0"/>
        <w:mirrorIndents/>
        <w:rPr>
          <w:rFonts w:ascii="Verdana" w:hAnsi="Verdana"/>
          <w:sz w:val="17"/>
          <w:szCs w:val="17"/>
        </w:rPr>
      </w:pPr>
    </w:p>
    <w:p w14:paraId="3CBE8193" w14:textId="71525AF9"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1.6.2:</w:t>
      </w:r>
    </w:p>
    <w:p w14:paraId="3CE6CFE3" w14:textId="181077C6" w:rsidR="00BA160A" w:rsidRPr="00722521" w:rsidRDefault="00BA160A" w:rsidP="00A903E6">
      <w:pPr>
        <w:mirrorIndents/>
        <w:rPr>
          <w:sz w:val="17"/>
          <w:szCs w:val="17"/>
        </w:rPr>
      </w:pPr>
    </w:p>
    <w:p w14:paraId="4BD622F6" w14:textId="69E9BAF8" w:rsidR="00342F54" w:rsidRPr="00722521" w:rsidRDefault="00722521" w:rsidP="00342F54">
      <w:pPr>
        <w:mirrorIndents/>
        <w:rPr>
          <w:sz w:val="17"/>
          <w:szCs w:val="17"/>
        </w:rPr>
      </w:pPr>
      <w:r>
        <w:rPr>
          <w:sz w:val="17"/>
          <w:szCs w:val="17"/>
        </w:rPr>
        <w:t>VVO</w:t>
      </w:r>
      <w:r w:rsidR="00342F54" w:rsidRPr="00722521">
        <w:rPr>
          <w:sz w:val="17"/>
          <w:szCs w:val="17"/>
        </w:rPr>
        <w:t xml:space="preserve"> would like to reiterate its statement on question 1.6.1 on the detrimental and harmful impact of the statement on the ban of dividends and similar payments.</w:t>
      </w:r>
    </w:p>
    <w:p w14:paraId="71081A6B" w14:textId="77777777" w:rsidR="00342F54" w:rsidRPr="00722521" w:rsidRDefault="00342F54" w:rsidP="00342F54">
      <w:pPr>
        <w:mirrorIndents/>
        <w:rPr>
          <w:sz w:val="17"/>
          <w:szCs w:val="17"/>
        </w:rPr>
      </w:pPr>
    </w:p>
    <w:p w14:paraId="5EEA8004" w14:textId="3B6A27B8" w:rsidR="00342F54" w:rsidRPr="00722521" w:rsidRDefault="00342F54" w:rsidP="00342F54">
      <w:pPr>
        <w:mirrorIndents/>
        <w:rPr>
          <w:sz w:val="17"/>
          <w:szCs w:val="17"/>
        </w:rPr>
      </w:pPr>
      <w:r w:rsidRPr="00722521">
        <w:rPr>
          <w:sz w:val="17"/>
          <w:szCs w:val="17"/>
        </w:rPr>
        <w:t>On the other aspects, and, particularly the risk dashboards, the information provided was valuable, but of limited additional value for the industry. In addition, the regular data requests from undertakings from N</w:t>
      </w:r>
      <w:r w:rsidR="008E10E3" w:rsidRPr="00722521">
        <w:rPr>
          <w:sz w:val="17"/>
          <w:szCs w:val="17"/>
        </w:rPr>
        <w:t>S</w:t>
      </w:r>
      <w:r w:rsidRPr="00722521">
        <w:rPr>
          <w:sz w:val="17"/>
          <w:szCs w:val="17"/>
        </w:rPr>
        <w:t>As and EIOPA increased the administrative burden significantly during a period in which significant efforts were required to remain operational and resilient to the benefit of policyholders and consumers.</w:t>
      </w:r>
    </w:p>
    <w:p w14:paraId="4ACFB3BB" w14:textId="06A69DBE" w:rsidR="00205B86" w:rsidRPr="00722521" w:rsidRDefault="00205B86" w:rsidP="00A903E6">
      <w:pPr>
        <w:mirrorIndents/>
        <w:rPr>
          <w:sz w:val="17"/>
          <w:szCs w:val="17"/>
        </w:rPr>
      </w:pPr>
    </w:p>
    <w:p w14:paraId="40FE307B" w14:textId="77777777" w:rsidR="00205B86" w:rsidRPr="00722521" w:rsidRDefault="00205B86" w:rsidP="00A903E6">
      <w:pPr>
        <w:mirrorIndents/>
        <w:rPr>
          <w:sz w:val="17"/>
          <w:szCs w:val="17"/>
        </w:rPr>
      </w:pPr>
    </w:p>
    <w:p w14:paraId="7DC20324" w14:textId="172A2793"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Question 1.6.3 EIOPA: Do you think the coordinating activities carried out by EIOPA has successfully contributed to address the challenges posed by the COVID-19 crisis?</w:t>
      </w:r>
    </w:p>
    <w:p w14:paraId="798DE823" w14:textId="31B56681" w:rsidR="00205B86" w:rsidRPr="00722521" w:rsidRDefault="00BA160A" w:rsidP="00205B86">
      <w:pPr>
        <w:pStyle w:val="CEABullet-Level1"/>
        <w:rPr>
          <w:color w:val="auto"/>
          <w:highlight w:val="lightGray"/>
        </w:rPr>
      </w:pPr>
      <w:r w:rsidRPr="00722521">
        <w:rPr>
          <w:color w:val="auto"/>
          <w:highlight w:val="lightGray"/>
        </w:rPr>
        <w:t xml:space="preserve">Yes </w:t>
      </w:r>
    </w:p>
    <w:p w14:paraId="16FF6774" w14:textId="52A0B007" w:rsidR="00BA160A" w:rsidRPr="00722521" w:rsidRDefault="00BA160A" w:rsidP="00205B86">
      <w:pPr>
        <w:pStyle w:val="CEABullet-Level1"/>
        <w:rPr>
          <w:color w:val="auto"/>
          <w:highlight w:val="lightGray"/>
        </w:rPr>
      </w:pPr>
      <w:r w:rsidRPr="00722521">
        <w:rPr>
          <w:color w:val="auto"/>
          <w:highlight w:val="lightGray"/>
        </w:rPr>
        <w:t>No</w:t>
      </w:r>
    </w:p>
    <w:p w14:paraId="5F308BDB" w14:textId="77777777" w:rsidR="00BA160A" w:rsidRPr="00722521" w:rsidRDefault="00BA160A" w:rsidP="00205B86">
      <w:pPr>
        <w:pStyle w:val="CEABullet-Level1"/>
        <w:rPr>
          <w:color w:val="auto"/>
          <w:highlight w:val="lightGray"/>
        </w:rPr>
      </w:pPr>
      <w:r w:rsidRPr="00722521">
        <w:rPr>
          <w:color w:val="auto"/>
          <w:highlight w:val="lightGray"/>
        </w:rPr>
        <w:t>Don’t know / no opinion / not relevant</w:t>
      </w:r>
    </w:p>
    <w:p w14:paraId="64722BAB" w14:textId="72829848" w:rsidR="00BA160A" w:rsidRPr="00722521" w:rsidRDefault="00BA160A" w:rsidP="00A903E6">
      <w:pPr>
        <w:mirrorIndents/>
        <w:rPr>
          <w:sz w:val="17"/>
          <w:szCs w:val="17"/>
        </w:rPr>
      </w:pPr>
    </w:p>
    <w:p w14:paraId="1718E537" w14:textId="39A23A45" w:rsidR="008E10E3" w:rsidRPr="00722521" w:rsidRDefault="008E10E3" w:rsidP="00A903E6">
      <w:pPr>
        <w:mirrorIndents/>
        <w:rPr>
          <w:sz w:val="17"/>
          <w:szCs w:val="17"/>
        </w:rPr>
      </w:pPr>
      <w:r w:rsidRPr="00722521">
        <w:rPr>
          <w:sz w:val="17"/>
          <w:szCs w:val="17"/>
        </w:rPr>
        <w:t>No</w:t>
      </w:r>
    </w:p>
    <w:p w14:paraId="1FA23259" w14:textId="77777777" w:rsidR="008E10E3" w:rsidRPr="00722521" w:rsidRDefault="008E10E3" w:rsidP="00A903E6">
      <w:pPr>
        <w:mirrorIndents/>
        <w:rPr>
          <w:sz w:val="17"/>
          <w:szCs w:val="17"/>
        </w:rPr>
      </w:pPr>
    </w:p>
    <w:p w14:paraId="0B023A88"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explain your answer to question 1.6.3 for EIOPA:</w:t>
      </w:r>
    </w:p>
    <w:p w14:paraId="6176D2C7" w14:textId="26810203" w:rsidR="00205B86" w:rsidRPr="00722521" w:rsidRDefault="00205B86" w:rsidP="00205B86">
      <w:pPr>
        <w:mirrorIndents/>
        <w:rPr>
          <w:sz w:val="17"/>
          <w:szCs w:val="17"/>
        </w:rPr>
      </w:pPr>
    </w:p>
    <w:p w14:paraId="3E36E37D" w14:textId="2B2F469B" w:rsidR="00205B86" w:rsidRPr="00722521" w:rsidRDefault="004F1640" w:rsidP="00205B86">
      <w:pPr>
        <w:mirrorIndents/>
        <w:rPr>
          <w:sz w:val="17"/>
          <w:szCs w:val="17"/>
        </w:rPr>
      </w:pPr>
      <w:r w:rsidRPr="00722521">
        <w:rPr>
          <w:sz w:val="17"/>
          <w:szCs w:val="17"/>
        </w:rPr>
        <w:t xml:space="preserve">Insurers took actions needed to ensure their ability to serve customers during the crisis and keep customers and staff safe. </w:t>
      </w:r>
      <w:r w:rsidR="00722521">
        <w:rPr>
          <w:sz w:val="17"/>
          <w:szCs w:val="17"/>
        </w:rPr>
        <w:t>VVO</w:t>
      </w:r>
      <w:r w:rsidR="00342F54" w:rsidRPr="00722521">
        <w:rPr>
          <w:sz w:val="17"/>
          <w:szCs w:val="17"/>
        </w:rPr>
        <w:t xml:space="preserve"> does not believe that the activities carried-out by EIOPA have successfully contributed to address the challenges of the Covid-19 crisis</w:t>
      </w:r>
      <w:r w:rsidR="008E10E3" w:rsidRPr="00722521">
        <w:rPr>
          <w:sz w:val="17"/>
          <w:szCs w:val="17"/>
        </w:rPr>
        <w:t xml:space="preserve"> – see answer to </w:t>
      </w:r>
      <w:r w:rsidR="00342F54" w:rsidRPr="00722521">
        <w:rPr>
          <w:sz w:val="17"/>
          <w:szCs w:val="17"/>
        </w:rPr>
        <w:t>question 1.6.1</w:t>
      </w:r>
      <w:r w:rsidR="008E10E3" w:rsidRPr="00722521">
        <w:rPr>
          <w:sz w:val="17"/>
          <w:szCs w:val="17"/>
        </w:rPr>
        <w:t>.</w:t>
      </w:r>
    </w:p>
    <w:p w14:paraId="1CD70BE3" w14:textId="00EFCBED" w:rsidR="00315D35" w:rsidRPr="00722521" w:rsidRDefault="00315D35" w:rsidP="00205B86">
      <w:pPr>
        <w:mirrorIndents/>
        <w:rPr>
          <w:sz w:val="17"/>
          <w:szCs w:val="17"/>
        </w:rPr>
      </w:pPr>
    </w:p>
    <w:p w14:paraId="429EBE34" w14:textId="77777777" w:rsidR="00315D35" w:rsidRPr="00722521" w:rsidRDefault="00315D35" w:rsidP="00315D35">
      <w:pPr>
        <w:mirrorIndents/>
        <w:rPr>
          <w:sz w:val="17"/>
          <w:szCs w:val="17"/>
        </w:rPr>
      </w:pPr>
      <w:r w:rsidRPr="00722521">
        <w:rPr>
          <w:sz w:val="17"/>
          <w:szCs w:val="17"/>
        </w:rPr>
        <w:t xml:space="preserve">In addition, despite EIOPA saying at the outset of the crisis that it will reduce the operational burden on firms by postponing some reporting deadlines, the operational burden increased overall following additional requests in EIOPA statements and the lack of coordination of ad hoc data requests at local level.  </w:t>
      </w:r>
    </w:p>
    <w:p w14:paraId="609F0D75" w14:textId="77777777" w:rsidR="00205B86" w:rsidRPr="00722521" w:rsidRDefault="00205B86" w:rsidP="00205B86">
      <w:pPr>
        <w:mirrorIndents/>
        <w:rPr>
          <w:sz w:val="17"/>
          <w:szCs w:val="17"/>
        </w:rPr>
      </w:pPr>
    </w:p>
    <w:p w14:paraId="38516ECA" w14:textId="22EFB81C" w:rsidR="00BA160A" w:rsidRPr="00722521" w:rsidRDefault="00BA160A" w:rsidP="00205B86">
      <w:pPr>
        <w:mirrorIndents/>
        <w:rPr>
          <w:b/>
          <w:bCs/>
          <w:sz w:val="17"/>
          <w:szCs w:val="17"/>
        </w:rPr>
      </w:pPr>
      <w:r w:rsidRPr="00722521">
        <w:rPr>
          <w:b/>
          <w:sz w:val="17"/>
          <w:szCs w:val="17"/>
          <w:highlight w:val="lightGray"/>
        </w:rPr>
        <w:t>Please give examples of situations where the coordinating activities carried out by EIOPA did not successfully contribute to address the COVID-19 challenges:</w:t>
      </w:r>
    </w:p>
    <w:p w14:paraId="2D2BE8B6" w14:textId="77777777" w:rsidR="00BA160A" w:rsidRPr="00722521" w:rsidRDefault="00BA160A" w:rsidP="00A903E6">
      <w:pPr>
        <w:mirrorIndents/>
        <w:rPr>
          <w:sz w:val="17"/>
          <w:szCs w:val="17"/>
        </w:rPr>
      </w:pPr>
    </w:p>
    <w:p w14:paraId="088B46D7" w14:textId="2B21C306" w:rsidR="00BA160A" w:rsidRPr="00722521" w:rsidRDefault="008E10E3" w:rsidP="00A903E6">
      <w:pPr>
        <w:mirrorIndents/>
        <w:rPr>
          <w:sz w:val="17"/>
          <w:szCs w:val="17"/>
        </w:rPr>
      </w:pPr>
      <w:r w:rsidRPr="00722521">
        <w:rPr>
          <w:sz w:val="17"/>
          <w:szCs w:val="17"/>
        </w:rPr>
        <w:lastRenderedPageBreak/>
        <w:t>See answer to question 1.6.1.</w:t>
      </w:r>
    </w:p>
    <w:p w14:paraId="62296CD6" w14:textId="77777777" w:rsidR="00BA160A" w:rsidRPr="00722521" w:rsidRDefault="00BA160A" w:rsidP="00A903E6">
      <w:pPr>
        <w:mirrorIndents/>
        <w:rPr>
          <w:sz w:val="17"/>
          <w:szCs w:val="17"/>
        </w:rPr>
      </w:pPr>
    </w:p>
    <w:p w14:paraId="6A413990" w14:textId="79B606C8"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1.6.4 EIOPA: Do you think that EIOPA has always acted</w:t>
      </w:r>
      <w:r w:rsidR="00342F54" w:rsidRPr="00722521">
        <w:rPr>
          <w:rFonts w:ascii="Verdana" w:hAnsi="Verdana"/>
          <w:sz w:val="17"/>
          <w:szCs w:val="17"/>
          <w:highlight w:val="lightGray"/>
        </w:rPr>
        <w:t xml:space="preserve"> </w:t>
      </w:r>
      <w:r w:rsidRPr="00722521">
        <w:rPr>
          <w:rFonts w:ascii="Verdana" w:hAnsi="Verdana"/>
          <w:sz w:val="17"/>
          <w:szCs w:val="17"/>
          <w:highlight w:val="lightGray"/>
        </w:rPr>
        <w:t>effectively, where needed, in the context of the COVID-19 crisis?</w:t>
      </w:r>
    </w:p>
    <w:p w14:paraId="275711A4" w14:textId="691633F8" w:rsidR="00205B86" w:rsidRPr="00722521" w:rsidRDefault="00BA160A" w:rsidP="00205B86">
      <w:pPr>
        <w:pStyle w:val="CEABullet-Level1"/>
        <w:rPr>
          <w:color w:val="auto"/>
          <w:highlight w:val="lightGray"/>
        </w:rPr>
      </w:pPr>
      <w:r w:rsidRPr="00722521">
        <w:rPr>
          <w:color w:val="auto"/>
          <w:highlight w:val="lightGray"/>
        </w:rPr>
        <w:t xml:space="preserve">Yes </w:t>
      </w:r>
    </w:p>
    <w:p w14:paraId="634A31C3" w14:textId="1534D834" w:rsidR="00BA160A" w:rsidRPr="00722521" w:rsidRDefault="00BA160A" w:rsidP="00205B86">
      <w:pPr>
        <w:pStyle w:val="CEABullet-Level1"/>
        <w:rPr>
          <w:color w:val="auto"/>
          <w:highlight w:val="lightGray"/>
        </w:rPr>
      </w:pPr>
      <w:r w:rsidRPr="00722521">
        <w:rPr>
          <w:color w:val="auto"/>
          <w:highlight w:val="lightGray"/>
        </w:rPr>
        <w:t>No</w:t>
      </w:r>
    </w:p>
    <w:p w14:paraId="3063E79F" w14:textId="77777777" w:rsidR="00BA160A" w:rsidRPr="00722521" w:rsidRDefault="00BA160A" w:rsidP="00205B86">
      <w:pPr>
        <w:pStyle w:val="CEABullet-Level1"/>
        <w:rPr>
          <w:color w:val="auto"/>
          <w:highlight w:val="lightGray"/>
        </w:rPr>
      </w:pPr>
      <w:r w:rsidRPr="00722521">
        <w:rPr>
          <w:color w:val="auto"/>
          <w:highlight w:val="lightGray"/>
        </w:rPr>
        <w:t>Don’t know / no opinion / not relevant</w:t>
      </w:r>
    </w:p>
    <w:p w14:paraId="03B99A2E" w14:textId="494379F2" w:rsidR="00BA160A" w:rsidRPr="00722521" w:rsidRDefault="00BA160A" w:rsidP="00A903E6">
      <w:pPr>
        <w:mirrorIndents/>
        <w:rPr>
          <w:sz w:val="17"/>
          <w:szCs w:val="17"/>
        </w:rPr>
      </w:pPr>
    </w:p>
    <w:p w14:paraId="3CAA1EAB" w14:textId="24469BF5" w:rsidR="008E10E3" w:rsidRPr="00722521" w:rsidRDefault="008E10E3" w:rsidP="00A903E6">
      <w:pPr>
        <w:mirrorIndents/>
        <w:rPr>
          <w:sz w:val="17"/>
          <w:szCs w:val="17"/>
        </w:rPr>
      </w:pPr>
      <w:r w:rsidRPr="00722521">
        <w:rPr>
          <w:sz w:val="17"/>
          <w:szCs w:val="17"/>
        </w:rPr>
        <w:t>No</w:t>
      </w:r>
    </w:p>
    <w:p w14:paraId="43D9C565" w14:textId="77777777" w:rsidR="008E10E3" w:rsidRPr="00722521" w:rsidRDefault="008E10E3" w:rsidP="00A903E6">
      <w:pPr>
        <w:mirrorIndents/>
        <w:rPr>
          <w:sz w:val="17"/>
          <w:szCs w:val="17"/>
        </w:rPr>
      </w:pPr>
    </w:p>
    <w:p w14:paraId="025C7AE8"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give concrete examples where you consider that EIOPA should have taken relevant action:</w:t>
      </w:r>
    </w:p>
    <w:p w14:paraId="384A1787" w14:textId="77777777" w:rsidR="008E10E3" w:rsidRPr="00722521" w:rsidRDefault="008E10E3" w:rsidP="008E10E3">
      <w:pPr>
        <w:mirrorIndents/>
        <w:rPr>
          <w:sz w:val="17"/>
          <w:szCs w:val="17"/>
        </w:rPr>
      </w:pPr>
    </w:p>
    <w:p w14:paraId="01A09351" w14:textId="5371810D" w:rsidR="008E10E3" w:rsidRPr="00722521" w:rsidRDefault="008E10E3" w:rsidP="008E10E3">
      <w:pPr>
        <w:mirrorIndents/>
        <w:rPr>
          <w:sz w:val="17"/>
          <w:szCs w:val="17"/>
        </w:rPr>
      </w:pPr>
      <w:r w:rsidRPr="00722521">
        <w:rPr>
          <w:sz w:val="17"/>
          <w:szCs w:val="17"/>
        </w:rPr>
        <w:t xml:space="preserve">EIOPA’s public statements and extracurricular exercises, </w:t>
      </w:r>
      <w:proofErr w:type="spellStart"/>
      <w:r w:rsidRPr="00722521">
        <w:rPr>
          <w:sz w:val="17"/>
          <w:szCs w:val="17"/>
        </w:rPr>
        <w:t>ie</w:t>
      </w:r>
      <w:proofErr w:type="spellEnd"/>
      <w:r w:rsidRPr="00722521">
        <w:rPr>
          <w:sz w:val="17"/>
          <w:szCs w:val="17"/>
        </w:rPr>
        <w:t xml:space="preserve"> the development of the EIOPA staff document on shared resilience solutions, were neither effective nor necessary during a period of extreme operational challenge.</w:t>
      </w:r>
    </w:p>
    <w:p w14:paraId="32B19C2D" w14:textId="44786FA9" w:rsidR="00BA160A" w:rsidRPr="00722521" w:rsidRDefault="00BA160A" w:rsidP="00A903E6">
      <w:pPr>
        <w:mirrorIndents/>
        <w:rPr>
          <w:sz w:val="17"/>
          <w:szCs w:val="17"/>
        </w:rPr>
      </w:pPr>
    </w:p>
    <w:p w14:paraId="2A4BC40C" w14:textId="59D80A26" w:rsidR="00342F54" w:rsidRPr="00722521" w:rsidRDefault="00722521" w:rsidP="00342F54">
      <w:pPr>
        <w:mirrorIndents/>
        <w:rPr>
          <w:sz w:val="17"/>
          <w:szCs w:val="17"/>
        </w:rPr>
      </w:pPr>
      <w:r>
        <w:rPr>
          <w:sz w:val="17"/>
          <w:szCs w:val="17"/>
        </w:rPr>
        <w:t>VVO</w:t>
      </w:r>
      <w:r w:rsidR="00342F54" w:rsidRPr="00722521">
        <w:rPr>
          <w:sz w:val="17"/>
          <w:szCs w:val="17"/>
        </w:rPr>
        <w:t xml:space="preserve"> believes that EIOPA’s preliminary function should have been to coordinate between N</w:t>
      </w:r>
      <w:r w:rsidR="008E10E3" w:rsidRPr="00722521">
        <w:rPr>
          <w:sz w:val="17"/>
          <w:szCs w:val="17"/>
        </w:rPr>
        <w:t>S</w:t>
      </w:r>
      <w:r w:rsidR="00342F54" w:rsidRPr="00722521">
        <w:rPr>
          <w:sz w:val="17"/>
          <w:szCs w:val="17"/>
        </w:rPr>
        <w:t xml:space="preserve">As and </w:t>
      </w:r>
      <w:r w:rsidR="008E10E3" w:rsidRPr="00722521">
        <w:rPr>
          <w:sz w:val="17"/>
          <w:szCs w:val="17"/>
        </w:rPr>
        <w:t xml:space="preserve">to promote </w:t>
      </w:r>
      <w:r w:rsidR="00342F54" w:rsidRPr="00722521">
        <w:rPr>
          <w:sz w:val="17"/>
          <w:szCs w:val="17"/>
        </w:rPr>
        <w:t>a consistent approach to the supervision of the insurance industry during this period.</w:t>
      </w:r>
    </w:p>
    <w:p w14:paraId="37ACB7BB" w14:textId="2F2DA640" w:rsidR="00342F54" w:rsidRPr="00722521" w:rsidRDefault="00342F54" w:rsidP="00342F54">
      <w:pPr>
        <w:mirrorIndents/>
        <w:rPr>
          <w:sz w:val="17"/>
          <w:szCs w:val="17"/>
        </w:rPr>
      </w:pPr>
    </w:p>
    <w:p w14:paraId="29BD3E74" w14:textId="77777777" w:rsidR="00315D35" w:rsidRPr="00722521" w:rsidRDefault="00315D35" w:rsidP="00315D35">
      <w:pPr>
        <w:mirrorIndents/>
        <w:rPr>
          <w:sz w:val="17"/>
          <w:szCs w:val="17"/>
        </w:rPr>
      </w:pPr>
      <w:r w:rsidRPr="00722521">
        <w:rPr>
          <w:sz w:val="17"/>
          <w:szCs w:val="17"/>
        </w:rPr>
        <w:t xml:space="preserve">In addition, despite EIOPA saying at the outset of the crisis that it will reduce the operational burden on firms by postponing some reporting deadlines, the operational burden increased overall following additional requests in EIOPA statements and the lack of coordination of ad hoc data requests at local level.  </w:t>
      </w:r>
    </w:p>
    <w:p w14:paraId="1AE38CD9" w14:textId="77777777" w:rsidR="00205B86" w:rsidRPr="00722521" w:rsidRDefault="00205B86" w:rsidP="00A903E6">
      <w:pPr>
        <w:mirrorIndents/>
        <w:rPr>
          <w:sz w:val="17"/>
          <w:szCs w:val="17"/>
        </w:rPr>
      </w:pPr>
    </w:p>
    <w:p w14:paraId="62C148E8" w14:textId="3AE91AAC"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1.6.5 Do you think Article 18.2 of the ESAs Regulation (declaration of an emergency situation) is fit for its intended purpose?</w:t>
      </w:r>
    </w:p>
    <w:p w14:paraId="0F5B19DC" w14:textId="5C68C75A" w:rsidR="00205B86" w:rsidRPr="00722521" w:rsidRDefault="00BA160A" w:rsidP="00205B86">
      <w:pPr>
        <w:pStyle w:val="CEABullet-Level1"/>
        <w:rPr>
          <w:color w:val="auto"/>
          <w:highlight w:val="lightGray"/>
        </w:rPr>
      </w:pPr>
      <w:r w:rsidRPr="00722521">
        <w:rPr>
          <w:color w:val="auto"/>
          <w:highlight w:val="lightGray"/>
        </w:rPr>
        <w:t xml:space="preserve">Yes </w:t>
      </w:r>
    </w:p>
    <w:p w14:paraId="2C16CEF7" w14:textId="34FBCC77" w:rsidR="00BA160A" w:rsidRPr="00722521" w:rsidRDefault="00BA160A" w:rsidP="00205B86">
      <w:pPr>
        <w:pStyle w:val="CEABullet-Level1"/>
        <w:rPr>
          <w:color w:val="auto"/>
          <w:highlight w:val="lightGray"/>
        </w:rPr>
      </w:pPr>
      <w:r w:rsidRPr="00722521">
        <w:rPr>
          <w:color w:val="auto"/>
          <w:highlight w:val="lightGray"/>
        </w:rPr>
        <w:t>No</w:t>
      </w:r>
    </w:p>
    <w:p w14:paraId="020E95AD" w14:textId="77777777" w:rsidR="00BA160A" w:rsidRPr="00722521" w:rsidRDefault="00BA160A" w:rsidP="00205B86">
      <w:pPr>
        <w:pStyle w:val="CEABullet-Level1"/>
        <w:rPr>
          <w:color w:val="auto"/>
          <w:highlight w:val="lightGray"/>
        </w:rPr>
      </w:pPr>
      <w:r w:rsidRPr="00722521">
        <w:rPr>
          <w:color w:val="auto"/>
          <w:highlight w:val="lightGray"/>
        </w:rPr>
        <w:t>Don’t know / no opinion / not relevant</w:t>
      </w:r>
    </w:p>
    <w:p w14:paraId="0490CD51" w14:textId="4470BFD1" w:rsidR="00BA160A" w:rsidRPr="00722521" w:rsidRDefault="00BA160A" w:rsidP="00A903E6">
      <w:pPr>
        <w:mirrorIndents/>
        <w:rPr>
          <w:sz w:val="17"/>
          <w:szCs w:val="17"/>
        </w:rPr>
      </w:pPr>
    </w:p>
    <w:p w14:paraId="347B8493" w14:textId="410901CF" w:rsidR="008E10E3" w:rsidRPr="00722521" w:rsidRDefault="008E10E3" w:rsidP="00A903E6">
      <w:pPr>
        <w:mirrorIndents/>
        <w:rPr>
          <w:sz w:val="17"/>
          <w:szCs w:val="17"/>
        </w:rPr>
      </w:pPr>
      <w:r w:rsidRPr="00722521">
        <w:rPr>
          <w:sz w:val="17"/>
          <w:szCs w:val="17"/>
        </w:rPr>
        <w:t>Yes</w:t>
      </w:r>
    </w:p>
    <w:p w14:paraId="11973F0A" w14:textId="77777777" w:rsidR="008E10E3" w:rsidRPr="00722521" w:rsidRDefault="008E10E3" w:rsidP="00A903E6">
      <w:pPr>
        <w:mirrorIndents/>
        <w:rPr>
          <w:sz w:val="17"/>
          <w:szCs w:val="17"/>
        </w:rPr>
      </w:pPr>
    </w:p>
    <w:p w14:paraId="42214A22"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explain your answer to question 1.6.5:</w:t>
      </w:r>
    </w:p>
    <w:p w14:paraId="09583EC0" w14:textId="7B476A10" w:rsidR="00BA160A" w:rsidRPr="00722521" w:rsidRDefault="00BA160A" w:rsidP="00A903E6">
      <w:pPr>
        <w:mirrorIndents/>
        <w:rPr>
          <w:sz w:val="17"/>
          <w:szCs w:val="17"/>
        </w:rPr>
      </w:pPr>
    </w:p>
    <w:p w14:paraId="7DBCE0BE" w14:textId="5B01E55D" w:rsidR="00205B86" w:rsidRPr="00722521" w:rsidRDefault="00AB3387" w:rsidP="00A903E6">
      <w:pPr>
        <w:mirrorIndents/>
        <w:rPr>
          <w:sz w:val="17"/>
          <w:szCs w:val="17"/>
        </w:rPr>
      </w:pPr>
      <w:r w:rsidRPr="00722521">
        <w:rPr>
          <w:sz w:val="17"/>
          <w:szCs w:val="17"/>
        </w:rPr>
        <w:t>The insurance sector has proven resilient, has highlighted by EIOPA. Therefore, the existing tool to declare an emergency situation has not been made use of yet. However, EIOPA and the industry had exchanges on the practical activation and there is no evidence that it would not be fit for purpose should the situation justify it.</w:t>
      </w:r>
    </w:p>
    <w:p w14:paraId="1D54C59F" w14:textId="065102B4" w:rsidR="00205B86" w:rsidRPr="00722521" w:rsidRDefault="00205B86" w:rsidP="00A903E6">
      <w:pPr>
        <w:mirrorIndents/>
        <w:rPr>
          <w:sz w:val="17"/>
          <w:szCs w:val="17"/>
        </w:rPr>
      </w:pPr>
    </w:p>
    <w:p w14:paraId="6A7F5E48" w14:textId="77777777" w:rsidR="00CF2007" w:rsidRPr="00722521" w:rsidRDefault="00CF2007" w:rsidP="00CF2007">
      <w:pPr>
        <w:mirrorIndents/>
        <w:rPr>
          <w:sz w:val="17"/>
          <w:szCs w:val="17"/>
        </w:rPr>
      </w:pPr>
    </w:p>
    <w:p w14:paraId="196BF065"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suggest potential changes to Article 18.2 of the ESAs Regulation:</w:t>
      </w:r>
    </w:p>
    <w:p w14:paraId="29096FFD" w14:textId="5562CE17" w:rsidR="00BA160A" w:rsidRPr="00722521" w:rsidRDefault="00BA160A" w:rsidP="00A903E6">
      <w:pPr>
        <w:mirrorIndents/>
        <w:rPr>
          <w:sz w:val="17"/>
          <w:szCs w:val="17"/>
        </w:rPr>
      </w:pPr>
    </w:p>
    <w:p w14:paraId="4A893B5F" w14:textId="56CE8012" w:rsidR="00205B86" w:rsidRPr="00722521" w:rsidRDefault="00AB3387" w:rsidP="00A903E6">
      <w:pPr>
        <w:mirrorIndents/>
        <w:rPr>
          <w:sz w:val="17"/>
          <w:szCs w:val="17"/>
        </w:rPr>
      </w:pPr>
      <w:r w:rsidRPr="00722521">
        <w:rPr>
          <w:sz w:val="17"/>
          <w:szCs w:val="17"/>
        </w:rPr>
        <w:t>N/A</w:t>
      </w:r>
    </w:p>
    <w:p w14:paraId="6A1A1639" w14:textId="77777777" w:rsidR="00BA160A" w:rsidRPr="00722521" w:rsidRDefault="00BA160A" w:rsidP="00A903E6">
      <w:pPr>
        <w:mirrorIndents/>
        <w:rPr>
          <w:sz w:val="17"/>
          <w:szCs w:val="17"/>
        </w:rPr>
      </w:pPr>
    </w:p>
    <w:p w14:paraId="05D37655"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1.6.6 In case you identified areas for improvement in the ESAs’ powers in emergency situations, do you have any suggestions on how to address them?</w:t>
      </w:r>
    </w:p>
    <w:p w14:paraId="5C0ECCB1" w14:textId="77777777" w:rsidR="00AB3387" w:rsidRPr="00722521" w:rsidRDefault="00AB3387" w:rsidP="00A903E6">
      <w:pPr>
        <w:mirrorIndents/>
        <w:rPr>
          <w:sz w:val="17"/>
          <w:szCs w:val="17"/>
          <w:highlight w:val="yellow"/>
        </w:rPr>
      </w:pPr>
    </w:p>
    <w:p w14:paraId="48623DDD" w14:textId="1E90169E" w:rsidR="00BA160A" w:rsidRPr="00722521" w:rsidRDefault="00AB3387" w:rsidP="00A903E6">
      <w:pPr>
        <w:mirrorIndents/>
        <w:rPr>
          <w:sz w:val="17"/>
          <w:szCs w:val="17"/>
        </w:rPr>
      </w:pPr>
      <w:r w:rsidRPr="00722521">
        <w:rPr>
          <w:sz w:val="17"/>
          <w:szCs w:val="17"/>
        </w:rPr>
        <w:t>N/A</w:t>
      </w:r>
    </w:p>
    <w:p w14:paraId="7F1B6A96" w14:textId="78E4F7F8" w:rsidR="001902AA" w:rsidRPr="00722521" w:rsidRDefault="001902AA" w:rsidP="00A903E6">
      <w:pPr>
        <w:mirrorIndents/>
        <w:rPr>
          <w:sz w:val="17"/>
          <w:szCs w:val="17"/>
        </w:rPr>
      </w:pPr>
    </w:p>
    <w:p w14:paraId="7BEC3068" w14:textId="77777777" w:rsidR="00BA160A" w:rsidRPr="00722521" w:rsidRDefault="00BA160A" w:rsidP="00A903E6">
      <w:pPr>
        <w:pStyle w:val="Listenabsatz"/>
        <w:numPr>
          <w:ilvl w:val="1"/>
          <w:numId w:val="6"/>
        </w:numPr>
        <w:tabs>
          <w:tab w:val="left" w:pos="566"/>
        </w:tabs>
        <w:ind w:left="232" w:hanging="450"/>
        <w:mirrorIndents/>
        <w:rPr>
          <w:rFonts w:ascii="Verdana" w:hAnsi="Verdana"/>
          <w:b/>
          <w:szCs w:val="17"/>
        </w:rPr>
      </w:pPr>
      <w:r w:rsidRPr="00722521">
        <w:rPr>
          <w:rFonts w:ascii="Verdana" w:hAnsi="Verdana"/>
          <w:b/>
          <w:szCs w:val="17"/>
        </w:rPr>
        <w:t>Coordination function (Art 31 ESAs’ Regulations)</w:t>
      </w:r>
    </w:p>
    <w:p w14:paraId="24D6130B" w14:textId="77777777" w:rsidR="00205B86" w:rsidRPr="00722521" w:rsidRDefault="00205B86" w:rsidP="00A903E6">
      <w:pPr>
        <w:pStyle w:val="Textkrper"/>
        <w:mirrorIndents/>
        <w:rPr>
          <w:rFonts w:ascii="Verdana" w:hAnsi="Verdana"/>
          <w:sz w:val="17"/>
          <w:szCs w:val="17"/>
        </w:rPr>
      </w:pPr>
    </w:p>
    <w:p w14:paraId="29E08A55" w14:textId="31ADACF5"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Question 1.7.1 EIOPA: Do you think the coordination role of EIOPA is effective?</w:t>
      </w:r>
    </w:p>
    <w:p w14:paraId="670B694E" w14:textId="6ED105F2" w:rsidR="00205B86" w:rsidRPr="00722521" w:rsidRDefault="00BA160A" w:rsidP="00205B86">
      <w:pPr>
        <w:pStyle w:val="CEABullet-Level1"/>
        <w:rPr>
          <w:color w:val="auto"/>
          <w:highlight w:val="lightGray"/>
        </w:rPr>
      </w:pPr>
      <w:r w:rsidRPr="00722521">
        <w:rPr>
          <w:color w:val="auto"/>
          <w:highlight w:val="lightGray"/>
        </w:rPr>
        <w:t xml:space="preserve">Yes </w:t>
      </w:r>
    </w:p>
    <w:p w14:paraId="2627ACE2" w14:textId="545BF679" w:rsidR="00BA160A" w:rsidRPr="00722521" w:rsidRDefault="00BA160A" w:rsidP="00205B86">
      <w:pPr>
        <w:pStyle w:val="CEABullet-Level1"/>
        <w:rPr>
          <w:color w:val="auto"/>
          <w:highlight w:val="lightGray"/>
        </w:rPr>
      </w:pPr>
      <w:r w:rsidRPr="00722521">
        <w:rPr>
          <w:color w:val="auto"/>
          <w:highlight w:val="lightGray"/>
        </w:rPr>
        <w:t>No</w:t>
      </w:r>
    </w:p>
    <w:p w14:paraId="5B2010F3" w14:textId="77777777" w:rsidR="00BA160A" w:rsidRPr="00722521" w:rsidRDefault="00BA160A" w:rsidP="00205B86">
      <w:pPr>
        <w:pStyle w:val="CEABullet-Level1"/>
        <w:rPr>
          <w:color w:val="auto"/>
          <w:highlight w:val="lightGray"/>
        </w:rPr>
      </w:pPr>
      <w:r w:rsidRPr="00722521">
        <w:rPr>
          <w:color w:val="auto"/>
          <w:highlight w:val="lightGray"/>
        </w:rPr>
        <w:t>Don’t know / no opinion / not relevant</w:t>
      </w:r>
    </w:p>
    <w:p w14:paraId="7837129D" w14:textId="7DE7CFBC" w:rsidR="00BA160A" w:rsidRPr="00722521" w:rsidRDefault="00BA160A" w:rsidP="00A903E6">
      <w:pPr>
        <w:mirrorIndents/>
        <w:rPr>
          <w:sz w:val="17"/>
          <w:szCs w:val="17"/>
        </w:rPr>
      </w:pPr>
    </w:p>
    <w:p w14:paraId="411964D2" w14:textId="75F32C86" w:rsidR="00AB3387" w:rsidRPr="00722521" w:rsidRDefault="00AB3387" w:rsidP="00A903E6">
      <w:pPr>
        <w:mirrorIndents/>
        <w:rPr>
          <w:sz w:val="17"/>
          <w:szCs w:val="17"/>
        </w:rPr>
      </w:pPr>
      <w:r w:rsidRPr="00722521">
        <w:rPr>
          <w:sz w:val="17"/>
          <w:szCs w:val="17"/>
        </w:rPr>
        <w:lastRenderedPageBreak/>
        <w:t>Yes</w:t>
      </w:r>
    </w:p>
    <w:p w14:paraId="0CFFF8C2" w14:textId="77777777" w:rsidR="00AB3387" w:rsidRPr="00722521" w:rsidRDefault="00AB3387" w:rsidP="00A903E6">
      <w:pPr>
        <w:mirrorIndents/>
        <w:rPr>
          <w:sz w:val="17"/>
          <w:szCs w:val="17"/>
        </w:rPr>
      </w:pPr>
    </w:p>
    <w:p w14:paraId="73D21727" w14:textId="77777777"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If you identify areas for improvement for the coordination role of EIOPA, please explain:</w:t>
      </w:r>
    </w:p>
    <w:p w14:paraId="2922AD77" w14:textId="6F4C61B6" w:rsidR="00BA160A" w:rsidRPr="00722521" w:rsidRDefault="00BA160A" w:rsidP="00A903E6">
      <w:pPr>
        <w:mirrorIndents/>
        <w:rPr>
          <w:sz w:val="17"/>
          <w:szCs w:val="17"/>
        </w:rPr>
      </w:pPr>
    </w:p>
    <w:p w14:paraId="604D759B" w14:textId="4436D8A1" w:rsidR="00205B86" w:rsidRPr="00722521" w:rsidRDefault="00FD1248" w:rsidP="00A903E6">
      <w:pPr>
        <w:mirrorIndents/>
        <w:rPr>
          <w:sz w:val="17"/>
          <w:szCs w:val="17"/>
        </w:rPr>
      </w:pPr>
      <w:r w:rsidRPr="00722521">
        <w:rPr>
          <w:sz w:val="17"/>
          <w:szCs w:val="17"/>
        </w:rPr>
        <w:t>EIOPA’s coordination function is important to ensure convergence. Increased transparency with respect to EIOPA’s activities in this area would be useful.</w:t>
      </w:r>
    </w:p>
    <w:p w14:paraId="101CFCCE" w14:textId="77777777" w:rsidR="00CF2007" w:rsidRPr="00722521" w:rsidRDefault="00CF2007" w:rsidP="00CF2007">
      <w:pPr>
        <w:mirrorIndents/>
        <w:rPr>
          <w:sz w:val="17"/>
          <w:szCs w:val="17"/>
        </w:rPr>
      </w:pPr>
    </w:p>
    <w:p w14:paraId="78171AC4" w14:textId="6DFD4ECA"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Question 1.7.2 EIOPA: Do you see a need for greater coordination between EIOPA and/or with other EU and national authorities as regards developing data requirements, data collection and data sharing?</w:t>
      </w:r>
    </w:p>
    <w:p w14:paraId="7F6D178D" w14:textId="29C492D2" w:rsidR="00205B86" w:rsidRPr="00722521" w:rsidRDefault="00BA160A" w:rsidP="00205B86">
      <w:pPr>
        <w:pStyle w:val="CEABullet-Level1"/>
        <w:rPr>
          <w:color w:val="auto"/>
          <w:highlight w:val="lightGray"/>
        </w:rPr>
      </w:pPr>
      <w:r w:rsidRPr="00722521">
        <w:rPr>
          <w:color w:val="auto"/>
          <w:highlight w:val="lightGray"/>
        </w:rPr>
        <w:t xml:space="preserve">Yes </w:t>
      </w:r>
    </w:p>
    <w:p w14:paraId="296AC45F" w14:textId="7A64931F" w:rsidR="00BA160A" w:rsidRPr="00722521" w:rsidRDefault="00BA160A" w:rsidP="00205B86">
      <w:pPr>
        <w:pStyle w:val="CEABullet-Level1"/>
        <w:rPr>
          <w:color w:val="auto"/>
          <w:highlight w:val="lightGray"/>
        </w:rPr>
      </w:pPr>
      <w:r w:rsidRPr="00722521">
        <w:rPr>
          <w:color w:val="auto"/>
          <w:highlight w:val="lightGray"/>
        </w:rPr>
        <w:t>No</w:t>
      </w:r>
    </w:p>
    <w:p w14:paraId="7FFC2B07" w14:textId="77777777" w:rsidR="00BA160A" w:rsidRPr="00722521" w:rsidRDefault="00BA160A" w:rsidP="00205B86">
      <w:pPr>
        <w:pStyle w:val="CEABullet-Level1"/>
        <w:rPr>
          <w:color w:val="auto"/>
          <w:highlight w:val="lightGray"/>
        </w:rPr>
      </w:pPr>
      <w:r w:rsidRPr="00722521">
        <w:rPr>
          <w:color w:val="auto"/>
          <w:highlight w:val="lightGray"/>
        </w:rPr>
        <w:t>Don’t know / no opinion / not relevant</w:t>
      </w:r>
    </w:p>
    <w:p w14:paraId="080BA66E" w14:textId="518A267B" w:rsidR="00BA160A" w:rsidRPr="00722521" w:rsidRDefault="00BA160A" w:rsidP="00A903E6">
      <w:pPr>
        <w:mirrorIndents/>
        <w:rPr>
          <w:sz w:val="17"/>
          <w:szCs w:val="17"/>
        </w:rPr>
      </w:pPr>
    </w:p>
    <w:p w14:paraId="3BF32758" w14:textId="21F73457" w:rsidR="00AB3387" w:rsidRPr="00722521" w:rsidRDefault="00AB3387" w:rsidP="00A903E6">
      <w:pPr>
        <w:mirrorIndents/>
        <w:rPr>
          <w:sz w:val="17"/>
          <w:szCs w:val="17"/>
        </w:rPr>
      </w:pPr>
      <w:r w:rsidRPr="00722521">
        <w:rPr>
          <w:sz w:val="17"/>
          <w:szCs w:val="17"/>
        </w:rPr>
        <w:t>No</w:t>
      </w:r>
    </w:p>
    <w:p w14:paraId="5551F538" w14:textId="77777777" w:rsidR="00AB3387" w:rsidRPr="00722521" w:rsidRDefault="00AB3387" w:rsidP="00A903E6">
      <w:pPr>
        <w:mirrorIndents/>
        <w:rPr>
          <w:sz w:val="17"/>
          <w:szCs w:val="17"/>
        </w:rPr>
      </w:pPr>
    </w:p>
    <w:p w14:paraId="41FC793E" w14:textId="77777777"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If you do see a need for greater coordination for EIOPA, please explain your answer to question 1.7.2 and indicate what changes you propose:</w:t>
      </w:r>
    </w:p>
    <w:p w14:paraId="64400854" w14:textId="2DA59F56" w:rsidR="00205B86" w:rsidRPr="00722521" w:rsidRDefault="00205B86" w:rsidP="00205B86">
      <w:pPr>
        <w:rPr>
          <w:sz w:val="17"/>
          <w:szCs w:val="17"/>
        </w:rPr>
      </w:pPr>
    </w:p>
    <w:p w14:paraId="1ABE8ECB" w14:textId="75CEE9E4" w:rsidR="00CF2007" w:rsidRPr="00722521" w:rsidRDefault="00FD1248" w:rsidP="00205B86">
      <w:pPr>
        <w:rPr>
          <w:sz w:val="17"/>
          <w:szCs w:val="17"/>
        </w:rPr>
      </w:pPr>
      <w:r w:rsidRPr="00722521">
        <w:rPr>
          <w:sz w:val="17"/>
          <w:szCs w:val="17"/>
        </w:rPr>
        <w:t>EIOPA’s current role is fit for purpose: data submission should continue to be channelled through the NSAs.</w:t>
      </w:r>
      <w:r w:rsidR="0075698A" w:rsidRPr="00722521">
        <w:rPr>
          <w:sz w:val="17"/>
          <w:szCs w:val="17"/>
        </w:rPr>
        <w:t xml:space="preserve"> The industry notes that the EU supervisory system in the insurance sector is fairly recent, and as such improvements of coordination are achieved gradually thanks to lessons learned.</w:t>
      </w:r>
    </w:p>
    <w:p w14:paraId="08BFAA7A" w14:textId="6EE93A7C" w:rsidR="00BA160A" w:rsidRPr="00722521" w:rsidRDefault="00BA160A" w:rsidP="00205B86">
      <w:pPr>
        <w:mirrorIndents/>
        <w:rPr>
          <w:b/>
          <w:bCs/>
          <w:sz w:val="17"/>
          <w:szCs w:val="17"/>
        </w:rPr>
      </w:pPr>
      <w:r w:rsidRPr="00722521">
        <w:rPr>
          <w:b/>
          <w:spacing w:val="3"/>
          <w:sz w:val="17"/>
          <w:szCs w:val="17"/>
          <w:highlight w:val="lightGray"/>
        </w:rPr>
        <w:t xml:space="preserve">Question 1.7.3 </w:t>
      </w:r>
      <w:r w:rsidRPr="00722521">
        <w:rPr>
          <w:b/>
          <w:sz w:val="17"/>
          <w:szCs w:val="17"/>
          <w:highlight w:val="lightGray"/>
        </w:rPr>
        <w:t xml:space="preserve">In </w:t>
      </w:r>
      <w:r w:rsidRPr="00722521">
        <w:rPr>
          <w:b/>
          <w:spacing w:val="2"/>
          <w:sz w:val="17"/>
          <w:szCs w:val="17"/>
          <w:highlight w:val="lightGray"/>
        </w:rPr>
        <w:t xml:space="preserve">the </w:t>
      </w:r>
      <w:r w:rsidR="00205B86" w:rsidRPr="00722521">
        <w:rPr>
          <w:b/>
          <w:spacing w:val="3"/>
          <w:sz w:val="17"/>
          <w:szCs w:val="17"/>
          <w:highlight w:val="lightGray"/>
        </w:rPr>
        <w:t>framework</w:t>
      </w:r>
      <w:r w:rsidRPr="00722521">
        <w:rPr>
          <w:b/>
          <w:spacing w:val="3"/>
          <w:sz w:val="17"/>
          <w:szCs w:val="17"/>
          <w:highlight w:val="lightGray"/>
        </w:rPr>
        <w:t xml:space="preserve"> </w:t>
      </w:r>
      <w:r w:rsidRPr="00722521">
        <w:rPr>
          <w:b/>
          <w:sz w:val="17"/>
          <w:szCs w:val="17"/>
          <w:highlight w:val="lightGray"/>
        </w:rPr>
        <w:t xml:space="preserve">of </w:t>
      </w:r>
      <w:r w:rsidRPr="00722521">
        <w:rPr>
          <w:b/>
          <w:spacing w:val="3"/>
          <w:sz w:val="17"/>
          <w:szCs w:val="17"/>
          <w:highlight w:val="lightGray"/>
        </w:rPr>
        <w:t xml:space="preserve">2019 ESAs’ review, please rate </w:t>
      </w:r>
      <w:r w:rsidRPr="00722521">
        <w:rPr>
          <w:b/>
          <w:spacing w:val="2"/>
          <w:sz w:val="17"/>
          <w:szCs w:val="17"/>
          <w:highlight w:val="lightGray"/>
        </w:rPr>
        <w:t xml:space="preserve">the effectiveness, </w:t>
      </w:r>
      <w:r w:rsidRPr="00722521">
        <w:rPr>
          <w:b/>
          <w:sz w:val="17"/>
          <w:szCs w:val="17"/>
          <w:highlight w:val="lightGray"/>
        </w:rPr>
        <w:t xml:space="preserve">in </w:t>
      </w:r>
      <w:r w:rsidRPr="00722521">
        <w:rPr>
          <w:b/>
          <w:spacing w:val="2"/>
          <w:sz w:val="17"/>
          <w:szCs w:val="17"/>
          <w:highlight w:val="lightGray"/>
        </w:rPr>
        <w:t xml:space="preserve">your view, </w:t>
      </w:r>
      <w:r w:rsidRPr="00722521">
        <w:rPr>
          <w:b/>
          <w:sz w:val="17"/>
          <w:szCs w:val="17"/>
          <w:highlight w:val="lightGray"/>
        </w:rPr>
        <w:t xml:space="preserve">of the </w:t>
      </w:r>
      <w:r w:rsidRPr="00722521">
        <w:rPr>
          <w:b/>
          <w:spacing w:val="2"/>
          <w:sz w:val="17"/>
          <w:szCs w:val="17"/>
          <w:highlight w:val="lightGray"/>
        </w:rPr>
        <w:t xml:space="preserve">tools below </w:t>
      </w:r>
      <w:r w:rsidRPr="00722521">
        <w:rPr>
          <w:b/>
          <w:sz w:val="17"/>
          <w:szCs w:val="17"/>
          <w:highlight w:val="lightGray"/>
        </w:rPr>
        <w:t xml:space="preserve">in </w:t>
      </w:r>
      <w:r w:rsidRPr="00722521">
        <w:rPr>
          <w:b/>
          <w:spacing w:val="2"/>
          <w:sz w:val="17"/>
          <w:szCs w:val="17"/>
          <w:highlight w:val="lightGray"/>
        </w:rPr>
        <w:t xml:space="preserve">order </w:t>
      </w:r>
      <w:r w:rsidRPr="00722521">
        <w:rPr>
          <w:b/>
          <w:sz w:val="17"/>
          <w:szCs w:val="17"/>
          <w:highlight w:val="lightGray"/>
        </w:rPr>
        <w:t xml:space="preserve">to </w:t>
      </w:r>
      <w:r w:rsidRPr="00722521">
        <w:rPr>
          <w:b/>
          <w:spacing w:val="2"/>
          <w:sz w:val="17"/>
          <w:szCs w:val="17"/>
          <w:highlight w:val="lightGray"/>
        </w:rPr>
        <w:t xml:space="preserve">fulfil </w:t>
      </w:r>
      <w:r w:rsidRPr="00722521">
        <w:rPr>
          <w:b/>
          <w:sz w:val="17"/>
          <w:szCs w:val="17"/>
          <w:highlight w:val="lightGray"/>
        </w:rPr>
        <w:t>the new coordination role of the ESAs facilitating the entry into the market of actors  or products relying on technological innovation:</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779"/>
        <w:gridCol w:w="1288"/>
        <w:gridCol w:w="1288"/>
        <w:gridCol w:w="1290"/>
        <w:gridCol w:w="1288"/>
        <w:gridCol w:w="1288"/>
        <w:gridCol w:w="1290"/>
      </w:tblGrid>
      <w:tr w:rsidR="002615EA" w:rsidRPr="00722521" w14:paraId="734CB407" w14:textId="77777777" w:rsidTr="00205B86">
        <w:trPr>
          <w:trHeight w:hRule="exact" w:val="1560"/>
        </w:trPr>
        <w:tc>
          <w:tcPr>
            <w:tcW w:w="714" w:type="pct"/>
            <w:vMerge w:val="restart"/>
            <w:tcBorders>
              <w:top w:val="single" w:sz="8" w:space="0" w:color="BABABA"/>
              <w:left w:val="single" w:sz="8" w:space="0" w:color="BABABA"/>
              <w:bottom w:val="single" w:sz="8" w:space="0" w:color="BABABA"/>
              <w:right w:val="single" w:sz="8" w:space="0" w:color="BABABA"/>
            </w:tcBorders>
          </w:tcPr>
          <w:p w14:paraId="3BFBB2EF" w14:textId="77777777" w:rsidR="00BA160A" w:rsidRPr="00722521" w:rsidRDefault="00BA160A" w:rsidP="00A903E6">
            <w:pPr>
              <w:mirrorIndents/>
              <w:rPr>
                <w:sz w:val="17"/>
                <w:szCs w:val="17"/>
              </w:rPr>
            </w:pPr>
          </w:p>
        </w:tc>
        <w:tc>
          <w:tcPr>
            <w:tcW w:w="714" w:type="pct"/>
            <w:tcBorders>
              <w:top w:val="single" w:sz="8" w:space="0" w:color="BABABA"/>
              <w:left w:val="single" w:sz="8" w:space="0" w:color="BABABA"/>
              <w:bottom w:val="nil"/>
              <w:right w:val="single" w:sz="8" w:space="0" w:color="BABABA"/>
            </w:tcBorders>
            <w:hideMark/>
          </w:tcPr>
          <w:p w14:paraId="420C3F89" w14:textId="77777777" w:rsidR="00BA160A" w:rsidRPr="00722521" w:rsidRDefault="00BA160A" w:rsidP="00A903E6">
            <w:pPr>
              <w:pStyle w:val="TableParagraph"/>
              <w:mirrorIndents/>
              <w:rPr>
                <w:szCs w:val="17"/>
              </w:rPr>
            </w:pPr>
            <w:r w:rsidRPr="00722521">
              <w:rPr>
                <w:w w:val="99"/>
                <w:szCs w:val="17"/>
              </w:rPr>
              <w:t>1</w:t>
            </w:r>
          </w:p>
          <w:p w14:paraId="6AEE33E6" w14:textId="77777777" w:rsidR="00BA160A" w:rsidRPr="00722521" w:rsidRDefault="00BA160A" w:rsidP="00A903E6">
            <w:pPr>
              <w:pStyle w:val="TableParagraph"/>
              <w:ind w:hanging="55"/>
              <w:mirrorIndents/>
              <w:rPr>
                <w:szCs w:val="17"/>
              </w:rPr>
            </w:pPr>
            <w:r w:rsidRPr="00722521">
              <w:rPr>
                <w:szCs w:val="17"/>
              </w:rPr>
              <w:t>(least effective)</w:t>
            </w:r>
          </w:p>
        </w:tc>
        <w:tc>
          <w:tcPr>
            <w:tcW w:w="714" w:type="pct"/>
            <w:tcBorders>
              <w:top w:val="single" w:sz="8" w:space="0" w:color="BABABA"/>
              <w:left w:val="single" w:sz="8" w:space="0" w:color="BABABA"/>
              <w:bottom w:val="nil"/>
              <w:right w:val="single" w:sz="8" w:space="0" w:color="BABABA"/>
            </w:tcBorders>
            <w:hideMark/>
          </w:tcPr>
          <w:p w14:paraId="4F49E32F" w14:textId="77777777" w:rsidR="00BA160A" w:rsidRPr="00722521" w:rsidRDefault="00BA160A" w:rsidP="00A903E6">
            <w:pPr>
              <w:pStyle w:val="TableParagraph"/>
              <w:mirrorIndents/>
              <w:rPr>
                <w:szCs w:val="17"/>
              </w:rPr>
            </w:pPr>
            <w:r w:rsidRPr="00722521">
              <w:rPr>
                <w:w w:val="99"/>
                <w:szCs w:val="17"/>
              </w:rPr>
              <w:t>2</w:t>
            </w:r>
          </w:p>
          <w:p w14:paraId="609D59D0" w14:textId="77777777" w:rsidR="00BA160A" w:rsidRPr="00722521" w:rsidRDefault="00BA160A" w:rsidP="00A903E6">
            <w:pPr>
              <w:pStyle w:val="TableParagraph"/>
              <w:mirrorIndents/>
              <w:rPr>
                <w:szCs w:val="17"/>
              </w:rPr>
            </w:pPr>
            <w:r w:rsidRPr="00722521">
              <w:rPr>
                <w:w w:val="105"/>
                <w:szCs w:val="17"/>
              </w:rPr>
              <w:t>(rather not</w:t>
            </w:r>
            <w:r w:rsidRPr="00722521">
              <w:rPr>
                <w:w w:val="102"/>
                <w:szCs w:val="17"/>
              </w:rPr>
              <w:t xml:space="preserve"> </w:t>
            </w:r>
            <w:r w:rsidRPr="00722521">
              <w:rPr>
                <w:w w:val="105"/>
                <w:szCs w:val="17"/>
              </w:rPr>
              <w:t>effective)</w:t>
            </w:r>
          </w:p>
        </w:tc>
        <w:tc>
          <w:tcPr>
            <w:tcW w:w="715" w:type="pct"/>
            <w:tcBorders>
              <w:top w:val="single" w:sz="8" w:space="0" w:color="BABABA"/>
              <w:left w:val="single" w:sz="8" w:space="0" w:color="BABABA"/>
              <w:bottom w:val="nil"/>
              <w:right w:val="single" w:sz="8" w:space="0" w:color="BABABA"/>
            </w:tcBorders>
            <w:hideMark/>
          </w:tcPr>
          <w:p w14:paraId="0F8B754E" w14:textId="77777777" w:rsidR="00BA160A" w:rsidRPr="00722521" w:rsidRDefault="00BA160A" w:rsidP="00A903E6">
            <w:pPr>
              <w:pStyle w:val="TableParagraph"/>
              <w:mirrorIndents/>
              <w:rPr>
                <w:szCs w:val="17"/>
              </w:rPr>
            </w:pPr>
            <w:r w:rsidRPr="00722521">
              <w:rPr>
                <w:w w:val="99"/>
                <w:szCs w:val="17"/>
              </w:rPr>
              <w:t>3</w:t>
            </w:r>
          </w:p>
          <w:p w14:paraId="741FE4A9" w14:textId="77777777" w:rsidR="00BA160A" w:rsidRPr="00722521" w:rsidRDefault="00BA160A" w:rsidP="00A903E6">
            <w:pPr>
              <w:pStyle w:val="TableParagraph"/>
              <w:mirrorIndents/>
              <w:rPr>
                <w:szCs w:val="17"/>
              </w:rPr>
            </w:pPr>
            <w:r w:rsidRPr="00722521">
              <w:rPr>
                <w:szCs w:val="17"/>
              </w:rPr>
              <w:t>(neutral)</w:t>
            </w:r>
          </w:p>
        </w:tc>
        <w:tc>
          <w:tcPr>
            <w:tcW w:w="714" w:type="pct"/>
            <w:tcBorders>
              <w:top w:val="single" w:sz="8" w:space="0" w:color="BABABA"/>
              <w:left w:val="single" w:sz="8" w:space="0" w:color="BABABA"/>
              <w:bottom w:val="nil"/>
              <w:right w:val="single" w:sz="8" w:space="0" w:color="BABABA"/>
            </w:tcBorders>
            <w:hideMark/>
          </w:tcPr>
          <w:p w14:paraId="0694117F" w14:textId="77777777" w:rsidR="00BA160A" w:rsidRPr="00722521" w:rsidRDefault="00BA160A" w:rsidP="00A903E6">
            <w:pPr>
              <w:pStyle w:val="TableParagraph"/>
              <w:mirrorIndents/>
              <w:rPr>
                <w:szCs w:val="17"/>
              </w:rPr>
            </w:pPr>
            <w:r w:rsidRPr="00722521">
              <w:rPr>
                <w:w w:val="99"/>
                <w:szCs w:val="17"/>
              </w:rPr>
              <w:t>4</w:t>
            </w:r>
          </w:p>
          <w:p w14:paraId="796FF067" w14:textId="77777777" w:rsidR="00BA160A" w:rsidRPr="00722521" w:rsidRDefault="00BA160A" w:rsidP="00A903E6">
            <w:pPr>
              <w:pStyle w:val="TableParagraph"/>
              <w:ind w:hanging="55"/>
              <w:mirrorIndents/>
              <w:rPr>
                <w:szCs w:val="17"/>
              </w:rPr>
            </w:pPr>
            <w:r w:rsidRPr="00722521">
              <w:rPr>
                <w:w w:val="105"/>
                <w:szCs w:val="17"/>
              </w:rPr>
              <w:t xml:space="preserve">(rather </w:t>
            </w:r>
            <w:r w:rsidRPr="00722521">
              <w:rPr>
                <w:szCs w:val="17"/>
              </w:rPr>
              <w:t>effective)</w:t>
            </w:r>
          </w:p>
        </w:tc>
        <w:tc>
          <w:tcPr>
            <w:tcW w:w="714" w:type="pct"/>
            <w:tcBorders>
              <w:top w:val="single" w:sz="8" w:space="0" w:color="BABABA"/>
              <w:left w:val="single" w:sz="8" w:space="0" w:color="BABABA"/>
              <w:bottom w:val="nil"/>
              <w:right w:val="single" w:sz="8" w:space="0" w:color="BABABA"/>
            </w:tcBorders>
            <w:hideMark/>
          </w:tcPr>
          <w:p w14:paraId="56669342" w14:textId="77777777" w:rsidR="00BA160A" w:rsidRPr="00722521" w:rsidRDefault="00BA160A" w:rsidP="00A903E6">
            <w:pPr>
              <w:pStyle w:val="TableParagraph"/>
              <w:mirrorIndents/>
              <w:rPr>
                <w:szCs w:val="17"/>
              </w:rPr>
            </w:pPr>
            <w:r w:rsidRPr="00722521">
              <w:rPr>
                <w:w w:val="99"/>
                <w:szCs w:val="17"/>
              </w:rPr>
              <w:t>5</w:t>
            </w:r>
          </w:p>
          <w:p w14:paraId="382C1DEC" w14:textId="77777777" w:rsidR="00BA160A" w:rsidRPr="00722521" w:rsidRDefault="00BA160A" w:rsidP="00A903E6">
            <w:pPr>
              <w:pStyle w:val="TableParagraph"/>
              <w:ind w:hanging="55"/>
              <w:mirrorIndents/>
              <w:rPr>
                <w:szCs w:val="17"/>
              </w:rPr>
            </w:pPr>
            <w:r w:rsidRPr="00722521">
              <w:rPr>
                <w:w w:val="105"/>
                <w:szCs w:val="17"/>
              </w:rPr>
              <w:t xml:space="preserve">(most </w:t>
            </w:r>
            <w:r w:rsidRPr="00722521">
              <w:rPr>
                <w:szCs w:val="17"/>
              </w:rPr>
              <w:t>effective)</w:t>
            </w:r>
          </w:p>
        </w:tc>
        <w:tc>
          <w:tcPr>
            <w:tcW w:w="715" w:type="pct"/>
            <w:tcBorders>
              <w:top w:val="single" w:sz="8" w:space="0" w:color="BABABA"/>
              <w:left w:val="single" w:sz="8" w:space="0" w:color="BABABA"/>
              <w:bottom w:val="nil"/>
              <w:right w:val="single" w:sz="8" w:space="0" w:color="BABABA"/>
            </w:tcBorders>
            <w:hideMark/>
          </w:tcPr>
          <w:p w14:paraId="0F84C380"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8"/>
                <w:w w:val="105"/>
                <w:szCs w:val="17"/>
              </w:rPr>
              <w:t xml:space="preserve"> </w:t>
            </w:r>
            <w:r w:rsidRPr="00722521">
              <w:rPr>
                <w:w w:val="105"/>
                <w:szCs w:val="17"/>
              </w:rPr>
              <w:t>-</w:t>
            </w:r>
            <w:r w:rsidRPr="00722521">
              <w:rPr>
                <w:w w:val="102"/>
                <w:szCs w:val="17"/>
              </w:rPr>
              <w:t xml:space="preserve"> </w:t>
            </w:r>
            <w:r w:rsidRPr="00722521">
              <w:rPr>
                <w:w w:val="105"/>
                <w:szCs w:val="17"/>
              </w:rPr>
              <w:t>Not</w:t>
            </w:r>
          </w:p>
        </w:tc>
      </w:tr>
      <w:tr w:rsidR="002615EA" w:rsidRPr="00722521" w14:paraId="64262D62" w14:textId="77777777" w:rsidTr="00205B86">
        <w:trPr>
          <w:trHeight w:hRule="exact" w:val="398"/>
        </w:trPr>
        <w:tc>
          <w:tcPr>
            <w:tcW w:w="714" w:type="pct"/>
            <w:vMerge/>
            <w:tcBorders>
              <w:top w:val="single" w:sz="8" w:space="0" w:color="BABABA"/>
              <w:left w:val="single" w:sz="8" w:space="0" w:color="BABABA"/>
              <w:bottom w:val="single" w:sz="8" w:space="0" w:color="BABABA"/>
              <w:right w:val="single" w:sz="8" w:space="0" w:color="BABABA"/>
            </w:tcBorders>
            <w:vAlign w:val="center"/>
            <w:hideMark/>
          </w:tcPr>
          <w:p w14:paraId="60A36907" w14:textId="77777777" w:rsidR="00BA160A" w:rsidRPr="00722521" w:rsidRDefault="00BA160A" w:rsidP="00A903E6">
            <w:pPr>
              <w:jc w:val="left"/>
              <w:rPr>
                <w:rFonts w:eastAsia="Microsoft Sans Serif" w:cs="Microsoft Sans Serif"/>
                <w:sz w:val="17"/>
                <w:szCs w:val="17"/>
              </w:rPr>
            </w:pPr>
          </w:p>
        </w:tc>
        <w:tc>
          <w:tcPr>
            <w:tcW w:w="714" w:type="pct"/>
            <w:tcBorders>
              <w:top w:val="nil"/>
              <w:left w:val="single" w:sz="8" w:space="0" w:color="BABABA"/>
              <w:bottom w:val="single" w:sz="8" w:space="0" w:color="BABABA"/>
              <w:right w:val="single" w:sz="8" w:space="0" w:color="BABABA"/>
            </w:tcBorders>
          </w:tcPr>
          <w:p w14:paraId="78010E60" w14:textId="77777777" w:rsidR="00BA160A" w:rsidRPr="00722521" w:rsidRDefault="00BA160A" w:rsidP="00A903E6">
            <w:pPr>
              <w:mirrorIndents/>
              <w:rPr>
                <w:sz w:val="17"/>
                <w:szCs w:val="17"/>
              </w:rPr>
            </w:pPr>
          </w:p>
        </w:tc>
        <w:tc>
          <w:tcPr>
            <w:tcW w:w="714" w:type="pct"/>
            <w:tcBorders>
              <w:top w:val="nil"/>
              <w:left w:val="single" w:sz="8" w:space="0" w:color="BABABA"/>
              <w:bottom w:val="single" w:sz="8" w:space="0" w:color="BABABA"/>
              <w:right w:val="single" w:sz="8" w:space="0" w:color="BABABA"/>
            </w:tcBorders>
          </w:tcPr>
          <w:p w14:paraId="5B917B19" w14:textId="77777777" w:rsidR="00BA160A" w:rsidRPr="00722521" w:rsidRDefault="00BA160A" w:rsidP="00A903E6">
            <w:pPr>
              <w:mirrorIndents/>
              <w:rPr>
                <w:sz w:val="17"/>
                <w:szCs w:val="17"/>
              </w:rPr>
            </w:pPr>
          </w:p>
        </w:tc>
        <w:tc>
          <w:tcPr>
            <w:tcW w:w="715" w:type="pct"/>
            <w:tcBorders>
              <w:top w:val="nil"/>
              <w:left w:val="single" w:sz="8" w:space="0" w:color="BABABA"/>
              <w:bottom w:val="single" w:sz="8" w:space="0" w:color="BABABA"/>
              <w:right w:val="single" w:sz="8" w:space="0" w:color="BABABA"/>
            </w:tcBorders>
          </w:tcPr>
          <w:p w14:paraId="772C6298" w14:textId="77777777" w:rsidR="00BA160A" w:rsidRPr="00722521" w:rsidRDefault="00BA160A" w:rsidP="00A903E6">
            <w:pPr>
              <w:mirrorIndents/>
              <w:rPr>
                <w:sz w:val="17"/>
                <w:szCs w:val="17"/>
              </w:rPr>
            </w:pPr>
          </w:p>
        </w:tc>
        <w:tc>
          <w:tcPr>
            <w:tcW w:w="714" w:type="pct"/>
            <w:tcBorders>
              <w:top w:val="nil"/>
              <w:left w:val="single" w:sz="8" w:space="0" w:color="BABABA"/>
              <w:bottom w:val="single" w:sz="8" w:space="0" w:color="BABABA"/>
              <w:right w:val="single" w:sz="8" w:space="0" w:color="BABABA"/>
            </w:tcBorders>
          </w:tcPr>
          <w:p w14:paraId="7CCF4C5D" w14:textId="77777777" w:rsidR="00BA160A" w:rsidRPr="00722521" w:rsidRDefault="00BA160A" w:rsidP="00A903E6">
            <w:pPr>
              <w:mirrorIndents/>
              <w:rPr>
                <w:sz w:val="17"/>
                <w:szCs w:val="17"/>
              </w:rPr>
            </w:pPr>
          </w:p>
        </w:tc>
        <w:tc>
          <w:tcPr>
            <w:tcW w:w="714" w:type="pct"/>
            <w:tcBorders>
              <w:top w:val="nil"/>
              <w:left w:val="single" w:sz="8" w:space="0" w:color="BABABA"/>
              <w:bottom w:val="single" w:sz="8" w:space="0" w:color="BABABA"/>
              <w:right w:val="single" w:sz="8" w:space="0" w:color="BABABA"/>
            </w:tcBorders>
          </w:tcPr>
          <w:p w14:paraId="37B18266" w14:textId="77777777" w:rsidR="00BA160A" w:rsidRPr="00722521" w:rsidRDefault="00BA160A" w:rsidP="00A903E6">
            <w:pPr>
              <w:mirrorIndents/>
              <w:rPr>
                <w:sz w:val="17"/>
                <w:szCs w:val="17"/>
              </w:rPr>
            </w:pPr>
          </w:p>
        </w:tc>
        <w:tc>
          <w:tcPr>
            <w:tcW w:w="715" w:type="pct"/>
            <w:tcBorders>
              <w:top w:val="nil"/>
              <w:left w:val="single" w:sz="8" w:space="0" w:color="BABABA"/>
              <w:bottom w:val="single" w:sz="8" w:space="0" w:color="BABABA"/>
              <w:right w:val="single" w:sz="8" w:space="0" w:color="BABABA"/>
            </w:tcBorders>
            <w:hideMark/>
          </w:tcPr>
          <w:p w14:paraId="2FE44B36" w14:textId="77777777" w:rsidR="00BA160A" w:rsidRPr="00722521" w:rsidRDefault="00BA160A" w:rsidP="00A903E6">
            <w:pPr>
              <w:pStyle w:val="TableParagraph"/>
              <w:mirrorIndents/>
              <w:rPr>
                <w:szCs w:val="17"/>
              </w:rPr>
            </w:pPr>
            <w:r w:rsidRPr="00722521">
              <w:rPr>
                <w:szCs w:val="17"/>
              </w:rPr>
              <w:t>applicable</w:t>
            </w:r>
          </w:p>
        </w:tc>
      </w:tr>
      <w:tr w:rsidR="002615EA" w:rsidRPr="00722521" w14:paraId="4665B1A0" w14:textId="77777777" w:rsidTr="00205B86">
        <w:trPr>
          <w:trHeight w:hRule="exact" w:val="1226"/>
        </w:trPr>
        <w:tc>
          <w:tcPr>
            <w:tcW w:w="714" w:type="pct"/>
            <w:tcBorders>
              <w:top w:val="single" w:sz="8" w:space="0" w:color="BABABA"/>
              <w:left w:val="single" w:sz="8" w:space="0" w:color="BABABA"/>
              <w:bottom w:val="single" w:sz="8" w:space="0" w:color="BABABA"/>
              <w:right w:val="single" w:sz="8" w:space="0" w:color="BABABA"/>
            </w:tcBorders>
            <w:hideMark/>
          </w:tcPr>
          <w:p w14:paraId="27A7EF7B" w14:textId="77777777" w:rsidR="00BA160A" w:rsidRPr="00722521" w:rsidRDefault="00BA160A" w:rsidP="00A903E6">
            <w:pPr>
              <w:pStyle w:val="TableParagraph"/>
              <w:mirrorIndents/>
              <w:rPr>
                <w:szCs w:val="17"/>
              </w:rPr>
            </w:pPr>
            <w:r w:rsidRPr="00722521">
              <w:rPr>
                <w:w w:val="105"/>
                <w:szCs w:val="17"/>
              </w:rPr>
              <w:t>Exchange of information and</w:t>
            </w:r>
            <w:r w:rsidRPr="00722521">
              <w:rPr>
                <w:w w:val="102"/>
                <w:szCs w:val="17"/>
              </w:rPr>
              <w:t xml:space="preserve"> </w:t>
            </w:r>
            <w:r w:rsidRPr="00722521">
              <w:rPr>
                <w:w w:val="105"/>
                <w:szCs w:val="17"/>
              </w:rPr>
              <w:t>best practices</w:t>
            </w:r>
          </w:p>
        </w:tc>
        <w:tc>
          <w:tcPr>
            <w:tcW w:w="714" w:type="pct"/>
            <w:tcBorders>
              <w:top w:val="single" w:sz="8" w:space="0" w:color="BABABA"/>
              <w:left w:val="single" w:sz="8" w:space="0" w:color="BABABA"/>
              <w:bottom w:val="single" w:sz="8" w:space="0" w:color="BABABA"/>
              <w:right w:val="single" w:sz="8" w:space="0" w:color="BABABA"/>
            </w:tcBorders>
          </w:tcPr>
          <w:p w14:paraId="1BA97762"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374B1FFD"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56D2F56D" w14:textId="37F9B5AC" w:rsidR="00BA160A" w:rsidRPr="00722521" w:rsidRDefault="0075698A" w:rsidP="00A903E6">
            <w:pPr>
              <w:pStyle w:val="TableParagraph"/>
              <w:mirrorIndents/>
              <w:rPr>
                <w:b/>
                <w:szCs w:val="17"/>
              </w:rPr>
            </w:pPr>
            <w:r w:rsidRPr="00722521">
              <w:rPr>
                <w:b/>
                <w:szCs w:val="17"/>
              </w:rPr>
              <w:t>x</w:t>
            </w:r>
          </w:p>
        </w:tc>
        <w:tc>
          <w:tcPr>
            <w:tcW w:w="714" w:type="pct"/>
            <w:tcBorders>
              <w:top w:val="single" w:sz="8" w:space="0" w:color="BABABA"/>
              <w:left w:val="single" w:sz="8" w:space="0" w:color="BABABA"/>
              <w:bottom w:val="single" w:sz="8" w:space="0" w:color="BABABA"/>
              <w:right w:val="single" w:sz="8" w:space="0" w:color="BABABA"/>
            </w:tcBorders>
          </w:tcPr>
          <w:p w14:paraId="4B09493B" w14:textId="6EF91FBC"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1BAE6265"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23C48D19" w14:textId="1DEFD73A" w:rsidR="00BA160A" w:rsidRPr="00722521" w:rsidRDefault="00BA160A" w:rsidP="00A903E6">
            <w:pPr>
              <w:pStyle w:val="TableParagraph"/>
              <w:mirrorIndents/>
              <w:rPr>
                <w:b/>
                <w:szCs w:val="17"/>
              </w:rPr>
            </w:pPr>
          </w:p>
        </w:tc>
      </w:tr>
      <w:tr w:rsidR="002615EA" w:rsidRPr="00722521" w14:paraId="450689DF" w14:textId="77777777" w:rsidTr="00205B86">
        <w:trPr>
          <w:trHeight w:hRule="exact" w:val="633"/>
        </w:trPr>
        <w:tc>
          <w:tcPr>
            <w:tcW w:w="714" w:type="pct"/>
            <w:tcBorders>
              <w:top w:val="single" w:sz="8" w:space="0" w:color="BABABA"/>
              <w:left w:val="single" w:sz="8" w:space="0" w:color="BABABA"/>
              <w:bottom w:val="single" w:sz="8" w:space="0" w:color="BABABA"/>
              <w:right w:val="single" w:sz="8" w:space="0" w:color="BABABA"/>
            </w:tcBorders>
            <w:hideMark/>
          </w:tcPr>
          <w:p w14:paraId="465C3425" w14:textId="77777777" w:rsidR="00BA160A" w:rsidRPr="00722521" w:rsidRDefault="00BA160A" w:rsidP="00A903E6">
            <w:pPr>
              <w:pStyle w:val="TableParagraph"/>
              <w:mirrorIndents/>
              <w:rPr>
                <w:szCs w:val="17"/>
              </w:rPr>
            </w:pPr>
            <w:r w:rsidRPr="00722521">
              <w:rPr>
                <w:szCs w:val="17"/>
              </w:rPr>
              <w:t>Adopt guidelines</w:t>
            </w:r>
          </w:p>
        </w:tc>
        <w:tc>
          <w:tcPr>
            <w:tcW w:w="714" w:type="pct"/>
            <w:tcBorders>
              <w:top w:val="single" w:sz="8" w:space="0" w:color="BABABA"/>
              <w:left w:val="single" w:sz="8" w:space="0" w:color="BABABA"/>
              <w:bottom w:val="single" w:sz="8" w:space="0" w:color="BABABA"/>
              <w:right w:val="single" w:sz="8" w:space="0" w:color="BABABA"/>
            </w:tcBorders>
          </w:tcPr>
          <w:p w14:paraId="3BA00C55"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6EAE17E8"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3B568EFD"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5F38B465" w14:textId="3696FA7A" w:rsidR="00BA160A" w:rsidRPr="00722521" w:rsidRDefault="00427419" w:rsidP="00A903E6">
            <w:pPr>
              <w:pStyle w:val="TableParagraph"/>
              <w:mirrorIndents/>
              <w:rPr>
                <w:b/>
                <w:szCs w:val="17"/>
              </w:rPr>
            </w:pPr>
            <w:r w:rsidRPr="00722521">
              <w:rPr>
                <w:b/>
                <w:szCs w:val="17"/>
              </w:rPr>
              <w:t>x</w:t>
            </w:r>
          </w:p>
        </w:tc>
        <w:tc>
          <w:tcPr>
            <w:tcW w:w="714" w:type="pct"/>
            <w:tcBorders>
              <w:top w:val="single" w:sz="8" w:space="0" w:color="BABABA"/>
              <w:left w:val="single" w:sz="8" w:space="0" w:color="BABABA"/>
              <w:bottom w:val="single" w:sz="8" w:space="0" w:color="BABABA"/>
              <w:right w:val="single" w:sz="8" w:space="0" w:color="BABABA"/>
            </w:tcBorders>
          </w:tcPr>
          <w:p w14:paraId="6D6AA5F3"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49F1318B" w14:textId="77777777" w:rsidR="00BA160A" w:rsidRPr="00722521" w:rsidRDefault="00BA160A" w:rsidP="00A903E6">
            <w:pPr>
              <w:pStyle w:val="TableParagraph"/>
              <w:mirrorIndents/>
              <w:rPr>
                <w:b/>
                <w:szCs w:val="17"/>
              </w:rPr>
            </w:pPr>
          </w:p>
        </w:tc>
      </w:tr>
      <w:tr w:rsidR="002615EA" w:rsidRPr="00722521" w14:paraId="7FEF2BC3" w14:textId="77777777" w:rsidTr="00205B86">
        <w:trPr>
          <w:trHeight w:hRule="exact" w:val="929"/>
        </w:trPr>
        <w:tc>
          <w:tcPr>
            <w:tcW w:w="714" w:type="pct"/>
            <w:tcBorders>
              <w:top w:val="single" w:sz="8" w:space="0" w:color="BABABA"/>
              <w:left w:val="single" w:sz="8" w:space="0" w:color="BABABA"/>
              <w:bottom w:val="single" w:sz="8" w:space="0" w:color="BABABA"/>
              <w:right w:val="single" w:sz="8" w:space="0" w:color="BABABA"/>
            </w:tcBorders>
            <w:hideMark/>
          </w:tcPr>
          <w:p w14:paraId="26E40AD4" w14:textId="77777777" w:rsidR="00BA160A" w:rsidRPr="00722521" w:rsidRDefault="00BA160A" w:rsidP="00A903E6">
            <w:pPr>
              <w:pStyle w:val="TableParagraph"/>
              <w:mirrorIndents/>
              <w:rPr>
                <w:szCs w:val="17"/>
              </w:rPr>
            </w:pPr>
            <w:r w:rsidRPr="00722521">
              <w:rPr>
                <w:w w:val="105"/>
                <w:szCs w:val="17"/>
              </w:rPr>
              <w:t xml:space="preserve">Adopt </w:t>
            </w:r>
            <w:r w:rsidRPr="00722521">
              <w:rPr>
                <w:szCs w:val="17"/>
              </w:rPr>
              <w:t>recommendations</w:t>
            </w:r>
          </w:p>
        </w:tc>
        <w:tc>
          <w:tcPr>
            <w:tcW w:w="714" w:type="pct"/>
            <w:tcBorders>
              <w:top w:val="single" w:sz="8" w:space="0" w:color="BABABA"/>
              <w:left w:val="single" w:sz="8" w:space="0" w:color="BABABA"/>
              <w:bottom w:val="single" w:sz="8" w:space="0" w:color="BABABA"/>
              <w:right w:val="single" w:sz="8" w:space="0" w:color="BABABA"/>
            </w:tcBorders>
          </w:tcPr>
          <w:p w14:paraId="41E1CF7E"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44AF4A6F"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05BE3936" w14:textId="77777777" w:rsidR="00BA160A" w:rsidRPr="00722521" w:rsidRDefault="00BA160A" w:rsidP="00A903E6">
            <w:pPr>
              <w:pStyle w:val="TableParagraph"/>
              <w:mirrorIndents/>
              <w:rPr>
                <w:b/>
                <w:szCs w:val="17"/>
              </w:rPr>
            </w:pPr>
          </w:p>
        </w:tc>
        <w:tc>
          <w:tcPr>
            <w:tcW w:w="714" w:type="pct"/>
            <w:tcBorders>
              <w:top w:val="single" w:sz="8" w:space="0" w:color="BABABA"/>
              <w:left w:val="single" w:sz="8" w:space="0" w:color="BABABA"/>
              <w:bottom w:val="single" w:sz="8" w:space="0" w:color="BABABA"/>
              <w:right w:val="single" w:sz="8" w:space="0" w:color="BABABA"/>
            </w:tcBorders>
          </w:tcPr>
          <w:p w14:paraId="650E2B9F" w14:textId="4CA11FBE" w:rsidR="00BA160A" w:rsidRPr="00722521" w:rsidRDefault="00427419" w:rsidP="00A903E6">
            <w:pPr>
              <w:pStyle w:val="TableParagraph"/>
              <w:mirrorIndents/>
              <w:rPr>
                <w:b/>
                <w:szCs w:val="17"/>
              </w:rPr>
            </w:pPr>
            <w:r w:rsidRPr="00722521">
              <w:rPr>
                <w:b/>
                <w:szCs w:val="17"/>
              </w:rPr>
              <w:t>x</w:t>
            </w:r>
          </w:p>
        </w:tc>
        <w:tc>
          <w:tcPr>
            <w:tcW w:w="714" w:type="pct"/>
            <w:tcBorders>
              <w:top w:val="single" w:sz="8" w:space="0" w:color="BABABA"/>
              <w:left w:val="single" w:sz="8" w:space="0" w:color="BABABA"/>
              <w:bottom w:val="single" w:sz="8" w:space="0" w:color="BABABA"/>
              <w:right w:val="single" w:sz="8" w:space="0" w:color="BABABA"/>
            </w:tcBorders>
          </w:tcPr>
          <w:p w14:paraId="48BD8972" w14:textId="77777777" w:rsidR="00BA160A" w:rsidRPr="00722521" w:rsidRDefault="00BA160A" w:rsidP="00A903E6">
            <w:pPr>
              <w:pStyle w:val="TableParagraph"/>
              <w:mirrorIndents/>
              <w:rPr>
                <w:b/>
                <w:szCs w:val="17"/>
              </w:rPr>
            </w:pPr>
          </w:p>
        </w:tc>
        <w:tc>
          <w:tcPr>
            <w:tcW w:w="715" w:type="pct"/>
            <w:tcBorders>
              <w:top w:val="single" w:sz="8" w:space="0" w:color="BABABA"/>
              <w:left w:val="single" w:sz="8" w:space="0" w:color="BABABA"/>
              <w:bottom w:val="single" w:sz="8" w:space="0" w:color="BABABA"/>
              <w:right w:val="single" w:sz="8" w:space="0" w:color="BABABA"/>
            </w:tcBorders>
          </w:tcPr>
          <w:p w14:paraId="093CE378" w14:textId="77777777" w:rsidR="00BA160A" w:rsidRPr="00722521" w:rsidRDefault="00BA160A" w:rsidP="00A903E6">
            <w:pPr>
              <w:pStyle w:val="TableParagraph"/>
              <w:mirrorIndents/>
              <w:rPr>
                <w:b/>
                <w:szCs w:val="17"/>
              </w:rPr>
            </w:pPr>
          </w:p>
        </w:tc>
      </w:tr>
    </w:tbl>
    <w:p w14:paraId="375FB702" w14:textId="24FA53DE" w:rsidR="00205B86" w:rsidRPr="00722521" w:rsidRDefault="00205B86" w:rsidP="00A903E6">
      <w:pPr>
        <w:pStyle w:val="Textkrper"/>
        <w:mirrorIndents/>
        <w:rPr>
          <w:rFonts w:ascii="Verdana" w:hAnsi="Verdana"/>
          <w:sz w:val="17"/>
          <w:szCs w:val="17"/>
        </w:rPr>
      </w:pPr>
    </w:p>
    <w:p w14:paraId="07F057C4" w14:textId="77777777"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Please explain your reasoning when answering question 1.7.3:</w:t>
      </w:r>
    </w:p>
    <w:p w14:paraId="39A5D4D0" w14:textId="17B3BA43" w:rsidR="00BA160A" w:rsidRPr="00722521" w:rsidRDefault="00BA160A" w:rsidP="00A903E6">
      <w:pPr>
        <w:mirrorIndents/>
        <w:rPr>
          <w:sz w:val="17"/>
          <w:szCs w:val="17"/>
        </w:rPr>
      </w:pPr>
    </w:p>
    <w:p w14:paraId="1C12F31B" w14:textId="347CC279" w:rsidR="00427419" w:rsidRPr="00722521" w:rsidRDefault="00722521" w:rsidP="00427419">
      <w:pPr>
        <w:mirrorIndents/>
        <w:rPr>
          <w:sz w:val="17"/>
          <w:szCs w:val="17"/>
        </w:rPr>
      </w:pPr>
      <w:r>
        <w:rPr>
          <w:sz w:val="17"/>
          <w:szCs w:val="17"/>
        </w:rPr>
        <w:t>VVO</w:t>
      </w:r>
      <w:r w:rsidR="00AB3387" w:rsidRPr="00722521">
        <w:rPr>
          <w:sz w:val="17"/>
          <w:szCs w:val="17"/>
        </w:rPr>
        <w:t xml:space="preserve"> </w:t>
      </w:r>
      <w:r w:rsidR="00427419" w:rsidRPr="00722521">
        <w:rPr>
          <w:sz w:val="17"/>
          <w:szCs w:val="17"/>
        </w:rPr>
        <w:t>is of the opinion that the tools work well. From the industry perspective, it is difficult to assess potential inefficiencies in the internal processes of EIOPA. However, the processes in place, and enhanced in the 2019 ESA</w:t>
      </w:r>
      <w:r w:rsidR="00AB3387" w:rsidRPr="00722521">
        <w:rPr>
          <w:sz w:val="17"/>
          <w:szCs w:val="17"/>
        </w:rPr>
        <w:t>s r</w:t>
      </w:r>
      <w:r w:rsidR="00427419" w:rsidRPr="00722521">
        <w:rPr>
          <w:sz w:val="17"/>
          <w:szCs w:val="17"/>
        </w:rPr>
        <w:t xml:space="preserve">eview, </w:t>
      </w:r>
      <w:r w:rsidR="00AB3387" w:rsidRPr="00722521">
        <w:rPr>
          <w:sz w:val="17"/>
          <w:szCs w:val="17"/>
        </w:rPr>
        <w:t xml:space="preserve">seem to </w:t>
      </w:r>
      <w:r w:rsidR="00427419" w:rsidRPr="00722521">
        <w:rPr>
          <w:sz w:val="17"/>
          <w:szCs w:val="17"/>
        </w:rPr>
        <w:t>facilitate the coordinative and convergence function of EIOPA.</w:t>
      </w:r>
    </w:p>
    <w:p w14:paraId="1E051246" w14:textId="77777777" w:rsidR="00427419" w:rsidRPr="00722521" w:rsidRDefault="00427419" w:rsidP="00427419">
      <w:pPr>
        <w:mirrorIndents/>
        <w:rPr>
          <w:sz w:val="17"/>
          <w:szCs w:val="17"/>
        </w:rPr>
      </w:pPr>
    </w:p>
    <w:p w14:paraId="64FD51B0" w14:textId="208B79A7" w:rsidR="00205B86" w:rsidRPr="00722521" w:rsidRDefault="00427419" w:rsidP="00A903E6">
      <w:pPr>
        <w:mirrorIndents/>
        <w:rPr>
          <w:sz w:val="17"/>
          <w:szCs w:val="17"/>
        </w:rPr>
      </w:pPr>
      <w:r w:rsidRPr="00722521">
        <w:rPr>
          <w:sz w:val="17"/>
          <w:szCs w:val="17"/>
        </w:rPr>
        <w:t xml:space="preserve">Rather than amendments to the tools, a more consequent definition of mandates and empowerments and greater adherence to the mandates </w:t>
      </w:r>
      <w:r w:rsidR="00AB3387" w:rsidRPr="00722521">
        <w:rPr>
          <w:sz w:val="17"/>
          <w:szCs w:val="17"/>
        </w:rPr>
        <w:t>c</w:t>
      </w:r>
      <w:r w:rsidRPr="00722521">
        <w:rPr>
          <w:sz w:val="17"/>
          <w:szCs w:val="17"/>
        </w:rPr>
        <w:t>ould be beneficial.</w:t>
      </w:r>
    </w:p>
    <w:p w14:paraId="21C6CCAB" w14:textId="62A67D28" w:rsidR="00315D35" w:rsidRPr="00722521" w:rsidRDefault="00315D35" w:rsidP="00A903E6">
      <w:pPr>
        <w:mirrorIndents/>
        <w:rPr>
          <w:sz w:val="17"/>
          <w:szCs w:val="17"/>
        </w:rPr>
      </w:pPr>
    </w:p>
    <w:p w14:paraId="371ECDF9" w14:textId="32EB70A5" w:rsidR="00315D35" w:rsidRPr="00722521" w:rsidRDefault="00315D35" w:rsidP="00315D35">
      <w:pPr>
        <w:mirrorIndents/>
        <w:rPr>
          <w:sz w:val="17"/>
          <w:szCs w:val="17"/>
        </w:rPr>
      </w:pPr>
      <w:r w:rsidRPr="00722521">
        <w:rPr>
          <w:sz w:val="17"/>
          <w:szCs w:val="17"/>
        </w:rPr>
        <w:lastRenderedPageBreak/>
        <w:t xml:space="preserve">It would also be beneficial to remind the necessity for the guidelines to take a “less is more” approach. Guidelines are often an “afterthought” of the regulation which are used by EIOPA as a quasi-regulatory standard. The </w:t>
      </w:r>
      <w:r w:rsidR="00FA761B" w:rsidRPr="00722521">
        <w:rPr>
          <w:sz w:val="17"/>
          <w:szCs w:val="17"/>
        </w:rPr>
        <w:t>concerns</w:t>
      </w:r>
      <w:r w:rsidRPr="00722521">
        <w:rPr>
          <w:sz w:val="17"/>
          <w:szCs w:val="17"/>
        </w:rPr>
        <w:t xml:space="preserve"> raised about the de-facto binding nature of the guidelines and EIOPA</w:t>
      </w:r>
      <w:r w:rsidR="00FA761B" w:rsidRPr="00722521">
        <w:rPr>
          <w:sz w:val="17"/>
          <w:szCs w:val="17"/>
        </w:rPr>
        <w:t>’</w:t>
      </w:r>
      <w:r w:rsidRPr="00722521">
        <w:rPr>
          <w:sz w:val="17"/>
          <w:szCs w:val="17"/>
        </w:rPr>
        <w:t xml:space="preserve">s </w:t>
      </w:r>
      <w:r w:rsidR="00FA761B" w:rsidRPr="00722521">
        <w:rPr>
          <w:sz w:val="17"/>
          <w:szCs w:val="17"/>
        </w:rPr>
        <w:t>string push</w:t>
      </w:r>
      <w:r w:rsidRPr="00722521">
        <w:rPr>
          <w:sz w:val="17"/>
          <w:szCs w:val="17"/>
        </w:rPr>
        <w:t xml:space="preserve"> to convert many guidelines into binding regulations in its response to EC’s calls for advice is an evidence of this. While guidelines should help supervisory convergence, thus reducing the burden on firms, the contrary often happens: guidelines add to the complexity and the compliance burden. </w:t>
      </w:r>
    </w:p>
    <w:p w14:paraId="33D087CC" w14:textId="77777777" w:rsidR="00315D35" w:rsidRPr="00722521" w:rsidRDefault="00315D35" w:rsidP="00315D35">
      <w:pPr>
        <w:mirrorIndents/>
        <w:rPr>
          <w:sz w:val="17"/>
          <w:szCs w:val="17"/>
        </w:rPr>
      </w:pPr>
    </w:p>
    <w:p w14:paraId="12970B7B" w14:textId="77777777" w:rsidR="0075698A" w:rsidRPr="00722521" w:rsidRDefault="00315D35" w:rsidP="00A903E6">
      <w:pPr>
        <w:mirrorIndents/>
        <w:rPr>
          <w:sz w:val="17"/>
          <w:szCs w:val="17"/>
        </w:rPr>
      </w:pPr>
      <w:r w:rsidRPr="00722521">
        <w:rPr>
          <w:sz w:val="17"/>
          <w:szCs w:val="17"/>
        </w:rPr>
        <w:t>EIOPA should also refrain from issuing guidelines in areas where the legislators have indicated their intention to regulate. An example of this is EIOPA guidelines on ICT operational resilience published end 2020 and for application by H2 2021. These guidelines pre-empt/duplicate the process of the European Commission’s Proposal for a Regulation of the European Parliament and of the Council on digital operational resilience for the financial sector and amending Regulations (EC) No 1060/2009, (EU) No 648/2012, (EU) No 600/2014 and (EU) No 909/2014 (DORA). Such an approach creates issues with the articulation of texts and unnecessary confusion.</w:t>
      </w:r>
    </w:p>
    <w:p w14:paraId="18C6D961" w14:textId="6140EB7D" w:rsidR="005C7947" w:rsidRPr="00722521" w:rsidRDefault="00315D35" w:rsidP="00A903E6">
      <w:pPr>
        <w:mirrorIndents/>
        <w:rPr>
          <w:sz w:val="17"/>
          <w:szCs w:val="17"/>
        </w:rPr>
      </w:pPr>
      <w:r w:rsidRPr="00722521">
        <w:rPr>
          <w:sz w:val="17"/>
          <w:szCs w:val="17"/>
        </w:rPr>
        <w:t xml:space="preserve">    </w:t>
      </w:r>
    </w:p>
    <w:p w14:paraId="7FBEC7D4" w14:textId="6A1B1BF0" w:rsidR="00427419" w:rsidRPr="00722521" w:rsidRDefault="00427419" w:rsidP="005C7947">
      <w:pPr>
        <w:pStyle w:val="Textkrper"/>
        <w:ind w:left="0"/>
        <w:mirrorIndents/>
        <w:rPr>
          <w:rFonts w:ascii="Verdana" w:hAnsi="Verdana"/>
          <w:sz w:val="17"/>
          <w:szCs w:val="17"/>
        </w:rPr>
      </w:pPr>
      <w:r w:rsidRPr="00722521">
        <w:rPr>
          <w:rFonts w:ascii="Verdana" w:hAnsi="Verdana"/>
          <w:sz w:val="17"/>
          <w:szCs w:val="17"/>
          <w:highlight w:val="lightGray"/>
        </w:rPr>
        <w:t>Question 1.7.4 In the framework of 2019 ESAs’ review, do you think the new coordination groups (Article 45b of the ESAs Regulations) are effective tools to coordinate competent authorities regarding specific market developments?</w:t>
      </w:r>
    </w:p>
    <w:p w14:paraId="3DBF2C81" w14:textId="40488B86" w:rsidR="00427419" w:rsidRPr="00722521" w:rsidRDefault="00427419" w:rsidP="00427419">
      <w:pPr>
        <w:pStyle w:val="CEABullet-Level1"/>
        <w:rPr>
          <w:color w:val="auto"/>
          <w:highlight w:val="lightGray"/>
        </w:rPr>
      </w:pPr>
      <w:r w:rsidRPr="00722521">
        <w:rPr>
          <w:color w:val="auto"/>
          <w:highlight w:val="lightGray"/>
        </w:rPr>
        <w:t xml:space="preserve">Yes </w:t>
      </w:r>
    </w:p>
    <w:p w14:paraId="3A1D6A4C" w14:textId="6591ED7B" w:rsidR="00427419" w:rsidRPr="00722521" w:rsidRDefault="00427419" w:rsidP="00427419">
      <w:pPr>
        <w:pStyle w:val="CEABullet-Level1"/>
        <w:rPr>
          <w:color w:val="auto"/>
          <w:highlight w:val="lightGray"/>
        </w:rPr>
      </w:pPr>
      <w:r w:rsidRPr="00722521">
        <w:rPr>
          <w:color w:val="auto"/>
          <w:highlight w:val="lightGray"/>
        </w:rPr>
        <w:t>No</w:t>
      </w:r>
    </w:p>
    <w:p w14:paraId="37870E7D" w14:textId="40AC4B0B" w:rsidR="00427419" w:rsidRPr="00722521" w:rsidRDefault="00427419" w:rsidP="00427419">
      <w:pPr>
        <w:pStyle w:val="CEABullet-Level1"/>
        <w:rPr>
          <w:color w:val="auto"/>
          <w:highlight w:val="lightGray"/>
        </w:rPr>
      </w:pPr>
      <w:r w:rsidRPr="00722521">
        <w:rPr>
          <w:color w:val="auto"/>
          <w:highlight w:val="lightGray"/>
        </w:rPr>
        <w:t>Don’t know / no opinion / not relevant</w:t>
      </w:r>
    </w:p>
    <w:p w14:paraId="2CC7C368" w14:textId="06A04187" w:rsidR="00427419" w:rsidRPr="00722521" w:rsidRDefault="00427419" w:rsidP="00427419">
      <w:pPr>
        <w:pStyle w:val="CEABullet-Level1"/>
        <w:numPr>
          <w:ilvl w:val="0"/>
          <w:numId w:val="0"/>
        </w:numPr>
        <w:ind w:left="720"/>
        <w:rPr>
          <w:color w:val="auto"/>
        </w:rPr>
      </w:pPr>
    </w:p>
    <w:p w14:paraId="31D68982" w14:textId="67FDBC47" w:rsidR="00D45691" w:rsidRPr="00722521" w:rsidRDefault="00D45691" w:rsidP="00AB3387">
      <w:pPr>
        <w:pStyle w:val="CEABullet-Level1"/>
        <w:numPr>
          <w:ilvl w:val="0"/>
          <w:numId w:val="0"/>
        </w:numPr>
        <w:rPr>
          <w:color w:val="auto"/>
        </w:rPr>
      </w:pPr>
      <w:r w:rsidRPr="00722521">
        <w:rPr>
          <w:color w:val="auto"/>
        </w:rPr>
        <w:t>Yes</w:t>
      </w:r>
    </w:p>
    <w:p w14:paraId="222C39C8" w14:textId="6771C434" w:rsidR="00D45691" w:rsidRPr="00722521" w:rsidRDefault="00D45691" w:rsidP="00AB3387">
      <w:pPr>
        <w:pStyle w:val="CEABullet-Level1"/>
        <w:numPr>
          <w:ilvl w:val="0"/>
          <w:numId w:val="0"/>
        </w:numPr>
        <w:rPr>
          <w:color w:val="auto"/>
        </w:rPr>
      </w:pPr>
      <w:r w:rsidRPr="00722521">
        <w:rPr>
          <w:color w:val="auto"/>
        </w:rPr>
        <w:t xml:space="preserve">These coordination groups </w:t>
      </w:r>
      <w:r w:rsidR="00FA761B" w:rsidRPr="00722521">
        <w:rPr>
          <w:color w:val="auto"/>
        </w:rPr>
        <w:t>sh</w:t>
      </w:r>
      <w:r w:rsidRPr="00722521">
        <w:rPr>
          <w:color w:val="auto"/>
        </w:rPr>
        <w:t>ould be effective tools to coordinate competent authorities; generally speaking</w:t>
      </w:r>
      <w:r w:rsidR="00FA761B" w:rsidRPr="00722521">
        <w:rPr>
          <w:color w:val="auto"/>
        </w:rPr>
        <w:t>,</w:t>
      </w:r>
      <w:r w:rsidRPr="00722521">
        <w:rPr>
          <w:color w:val="auto"/>
        </w:rPr>
        <w:t xml:space="preserve"> these coordination groups </w:t>
      </w:r>
      <w:r w:rsidR="00FA761B" w:rsidRPr="00722521">
        <w:rPr>
          <w:color w:val="auto"/>
        </w:rPr>
        <w:t>sh</w:t>
      </w:r>
      <w:r w:rsidRPr="00722521">
        <w:rPr>
          <w:color w:val="auto"/>
        </w:rPr>
        <w:t xml:space="preserve">ould focus on each national market legal specificities </w:t>
      </w:r>
      <w:proofErr w:type="spellStart"/>
      <w:r w:rsidRPr="00722521">
        <w:rPr>
          <w:color w:val="auto"/>
        </w:rPr>
        <w:t>eg</w:t>
      </w:r>
      <w:proofErr w:type="spellEnd"/>
      <w:r w:rsidRPr="00722521">
        <w:rPr>
          <w:color w:val="auto"/>
        </w:rPr>
        <w:t xml:space="preserve"> regarding liability rules and attached long-term insurance coverages.</w:t>
      </w:r>
    </w:p>
    <w:p w14:paraId="276D43E3" w14:textId="1E7DF2A0" w:rsidR="00AB3387" w:rsidRPr="00722521" w:rsidRDefault="00AB3387" w:rsidP="00AB3387">
      <w:pPr>
        <w:pStyle w:val="CEABullet-Level1"/>
        <w:numPr>
          <w:ilvl w:val="0"/>
          <w:numId w:val="0"/>
        </w:numPr>
        <w:rPr>
          <w:color w:val="auto"/>
        </w:rPr>
      </w:pPr>
    </w:p>
    <w:p w14:paraId="63F92297" w14:textId="77777777" w:rsidR="00CF2007" w:rsidRPr="00722521" w:rsidRDefault="00CF2007" w:rsidP="00AB3387">
      <w:pPr>
        <w:pStyle w:val="CEABullet-Level1"/>
        <w:numPr>
          <w:ilvl w:val="0"/>
          <w:numId w:val="0"/>
        </w:numPr>
        <w:rPr>
          <w:color w:val="auto"/>
        </w:rPr>
      </w:pPr>
    </w:p>
    <w:p w14:paraId="3AA97A0A" w14:textId="5E9D6921"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Question 1.7.5 EIOPA: In your view, does the coordination function of EIOPA, ensuring</w:t>
      </w:r>
      <w:r w:rsidRPr="00722521">
        <w:rPr>
          <w:rFonts w:ascii="Verdana" w:hAnsi="Verdana"/>
          <w:spacing w:val="53"/>
          <w:sz w:val="17"/>
          <w:szCs w:val="17"/>
          <w:highlight w:val="lightGray"/>
        </w:rPr>
        <w:t xml:space="preserve"> </w:t>
      </w:r>
      <w:r w:rsidRPr="00722521">
        <w:rPr>
          <w:rFonts w:ascii="Verdana" w:hAnsi="Verdana"/>
          <w:sz w:val="17"/>
          <w:szCs w:val="17"/>
          <w:highlight w:val="lightGray"/>
        </w:rPr>
        <w:t>that</w:t>
      </w:r>
      <w:r w:rsidRPr="00722521">
        <w:rPr>
          <w:rFonts w:ascii="Verdana" w:hAnsi="Verdana"/>
          <w:spacing w:val="53"/>
          <w:sz w:val="17"/>
          <w:szCs w:val="17"/>
          <w:highlight w:val="lightGray"/>
        </w:rPr>
        <w:t xml:space="preserve"> </w:t>
      </w:r>
      <w:r w:rsidRPr="00722521">
        <w:rPr>
          <w:rFonts w:ascii="Verdana" w:hAnsi="Verdana"/>
          <w:sz w:val="17"/>
          <w:szCs w:val="17"/>
          <w:highlight w:val="lightGray"/>
        </w:rPr>
        <w:t>the</w:t>
      </w:r>
      <w:r w:rsidRPr="00722521">
        <w:rPr>
          <w:rFonts w:ascii="Verdana" w:hAnsi="Verdana"/>
          <w:spacing w:val="53"/>
          <w:sz w:val="17"/>
          <w:szCs w:val="17"/>
          <w:highlight w:val="lightGray"/>
        </w:rPr>
        <w:t xml:space="preserve"> </w:t>
      </w:r>
      <w:r w:rsidRPr="00722521">
        <w:rPr>
          <w:rFonts w:ascii="Verdana" w:hAnsi="Verdana"/>
          <w:sz w:val="17"/>
          <w:szCs w:val="17"/>
          <w:highlight w:val="lightGray"/>
        </w:rPr>
        <w:t>competent</w:t>
      </w:r>
      <w:r w:rsidRPr="00722521">
        <w:rPr>
          <w:rFonts w:ascii="Verdana" w:hAnsi="Verdana"/>
          <w:spacing w:val="53"/>
          <w:sz w:val="17"/>
          <w:szCs w:val="17"/>
          <w:highlight w:val="lightGray"/>
        </w:rPr>
        <w:t xml:space="preserve"> </w:t>
      </w:r>
      <w:r w:rsidRPr="00722521">
        <w:rPr>
          <w:rFonts w:ascii="Verdana" w:hAnsi="Verdana"/>
          <w:sz w:val="17"/>
          <w:szCs w:val="17"/>
          <w:highlight w:val="lightGray"/>
        </w:rPr>
        <w:t>authorities</w:t>
      </w:r>
      <w:r w:rsidRPr="00722521">
        <w:rPr>
          <w:rFonts w:ascii="Verdana" w:hAnsi="Verdana"/>
          <w:spacing w:val="53"/>
          <w:sz w:val="17"/>
          <w:szCs w:val="17"/>
          <w:highlight w:val="lightGray"/>
        </w:rPr>
        <w:t xml:space="preserve"> </w:t>
      </w:r>
      <w:r w:rsidRPr="00722521">
        <w:rPr>
          <w:rFonts w:ascii="Verdana" w:hAnsi="Verdana"/>
          <w:sz w:val="17"/>
          <w:szCs w:val="17"/>
          <w:highlight w:val="lightGray"/>
        </w:rPr>
        <w:t>effectively</w:t>
      </w:r>
      <w:r w:rsidRPr="00722521">
        <w:rPr>
          <w:rFonts w:ascii="Verdana" w:hAnsi="Verdana"/>
          <w:spacing w:val="53"/>
          <w:sz w:val="17"/>
          <w:szCs w:val="17"/>
          <w:highlight w:val="lightGray"/>
        </w:rPr>
        <w:t xml:space="preserve"> </w:t>
      </w:r>
      <w:r w:rsidRPr="00722521">
        <w:rPr>
          <w:rFonts w:ascii="Verdana" w:hAnsi="Verdana"/>
          <w:sz w:val="17"/>
          <w:szCs w:val="17"/>
          <w:highlight w:val="lightGray"/>
        </w:rPr>
        <w:t>supervise</w:t>
      </w:r>
      <w:r w:rsidRPr="00722521">
        <w:rPr>
          <w:rFonts w:ascii="Verdana" w:hAnsi="Verdana"/>
          <w:spacing w:val="53"/>
          <w:sz w:val="17"/>
          <w:szCs w:val="17"/>
          <w:highlight w:val="lightGray"/>
        </w:rPr>
        <w:t xml:space="preserve"> </w:t>
      </w:r>
      <w:r w:rsidRPr="00722521">
        <w:rPr>
          <w:rFonts w:ascii="Verdana" w:hAnsi="Verdana"/>
          <w:sz w:val="17"/>
          <w:szCs w:val="17"/>
          <w:highlight w:val="lightGray"/>
        </w:rPr>
        <w:t>outsourcing,</w:t>
      </w:r>
      <w:r w:rsidR="00205B86" w:rsidRPr="00722521">
        <w:rPr>
          <w:rFonts w:ascii="Verdana" w:hAnsi="Verdana"/>
          <w:sz w:val="17"/>
          <w:szCs w:val="17"/>
          <w:highlight w:val="lightGray"/>
        </w:rPr>
        <w:t xml:space="preserve"> </w:t>
      </w:r>
      <w:r w:rsidRPr="00722521">
        <w:rPr>
          <w:rFonts w:ascii="Verdana" w:hAnsi="Verdana"/>
          <w:sz w:val="17"/>
          <w:szCs w:val="17"/>
          <w:highlight w:val="lightGray"/>
        </w:rPr>
        <w:t>delegation and risk transfer arrangements in third countries, work in a satisfactory way?</w:t>
      </w:r>
    </w:p>
    <w:p w14:paraId="43F3A6BA" w14:textId="77777777" w:rsidR="00205B86" w:rsidRPr="00722521" w:rsidRDefault="00BA160A" w:rsidP="00205B86">
      <w:pPr>
        <w:pStyle w:val="CEABullet-Level1"/>
        <w:rPr>
          <w:color w:val="auto"/>
          <w:highlight w:val="lightGray"/>
        </w:rPr>
      </w:pPr>
      <w:r w:rsidRPr="00722521">
        <w:rPr>
          <w:color w:val="auto"/>
          <w:highlight w:val="lightGray"/>
        </w:rPr>
        <w:t xml:space="preserve">Yes </w:t>
      </w:r>
    </w:p>
    <w:p w14:paraId="12BBB4EA" w14:textId="0357375D" w:rsidR="00BA160A" w:rsidRPr="00722521" w:rsidRDefault="00BA160A" w:rsidP="00205B86">
      <w:pPr>
        <w:pStyle w:val="CEABullet-Level1"/>
        <w:rPr>
          <w:color w:val="auto"/>
          <w:highlight w:val="lightGray"/>
        </w:rPr>
      </w:pPr>
      <w:r w:rsidRPr="00722521">
        <w:rPr>
          <w:color w:val="auto"/>
          <w:highlight w:val="lightGray"/>
        </w:rPr>
        <w:t>No</w:t>
      </w:r>
    </w:p>
    <w:p w14:paraId="46184255" w14:textId="77777777" w:rsidR="00BA160A" w:rsidRPr="00722521" w:rsidRDefault="00BA160A" w:rsidP="00205B86">
      <w:pPr>
        <w:pStyle w:val="CEABullet-Level1"/>
        <w:rPr>
          <w:color w:val="auto"/>
          <w:highlight w:val="lightGray"/>
        </w:rPr>
      </w:pPr>
      <w:r w:rsidRPr="00722521">
        <w:rPr>
          <w:color w:val="auto"/>
          <w:highlight w:val="lightGray"/>
        </w:rPr>
        <w:t>Don’t know / no opinion / not relevant</w:t>
      </w:r>
    </w:p>
    <w:p w14:paraId="2BB5A21A" w14:textId="77777777" w:rsidR="00BA160A" w:rsidRPr="00722521" w:rsidRDefault="00BA160A" w:rsidP="00A903E6">
      <w:pPr>
        <w:mirrorIndents/>
        <w:rPr>
          <w:sz w:val="17"/>
          <w:szCs w:val="17"/>
        </w:rPr>
      </w:pPr>
    </w:p>
    <w:p w14:paraId="49526FD4" w14:textId="04BAEF8D" w:rsidR="00745D7D" w:rsidRPr="00722521" w:rsidRDefault="00CF2007" w:rsidP="00A903E6">
      <w:pPr>
        <w:mirrorIndents/>
        <w:rPr>
          <w:sz w:val="17"/>
          <w:szCs w:val="17"/>
        </w:rPr>
      </w:pPr>
      <w:r w:rsidRPr="00722521">
        <w:rPr>
          <w:sz w:val="17"/>
          <w:szCs w:val="17"/>
        </w:rPr>
        <w:t>No</w:t>
      </w:r>
    </w:p>
    <w:p w14:paraId="596E1C95" w14:textId="77777777" w:rsidR="00745D7D" w:rsidRPr="00722521" w:rsidRDefault="00745D7D" w:rsidP="00A903E6">
      <w:pPr>
        <w:mirrorIndents/>
        <w:rPr>
          <w:sz w:val="17"/>
          <w:szCs w:val="17"/>
        </w:rPr>
      </w:pPr>
    </w:p>
    <w:p w14:paraId="72189682" w14:textId="77777777"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1.7.5 on EIOPA:</w:t>
      </w:r>
    </w:p>
    <w:p w14:paraId="118F8A66" w14:textId="1A4EED09" w:rsidR="00BA160A" w:rsidRPr="00722521" w:rsidRDefault="00BA160A" w:rsidP="00A903E6">
      <w:pPr>
        <w:mirrorIndents/>
        <w:rPr>
          <w:sz w:val="17"/>
          <w:szCs w:val="17"/>
        </w:rPr>
      </w:pPr>
    </w:p>
    <w:p w14:paraId="60E822D2" w14:textId="7BBE8E89" w:rsidR="00205B86" w:rsidRPr="00722521" w:rsidRDefault="00FA761B" w:rsidP="00A903E6">
      <w:pPr>
        <w:mirrorIndents/>
        <w:rPr>
          <w:sz w:val="17"/>
          <w:szCs w:val="17"/>
        </w:rPr>
      </w:pPr>
      <w:r w:rsidRPr="00722521">
        <w:rPr>
          <w:sz w:val="17"/>
          <w:szCs w:val="17"/>
        </w:rPr>
        <w:t xml:space="preserve">The industry is not aware of a coordination group dealing with the supervision of outsourcing, delegation and risk transfer arrangements in third countries. </w:t>
      </w:r>
      <w:r w:rsidR="00CF2007" w:rsidRPr="00722521">
        <w:rPr>
          <w:sz w:val="17"/>
          <w:szCs w:val="17"/>
        </w:rPr>
        <w:t xml:space="preserve">In practice, </w:t>
      </w:r>
      <w:r w:rsidRPr="00722521">
        <w:rPr>
          <w:sz w:val="17"/>
          <w:szCs w:val="17"/>
        </w:rPr>
        <w:t>national divergences are observed in this area</w:t>
      </w:r>
      <w:r w:rsidR="00CF2007" w:rsidRPr="00722521">
        <w:rPr>
          <w:sz w:val="17"/>
          <w:szCs w:val="17"/>
        </w:rPr>
        <w:t>.</w:t>
      </w:r>
      <w:r w:rsidRPr="00722521">
        <w:rPr>
          <w:sz w:val="17"/>
          <w:szCs w:val="17"/>
        </w:rPr>
        <w:t xml:space="preserve"> </w:t>
      </w:r>
    </w:p>
    <w:p w14:paraId="21EA293E" w14:textId="77777777" w:rsidR="00205B86" w:rsidRPr="00722521" w:rsidRDefault="00205B86" w:rsidP="00A903E6">
      <w:pPr>
        <w:mirrorIndents/>
        <w:rPr>
          <w:sz w:val="17"/>
          <w:szCs w:val="17"/>
        </w:rPr>
      </w:pPr>
    </w:p>
    <w:p w14:paraId="4ABD1B88" w14:textId="77777777"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Please indicate how the coordination function of EIOPA should be adjusted:</w:t>
      </w:r>
    </w:p>
    <w:p w14:paraId="11E48C26" w14:textId="7FBD6D90" w:rsidR="00BA160A" w:rsidRPr="00722521" w:rsidRDefault="00BA160A" w:rsidP="00A903E6">
      <w:pPr>
        <w:mirrorIndents/>
        <w:rPr>
          <w:sz w:val="17"/>
          <w:szCs w:val="17"/>
        </w:rPr>
      </w:pPr>
    </w:p>
    <w:p w14:paraId="2121389B" w14:textId="71930713" w:rsidR="00205B86" w:rsidRPr="00722521" w:rsidRDefault="00205B86" w:rsidP="00A903E6">
      <w:pPr>
        <w:mirrorIndents/>
        <w:rPr>
          <w:sz w:val="17"/>
          <w:szCs w:val="17"/>
        </w:rPr>
      </w:pPr>
    </w:p>
    <w:p w14:paraId="1950FC87" w14:textId="01AF4F10" w:rsidR="00205B86" w:rsidRPr="00722521" w:rsidRDefault="00205B86" w:rsidP="00427419">
      <w:pPr>
        <w:spacing w:after="200" w:line="276" w:lineRule="auto"/>
        <w:jc w:val="left"/>
        <w:rPr>
          <w:sz w:val="17"/>
          <w:szCs w:val="17"/>
        </w:rPr>
      </w:pPr>
    </w:p>
    <w:p w14:paraId="07E14CF9" w14:textId="77777777"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rPr>
        <w:t>1.8. Tasks related to consumer protection and financial activities</w:t>
      </w:r>
    </w:p>
    <w:p w14:paraId="22837D5A" w14:textId="77777777" w:rsidR="00BA160A" w:rsidRPr="00722521" w:rsidRDefault="00BA160A" w:rsidP="00A903E6">
      <w:pPr>
        <w:mirrorIndents/>
        <w:rPr>
          <w:sz w:val="17"/>
          <w:szCs w:val="17"/>
        </w:rPr>
      </w:pPr>
    </w:p>
    <w:p w14:paraId="296CA1A4" w14:textId="46924491"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Question 1.8.1 EIOPA: What are, in your view, EIOPA's main achievements in the consumer and investor protection area?</w:t>
      </w:r>
    </w:p>
    <w:p w14:paraId="09A8BEB0" w14:textId="3E8670B7" w:rsidR="00205B86" w:rsidRPr="00722521" w:rsidRDefault="00205B86" w:rsidP="00A903E6">
      <w:pPr>
        <w:mirrorIndents/>
        <w:rPr>
          <w:sz w:val="17"/>
          <w:szCs w:val="17"/>
        </w:rPr>
      </w:pPr>
    </w:p>
    <w:p w14:paraId="049C597C" w14:textId="1BBABD5B" w:rsidR="00280766" w:rsidRPr="00722521" w:rsidRDefault="00722521" w:rsidP="00280766">
      <w:pPr>
        <w:mirrorIndents/>
        <w:rPr>
          <w:sz w:val="17"/>
          <w:szCs w:val="17"/>
        </w:rPr>
      </w:pPr>
      <w:r>
        <w:rPr>
          <w:sz w:val="17"/>
          <w:szCs w:val="17"/>
        </w:rPr>
        <w:t>VVO</w:t>
      </w:r>
      <w:r w:rsidR="00280766" w:rsidRPr="00722521">
        <w:rPr>
          <w:sz w:val="17"/>
          <w:szCs w:val="17"/>
        </w:rPr>
        <w:t xml:space="preserve"> believes that EIOPA has a role to play in the area of information exchange and coordination between N</w:t>
      </w:r>
      <w:r w:rsidR="00DF4415" w:rsidRPr="00722521">
        <w:rPr>
          <w:sz w:val="17"/>
          <w:szCs w:val="17"/>
        </w:rPr>
        <w:t>S</w:t>
      </w:r>
      <w:r w:rsidR="00280766" w:rsidRPr="00722521">
        <w:rPr>
          <w:sz w:val="17"/>
          <w:szCs w:val="17"/>
        </w:rPr>
        <w:t xml:space="preserve">As in the area of consumer protection. </w:t>
      </w:r>
      <w:r w:rsidR="00DF4415" w:rsidRPr="00722521">
        <w:rPr>
          <w:sz w:val="17"/>
          <w:szCs w:val="17"/>
        </w:rPr>
        <w:t>A</w:t>
      </w:r>
      <w:r w:rsidR="00280766" w:rsidRPr="00722521">
        <w:rPr>
          <w:sz w:val="17"/>
          <w:szCs w:val="17"/>
        </w:rPr>
        <w:t xml:space="preserve">ssessing information from national markets and an EU-wide perspective, </w:t>
      </w:r>
      <w:r w:rsidR="00280766" w:rsidRPr="00722521">
        <w:rPr>
          <w:sz w:val="17"/>
          <w:szCs w:val="17"/>
        </w:rPr>
        <w:lastRenderedPageBreak/>
        <w:t>develop best practices and information for N</w:t>
      </w:r>
      <w:r w:rsidR="00DF4415" w:rsidRPr="00722521">
        <w:rPr>
          <w:sz w:val="17"/>
          <w:szCs w:val="17"/>
        </w:rPr>
        <w:t>S</w:t>
      </w:r>
      <w:r w:rsidR="00280766" w:rsidRPr="00722521">
        <w:rPr>
          <w:sz w:val="17"/>
          <w:szCs w:val="17"/>
        </w:rPr>
        <w:t>As are the most important activities in EIOPA’s consumer protection mandate.</w:t>
      </w:r>
    </w:p>
    <w:p w14:paraId="7D21A324" w14:textId="77777777" w:rsidR="00280766" w:rsidRPr="00722521" w:rsidRDefault="00280766" w:rsidP="00280766">
      <w:pPr>
        <w:mirrorIndents/>
        <w:rPr>
          <w:sz w:val="17"/>
          <w:szCs w:val="17"/>
        </w:rPr>
      </w:pPr>
    </w:p>
    <w:p w14:paraId="69D23168" w14:textId="4B8F5ACC" w:rsidR="00C71A37" w:rsidRPr="00722521" w:rsidRDefault="00280766" w:rsidP="00C71A37">
      <w:pPr>
        <w:mirrorIndents/>
        <w:rPr>
          <w:sz w:val="17"/>
          <w:szCs w:val="17"/>
        </w:rPr>
      </w:pPr>
      <w:r w:rsidRPr="00722521">
        <w:rPr>
          <w:sz w:val="17"/>
          <w:szCs w:val="17"/>
        </w:rPr>
        <w:t xml:space="preserve">EIOPA has played a role in the development and implementation of the EU retail financial services package. The outcome of these activities is mixed. The right balance between effective consumer protection and excessive regulatory burden will have to be found and the review of the package in 2022/2023 will be decisive for finding the right balance. </w:t>
      </w:r>
      <w:r w:rsidR="00C71A37" w:rsidRPr="00722521">
        <w:rPr>
          <w:sz w:val="17"/>
          <w:szCs w:val="17"/>
        </w:rPr>
        <w:t>The development and implementation of guidelines on product oversight &amp; governance ahead of the legislative process on the review of the insurance mediation Directive (which led to the IDD), was pre-emptive and burdensome.</w:t>
      </w:r>
    </w:p>
    <w:p w14:paraId="70FE6CB9" w14:textId="77777777" w:rsidR="00C71A37" w:rsidRPr="00722521" w:rsidRDefault="00C71A37" w:rsidP="00C71A37">
      <w:pPr>
        <w:mirrorIndents/>
        <w:rPr>
          <w:sz w:val="17"/>
          <w:szCs w:val="17"/>
        </w:rPr>
      </w:pPr>
    </w:p>
    <w:p w14:paraId="5176EA4F" w14:textId="3FBE4FCD" w:rsidR="00C71A37" w:rsidRPr="00722521" w:rsidRDefault="00280766" w:rsidP="00280766">
      <w:pPr>
        <w:mirrorIndents/>
        <w:rPr>
          <w:sz w:val="17"/>
          <w:szCs w:val="17"/>
        </w:rPr>
      </w:pPr>
      <w:r w:rsidRPr="00722521">
        <w:rPr>
          <w:sz w:val="17"/>
          <w:szCs w:val="17"/>
        </w:rPr>
        <w:t>It is critical that EIOPA adheres to the legislative process and focuses on the best, not the quickest, solution</w:t>
      </w:r>
      <w:r w:rsidR="00423A95" w:rsidRPr="00722521">
        <w:rPr>
          <w:sz w:val="17"/>
          <w:szCs w:val="17"/>
        </w:rPr>
        <w:t>s to ensure outputs that are fit for purpose, effectively increasing insurance consumer protection and appropriately considering insurance specific features</w:t>
      </w:r>
      <w:r w:rsidRPr="00722521">
        <w:rPr>
          <w:sz w:val="17"/>
          <w:szCs w:val="17"/>
        </w:rPr>
        <w:t xml:space="preserve">. </w:t>
      </w:r>
      <w:r w:rsidR="00C71A37" w:rsidRPr="00722521">
        <w:rPr>
          <w:sz w:val="17"/>
          <w:szCs w:val="17"/>
        </w:rPr>
        <w:t>To achieve these objectives, EIOPA will need to improve significantly the testing of its proposals on consumers and products in scope.</w:t>
      </w:r>
    </w:p>
    <w:p w14:paraId="5A202EF5" w14:textId="77777777" w:rsidR="00280766" w:rsidRPr="00722521" w:rsidRDefault="00280766" w:rsidP="00280766">
      <w:pPr>
        <w:mirrorIndents/>
        <w:rPr>
          <w:sz w:val="17"/>
          <w:szCs w:val="17"/>
        </w:rPr>
      </w:pPr>
    </w:p>
    <w:p w14:paraId="07D9B9F4" w14:textId="5A54632E" w:rsidR="004F1640" w:rsidRPr="00722521" w:rsidRDefault="00280766" w:rsidP="00280766">
      <w:pPr>
        <w:mirrorIndents/>
        <w:rPr>
          <w:sz w:val="17"/>
          <w:szCs w:val="17"/>
        </w:rPr>
      </w:pPr>
      <w:r w:rsidRPr="00722521">
        <w:rPr>
          <w:sz w:val="17"/>
          <w:szCs w:val="17"/>
        </w:rPr>
        <w:t xml:space="preserve">EIOPA’s consumer trends reports are a valuable source for information and for the observation of market developments which might present threats or challenges to consumers. </w:t>
      </w:r>
      <w:r w:rsidR="004F1640" w:rsidRPr="00722521">
        <w:rPr>
          <w:sz w:val="17"/>
          <w:szCs w:val="17"/>
        </w:rPr>
        <w:t>However,</w:t>
      </w:r>
      <w:r w:rsidR="00794014" w:rsidRPr="00722521">
        <w:rPr>
          <w:sz w:val="17"/>
          <w:szCs w:val="17"/>
        </w:rPr>
        <w:t xml:space="preserve"> findings should always be contextualised and explained to provide a fair view and analysis of the developments. Moreover, positive consumer trends should also be reported to ensure a balanced overview of developments across markets</w:t>
      </w:r>
      <w:r w:rsidR="004F1640" w:rsidRPr="00722521">
        <w:rPr>
          <w:sz w:val="17"/>
          <w:szCs w:val="17"/>
        </w:rPr>
        <w:t xml:space="preserve">. </w:t>
      </w:r>
      <w:r w:rsidR="00685564" w:rsidRPr="00722521">
        <w:rPr>
          <w:sz w:val="17"/>
          <w:szCs w:val="17"/>
        </w:rPr>
        <w:t>Furthermore, cultural and market differences as well as differences in consumer habits might set reasonable boundaries for the integrative process.</w:t>
      </w:r>
    </w:p>
    <w:p w14:paraId="469F0501" w14:textId="7B1793C5" w:rsidR="00205B86" w:rsidRPr="00722521" w:rsidRDefault="00205B86" w:rsidP="00A903E6">
      <w:pPr>
        <w:mirrorIndents/>
        <w:rPr>
          <w:sz w:val="17"/>
          <w:szCs w:val="17"/>
        </w:rPr>
      </w:pPr>
    </w:p>
    <w:p w14:paraId="528CF0F7" w14:textId="77777777" w:rsidR="00423A95" w:rsidRPr="00722521" w:rsidRDefault="00423A95" w:rsidP="00A903E6">
      <w:pPr>
        <w:mirrorIndents/>
        <w:rPr>
          <w:sz w:val="17"/>
          <w:szCs w:val="17"/>
        </w:rPr>
      </w:pPr>
    </w:p>
    <w:p w14:paraId="45F8D4AD" w14:textId="1B119518" w:rsidR="00205B86" w:rsidRPr="00722521" w:rsidRDefault="00205B86" w:rsidP="00A903E6">
      <w:pPr>
        <w:mirrorIndents/>
        <w:rPr>
          <w:sz w:val="17"/>
          <w:szCs w:val="17"/>
        </w:rPr>
      </w:pPr>
    </w:p>
    <w:p w14:paraId="6C1D2050" w14:textId="77777777" w:rsidR="00BA160A" w:rsidRPr="00722521" w:rsidRDefault="00BA160A" w:rsidP="00A903E6">
      <w:pPr>
        <w:mirrorIndents/>
        <w:rPr>
          <w:sz w:val="17"/>
          <w:szCs w:val="17"/>
        </w:rPr>
      </w:pPr>
    </w:p>
    <w:p w14:paraId="346D9B2B"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1.8.2 EIOPA: Please assess the impact of EIOPA's work on analysis of consumer trends, reviewing market conduct, developing indicators, contributing to level playing field, financial literacy and follow up to work in this area:</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530"/>
        <w:gridCol w:w="1331"/>
        <w:gridCol w:w="1330"/>
        <w:gridCol w:w="1330"/>
        <w:gridCol w:w="1330"/>
        <w:gridCol w:w="1330"/>
        <w:gridCol w:w="1330"/>
      </w:tblGrid>
      <w:tr w:rsidR="00BA160A" w:rsidRPr="00722521" w14:paraId="13976111" w14:textId="77777777" w:rsidTr="00205B86">
        <w:trPr>
          <w:trHeight w:hRule="exact" w:val="1958"/>
        </w:trPr>
        <w:tc>
          <w:tcPr>
            <w:tcW w:w="804" w:type="pct"/>
            <w:tcBorders>
              <w:top w:val="single" w:sz="8" w:space="0" w:color="BABABA"/>
              <w:left w:val="single" w:sz="8" w:space="0" w:color="BABABA"/>
              <w:bottom w:val="single" w:sz="8" w:space="0" w:color="BABABA"/>
              <w:right w:val="single" w:sz="8" w:space="0" w:color="BABABA"/>
            </w:tcBorders>
          </w:tcPr>
          <w:p w14:paraId="6BE68F12"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single" w:sz="8" w:space="0" w:color="BABABA"/>
              <w:right w:val="single" w:sz="8" w:space="0" w:color="BABABA"/>
            </w:tcBorders>
            <w:hideMark/>
          </w:tcPr>
          <w:p w14:paraId="070B8633" w14:textId="77777777" w:rsidR="00BA160A" w:rsidRPr="00722521" w:rsidRDefault="00BA160A" w:rsidP="00A903E6">
            <w:pPr>
              <w:pStyle w:val="TableParagraph"/>
              <w:mirrorIndents/>
              <w:rPr>
                <w:szCs w:val="17"/>
              </w:rPr>
            </w:pPr>
            <w:r w:rsidRPr="00722521">
              <w:rPr>
                <w:w w:val="99"/>
                <w:szCs w:val="17"/>
              </w:rPr>
              <w:t>1</w:t>
            </w:r>
          </w:p>
          <w:p w14:paraId="6028124A" w14:textId="77777777" w:rsidR="00BA160A" w:rsidRPr="00722521" w:rsidRDefault="00BA160A" w:rsidP="00A903E6">
            <w:pPr>
              <w:pStyle w:val="TableParagraph"/>
              <w:ind w:hanging="1"/>
              <w:mirrorIndents/>
              <w:rPr>
                <w:szCs w:val="17"/>
              </w:rPr>
            </w:pPr>
            <w:r w:rsidRPr="00722521">
              <w:rPr>
                <w:szCs w:val="17"/>
              </w:rPr>
              <w:t>(less significant impact</w:t>
            </w:r>
          </w:p>
        </w:tc>
        <w:tc>
          <w:tcPr>
            <w:tcW w:w="699" w:type="pct"/>
            <w:tcBorders>
              <w:top w:val="single" w:sz="8" w:space="0" w:color="BABABA"/>
              <w:left w:val="single" w:sz="8" w:space="0" w:color="BABABA"/>
              <w:bottom w:val="single" w:sz="8" w:space="0" w:color="BABABA"/>
              <w:right w:val="single" w:sz="8" w:space="0" w:color="BABABA"/>
            </w:tcBorders>
            <w:hideMark/>
          </w:tcPr>
          <w:p w14:paraId="7C5290D3" w14:textId="77777777" w:rsidR="00BA160A" w:rsidRPr="00722521" w:rsidRDefault="00BA160A" w:rsidP="00A903E6">
            <w:pPr>
              <w:pStyle w:val="TableParagraph"/>
              <w:mirrorIndents/>
              <w:rPr>
                <w:szCs w:val="17"/>
              </w:rPr>
            </w:pPr>
            <w:r w:rsidRPr="00722521">
              <w:rPr>
                <w:w w:val="99"/>
                <w:szCs w:val="17"/>
              </w:rPr>
              <w:t>2</w:t>
            </w:r>
          </w:p>
          <w:p w14:paraId="068AD6BB" w14:textId="77777777" w:rsidR="00BA160A" w:rsidRPr="00722521" w:rsidRDefault="00BA160A" w:rsidP="00A903E6">
            <w:pPr>
              <w:pStyle w:val="TableParagraph"/>
              <w:ind w:hanging="1"/>
              <w:mirrorIndents/>
              <w:rPr>
                <w:szCs w:val="17"/>
              </w:rPr>
            </w:pPr>
            <w:r w:rsidRPr="00722521">
              <w:rPr>
                <w:szCs w:val="17"/>
              </w:rPr>
              <w:t>(not so significant impact)</w:t>
            </w:r>
          </w:p>
        </w:tc>
        <w:tc>
          <w:tcPr>
            <w:tcW w:w="699" w:type="pct"/>
            <w:tcBorders>
              <w:top w:val="single" w:sz="8" w:space="0" w:color="BABABA"/>
              <w:left w:val="single" w:sz="8" w:space="0" w:color="BABABA"/>
              <w:bottom w:val="single" w:sz="8" w:space="0" w:color="BABABA"/>
              <w:right w:val="single" w:sz="8" w:space="0" w:color="BABABA"/>
            </w:tcBorders>
            <w:hideMark/>
          </w:tcPr>
          <w:p w14:paraId="175C82F3" w14:textId="77777777" w:rsidR="00BA160A" w:rsidRPr="00722521" w:rsidRDefault="00BA160A" w:rsidP="00A903E6">
            <w:pPr>
              <w:pStyle w:val="TableParagraph"/>
              <w:mirrorIndents/>
              <w:rPr>
                <w:szCs w:val="17"/>
              </w:rPr>
            </w:pPr>
            <w:r w:rsidRPr="00722521">
              <w:rPr>
                <w:w w:val="99"/>
                <w:szCs w:val="17"/>
              </w:rPr>
              <w:t>3</w:t>
            </w:r>
          </w:p>
          <w:p w14:paraId="531874E6" w14:textId="77777777" w:rsidR="00BA160A" w:rsidRPr="00722521" w:rsidRDefault="00BA160A" w:rsidP="00A903E6">
            <w:pPr>
              <w:pStyle w:val="TableParagraph"/>
              <w:mirrorIndents/>
              <w:rPr>
                <w:szCs w:val="17"/>
              </w:rPr>
            </w:pPr>
            <w:r w:rsidRPr="00722521">
              <w:rPr>
                <w:szCs w:val="17"/>
              </w:rPr>
              <w:t>(neutral)</w:t>
            </w:r>
          </w:p>
        </w:tc>
        <w:tc>
          <w:tcPr>
            <w:tcW w:w="699" w:type="pct"/>
            <w:tcBorders>
              <w:top w:val="single" w:sz="8" w:space="0" w:color="BABABA"/>
              <w:left w:val="single" w:sz="8" w:space="0" w:color="BABABA"/>
              <w:bottom w:val="single" w:sz="8" w:space="0" w:color="BABABA"/>
              <w:right w:val="single" w:sz="8" w:space="0" w:color="BABABA"/>
            </w:tcBorders>
            <w:hideMark/>
          </w:tcPr>
          <w:p w14:paraId="6C49867A" w14:textId="77777777" w:rsidR="00BA160A" w:rsidRPr="00722521" w:rsidRDefault="00BA160A" w:rsidP="00A903E6">
            <w:pPr>
              <w:pStyle w:val="TableParagraph"/>
              <w:mirrorIndents/>
              <w:rPr>
                <w:szCs w:val="17"/>
              </w:rPr>
            </w:pPr>
            <w:r w:rsidRPr="00722521">
              <w:rPr>
                <w:w w:val="99"/>
                <w:szCs w:val="17"/>
              </w:rPr>
              <w:t>4</w:t>
            </w:r>
          </w:p>
          <w:p w14:paraId="5BB8D7E0" w14:textId="77777777" w:rsidR="00BA160A" w:rsidRPr="00722521" w:rsidRDefault="00BA160A" w:rsidP="00A903E6">
            <w:pPr>
              <w:pStyle w:val="TableParagraph"/>
              <w:mirrorIndents/>
              <w:rPr>
                <w:szCs w:val="17"/>
              </w:rPr>
            </w:pPr>
            <w:r w:rsidRPr="00722521">
              <w:rPr>
                <w:szCs w:val="17"/>
              </w:rPr>
              <w:t>(significant impact)</w:t>
            </w:r>
          </w:p>
        </w:tc>
        <w:tc>
          <w:tcPr>
            <w:tcW w:w="699" w:type="pct"/>
            <w:tcBorders>
              <w:top w:val="single" w:sz="8" w:space="0" w:color="BABABA"/>
              <w:left w:val="single" w:sz="8" w:space="0" w:color="BABABA"/>
              <w:bottom w:val="single" w:sz="8" w:space="0" w:color="BABABA"/>
              <w:right w:val="single" w:sz="8" w:space="0" w:color="BABABA"/>
            </w:tcBorders>
            <w:hideMark/>
          </w:tcPr>
          <w:p w14:paraId="5D3E9965" w14:textId="77777777" w:rsidR="00BA160A" w:rsidRPr="00722521" w:rsidRDefault="00BA160A" w:rsidP="00A903E6">
            <w:pPr>
              <w:pStyle w:val="TableParagraph"/>
              <w:mirrorIndents/>
              <w:rPr>
                <w:szCs w:val="17"/>
              </w:rPr>
            </w:pPr>
            <w:r w:rsidRPr="00722521">
              <w:rPr>
                <w:w w:val="99"/>
                <w:szCs w:val="17"/>
              </w:rPr>
              <w:t>5</w:t>
            </w:r>
          </w:p>
          <w:p w14:paraId="458F9C8B" w14:textId="77777777" w:rsidR="00BA160A" w:rsidRPr="00722521" w:rsidRDefault="00BA160A" w:rsidP="00A903E6">
            <w:pPr>
              <w:pStyle w:val="TableParagraph"/>
              <w:mirrorIndents/>
              <w:rPr>
                <w:szCs w:val="17"/>
              </w:rPr>
            </w:pPr>
            <w:r w:rsidRPr="00722521">
              <w:rPr>
                <w:szCs w:val="17"/>
              </w:rPr>
              <w:t>(most significant impact)</w:t>
            </w:r>
          </w:p>
        </w:tc>
        <w:tc>
          <w:tcPr>
            <w:tcW w:w="699" w:type="pct"/>
            <w:tcBorders>
              <w:top w:val="single" w:sz="8" w:space="0" w:color="BABABA"/>
              <w:left w:val="single" w:sz="8" w:space="0" w:color="BABABA"/>
              <w:bottom w:val="single" w:sz="8" w:space="0" w:color="BABABA"/>
              <w:right w:val="single" w:sz="8" w:space="0" w:color="BABABA"/>
            </w:tcBorders>
            <w:hideMark/>
          </w:tcPr>
          <w:p w14:paraId="31756D12"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00E60696" w14:textId="77777777" w:rsidR="00BA160A" w:rsidRPr="00722521" w:rsidRDefault="00BA160A" w:rsidP="00A903E6">
            <w:pPr>
              <w:pStyle w:val="TableParagraph"/>
              <w:ind w:hanging="1"/>
              <w:mirrorIndents/>
              <w:rPr>
                <w:szCs w:val="17"/>
              </w:rPr>
            </w:pPr>
            <w:r w:rsidRPr="00722521">
              <w:rPr>
                <w:szCs w:val="17"/>
              </w:rPr>
              <w:t>Not applicable</w:t>
            </w:r>
          </w:p>
        </w:tc>
      </w:tr>
      <w:tr w:rsidR="00BA160A" w:rsidRPr="00722521" w14:paraId="68CC46BB" w14:textId="77777777" w:rsidTr="00205B86">
        <w:trPr>
          <w:trHeight w:hRule="exact" w:val="1226"/>
        </w:trPr>
        <w:tc>
          <w:tcPr>
            <w:tcW w:w="804" w:type="pct"/>
            <w:tcBorders>
              <w:top w:val="single" w:sz="8" w:space="0" w:color="BABABA"/>
              <w:left w:val="single" w:sz="8" w:space="0" w:color="BABABA"/>
              <w:bottom w:val="single" w:sz="8" w:space="0" w:color="BABABA"/>
              <w:right w:val="single" w:sz="8" w:space="0" w:color="BABABA"/>
            </w:tcBorders>
            <w:hideMark/>
          </w:tcPr>
          <w:p w14:paraId="317381F9" w14:textId="77777777" w:rsidR="00BA160A" w:rsidRPr="00722521" w:rsidRDefault="00BA160A" w:rsidP="00A903E6">
            <w:pPr>
              <w:pStyle w:val="TableParagraph"/>
              <w:mirrorIndents/>
              <w:rPr>
                <w:szCs w:val="17"/>
              </w:rPr>
            </w:pPr>
            <w:r w:rsidRPr="00722521">
              <w:rPr>
                <w:w w:val="105"/>
                <w:szCs w:val="17"/>
              </w:rPr>
              <w:t>Analysis of</w:t>
            </w:r>
            <w:r w:rsidRPr="00722521">
              <w:rPr>
                <w:w w:val="102"/>
                <w:szCs w:val="17"/>
              </w:rPr>
              <w:t xml:space="preserve"> </w:t>
            </w:r>
            <w:r w:rsidRPr="00722521">
              <w:rPr>
                <w:w w:val="105"/>
                <w:szCs w:val="17"/>
              </w:rPr>
              <w:t>consumer trends</w:t>
            </w:r>
          </w:p>
        </w:tc>
        <w:tc>
          <w:tcPr>
            <w:tcW w:w="699" w:type="pct"/>
            <w:tcBorders>
              <w:top w:val="single" w:sz="8" w:space="0" w:color="BABABA"/>
              <w:left w:val="single" w:sz="8" w:space="0" w:color="BABABA"/>
              <w:bottom w:val="single" w:sz="8" w:space="0" w:color="BABABA"/>
              <w:right w:val="single" w:sz="8" w:space="0" w:color="BABABA"/>
            </w:tcBorders>
          </w:tcPr>
          <w:p w14:paraId="6BFD7C29"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40F9E60"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07772149"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D860A34" w14:textId="2E0EC5CE" w:rsidR="00BA160A" w:rsidRPr="00722521" w:rsidRDefault="00280766"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1CB27878"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922D82F" w14:textId="77777777" w:rsidR="00BA160A" w:rsidRPr="00722521" w:rsidRDefault="00BA160A" w:rsidP="00A903E6">
            <w:pPr>
              <w:pStyle w:val="TableParagraph"/>
              <w:mirrorIndents/>
              <w:rPr>
                <w:b/>
                <w:szCs w:val="17"/>
              </w:rPr>
            </w:pPr>
          </w:p>
        </w:tc>
      </w:tr>
      <w:tr w:rsidR="00BA160A" w:rsidRPr="00722521" w14:paraId="522DEC91" w14:textId="77777777" w:rsidTr="00205B86">
        <w:trPr>
          <w:trHeight w:hRule="exact" w:val="1225"/>
        </w:trPr>
        <w:tc>
          <w:tcPr>
            <w:tcW w:w="804" w:type="pct"/>
            <w:tcBorders>
              <w:top w:val="single" w:sz="8" w:space="0" w:color="BABABA"/>
              <w:left w:val="single" w:sz="8" w:space="0" w:color="BABABA"/>
              <w:bottom w:val="single" w:sz="8" w:space="0" w:color="BABABA"/>
              <w:right w:val="single" w:sz="8" w:space="0" w:color="BABABA"/>
            </w:tcBorders>
            <w:hideMark/>
          </w:tcPr>
          <w:p w14:paraId="7FC274F5" w14:textId="77777777" w:rsidR="00BA160A" w:rsidRPr="00722521" w:rsidRDefault="00BA160A" w:rsidP="00A903E6">
            <w:pPr>
              <w:pStyle w:val="TableParagraph"/>
              <w:mirrorIndents/>
              <w:rPr>
                <w:szCs w:val="17"/>
              </w:rPr>
            </w:pPr>
            <w:r w:rsidRPr="00722521">
              <w:rPr>
                <w:szCs w:val="17"/>
              </w:rPr>
              <w:t xml:space="preserve">Reviewing </w:t>
            </w:r>
            <w:r w:rsidRPr="00722521">
              <w:rPr>
                <w:w w:val="105"/>
                <w:szCs w:val="17"/>
              </w:rPr>
              <w:t>market conduct</w:t>
            </w:r>
          </w:p>
        </w:tc>
        <w:tc>
          <w:tcPr>
            <w:tcW w:w="699" w:type="pct"/>
            <w:tcBorders>
              <w:top w:val="single" w:sz="8" w:space="0" w:color="BABABA"/>
              <w:left w:val="single" w:sz="8" w:space="0" w:color="BABABA"/>
              <w:bottom w:val="single" w:sz="8" w:space="0" w:color="BABABA"/>
              <w:right w:val="single" w:sz="8" w:space="0" w:color="BABABA"/>
            </w:tcBorders>
          </w:tcPr>
          <w:p w14:paraId="64265D94"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8FBDF36"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6ECEF42"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80DC73C" w14:textId="193733AD" w:rsidR="00BA160A" w:rsidRPr="00722521" w:rsidRDefault="00280766"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53341898"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0C0FB8B7" w14:textId="77777777" w:rsidR="00BA160A" w:rsidRPr="00722521" w:rsidRDefault="00BA160A" w:rsidP="00A903E6">
            <w:pPr>
              <w:pStyle w:val="TableParagraph"/>
              <w:mirrorIndents/>
              <w:rPr>
                <w:b/>
                <w:szCs w:val="17"/>
              </w:rPr>
            </w:pPr>
          </w:p>
        </w:tc>
      </w:tr>
      <w:tr w:rsidR="00BA160A" w:rsidRPr="00722521" w14:paraId="479F64E1" w14:textId="77777777" w:rsidTr="00205B86">
        <w:trPr>
          <w:trHeight w:hRule="exact" w:val="929"/>
        </w:trPr>
        <w:tc>
          <w:tcPr>
            <w:tcW w:w="804" w:type="pct"/>
            <w:tcBorders>
              <w:top w:val="single" w:sz="8" w:space="0" w:color="BABABA"/>
              <w:left w:val="single" w:sz="8" w:space="0" w:color="BABABA"/>
              <w:bottom w:val="single" w:sz="8" w:space="0" w:color="BABABA"/>
              <w:right w:val="single" w:sz="8" w:space="0" w:color="BABABA"/>
            </w:tcBorders>
            <w:hideMark/>
          </w:tcPr>
          <w:p w14:paraId="46D95755" w14:textId="77777777" w:rsidR="00BA160A" w:rsidRPr="00722521" w:rsidRDefault="00BA160A" w:rsidP="00A903E6">
            <w:pPr>
              <w:pStyle w:val="TableParagraph"/>
              <w:mirrorIndents/>
              <w:rPr>
                <w:szCs w:val="17"/>
              </w:rPr>
            </w:pPr>
            <w:r w:rsidRPr="00722521">
              <w:rPr>
                <w:szCs w:val="17"/>
              </w:rPr>
              <w:t>Developing indicators</w:t>
            </w:r>
          </w:p>
        </w:tc>
        <w:tc>
          <w:tcPr>
            <w:tcW w:w="699" w:type="pct"/>
            <w:tcBorders>
              <w:top w:val="single" w:sz="8" w:space="0" w:color="BABABA"/>
              <w:left w:val="single" w:sz="8" w:space="0" w:color="BABABA"/>
              <w:bottom w:val="single" w:sz="8" w:space="0" w:color="BABABA"/>
              <w:right w:val="single" w:sz="8" w:space="0" w:color="BABABA"/>
            </w:tcBorders>
          </w:tcPr>
          <w:p w14:paraId="383F70A1"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D6B7344"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4D230498"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F29E07E" w14:textId="3E3D4022" w:rsidR="00BA160A" w:rsidRPr="00722521" w:rsidRDefault="00280766"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3DB02614"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A1375EA" w14:textId="77777777" w:rsidR="00BA160A" w:rsidRPr="00722521" w:rsidRDefault="00BA160A" w:rsidP="00A903E6">
            <w:pPr>
              <w:pStyle w:val="TableParagraph"/>
              <w:mirrorIndents/>
              <w:rPr>
                <w:b/>
                <w:szCs w:val="17"/>
              </w:rPr>
            </w:pPr>
          </w:p>
        </w:tc>
      </w:tr>
      <w:tr w:rsidR="00BA160A" w:rsidRPr="00722521" w14:paraId="1BEBAE9F" w14:textId="77777777" w:rsidTr="00205B86">
        <w:trPr>
          <w:trHeight w:hRule="exact" w:val="1226"/>
        </w:trPr>
        <w:tc>
          <w:tcPr>
            <w:tcW w:w="804" w:type="pct"/>
            <w:tcBorders>
              <w:top w:val="single" w:sz="8" w:space="0" w:color="BABABA"/>
              <w:left w:val="single" w:sz="8" w:space="0" w:color="BABABA"/>
              <w:bottom w:val="single" w:sz="8" w:space="0" w:color="BABABA"/>
              <w:right w:val="single" w:sz="8" w:space="0" w:color="BABABA"/>
            </w:tcBorders>
            <w:hideMark/>
          </w:tcPr>
          <w:p w14:paraId="48EDE188" w14:textId="77777777" w:rsidR="00BA160A" w:rsidRPr="00722521" w:rsidRDefault="00BA160A" w:rsidP="00A903E6">
            <w:pPr>
              <w:pStyle w:val="TableParagraph"/>
              <w:mirrorIndents/>
              <w:rPr>
                <w:szCs w:val="17"/>
              </w:rPr>
            </w:pPr>
            <w:r w:rsidRPr="00722521">
              <w:rPr>
                <w:szCs w:val="17"/>
              </w:rPr>
              <w:lastRenderedPageBreak/>
              <w:t>Contributing to a level playing field</w:t>
            </w:r>
          </w:p>
        </w:tc>
        <w:tc>
          <w:tcPr>
            <w:tcW w:w="699" w:type="pct"/>
            <w:tcBorders>
              <w:top w:val="single" w:sz="8" w:space="0" w:color="BABABA"/>
              <w:left w:val="single" w:sz="8" w:space="0" w:color="BABABA"/>
              <w:bottom w:val="single" w:sz="8" w:space="0" w:color="BABABA"/>
              <w:right w:val="single" w:sz="8" w:space="0" w:color="BABABA"/>
            </w:tcBorders>
          </w:tcPr>
          <w:p w14:paraId="6F381212"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71797A68"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520C0A7"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BA3B915"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0FB16D31" w14:textId="2DCFBD16" w:rsidR="00BA160A" w:rsidRPr="00722521" w:rsidRDefault="00280766"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0D8E01E7" w14:textId="77777777" w:rsidR="00BA160A" w:rsidRPr="00722521" w:rsidRDefault="00BA160A" w:rsidP="00A903E6">
            <w:pPr>
              <w:pStyle w:val="TableParagraph"/>
              <w:mirrorIndents/>
              <w:rPr>
                <w:b/>
                <w:szCs w:val="17"/>
              </w:rPr>
            </w:pPr>
          </w:p>
        </w:tc>
      </w:tr>
      <w:tr w:rsidR="00BA160A" w:rsidRPr="00722521" w14:paraId="2F754B69" w14:textId="77777777" w:rsidTr="00205B86">
        <w:trPr>
          <w:trHeight w:hRule="exact" w:val="929"/>
        </w:trPr>
        <w:tc>
          <w:tcPr>
            <w:tcW w:w="804" w:type="pct"/>
            <w:tcBorders>
              <w:top w:val="single" w:sz="8" w:space="0" w:color="BABABA"/>
              <w:left w:val="single" w:sz="8" w:space="0" w:color="BABABA"/>
              <w:bottom w:val="single" w:sz="8" w:space="0" w:color="BABABA"/>
              <w:right w:val="single" w:sz="8" w:space="0" w:color="BABABA"/>
            </w:tcBorders>
            <w:hideMark/>
          </w:tcPr>
          <w:p w14:paraId="3B96C9FA" w14:textId="77777777" w:rsidR="00BA160A" w:rsidRPr="00722521" w:rsidRDefault="00BA160A" w:rsidP="00A903E6">
            <w:pPr>
              <w:pStyle w:val="TableParagraph"/>
              <w:mirrorIndents/>
              <w:rPr>
                <w:szCs w:val="17"/>
              </w:rPr>
            </w:pPr>
            <w:r w:rsidRPr="00722521">
              <w:rPr>
                <w:szCs w:val="17"/>
              </w:rPr>
              <w:t>Financial literacy</w:t>
            </w:r>
          </w:p>
        </w:tc>
        <w:tc>
          <w:tcPr>
            <w:tcW w:w="699" w:type="pct"/>
            <w:tcBorders>
              <w:top w:val="single" w:sz="8" w:space="0" w:color="BABABA"/>
              <w:left w:val="single" w:sz="8" w:space="0" w:color="BABABA"/>
              <w:bottom w:val="single" w:sz="8" w:space="0" w:color="BABABA"/>
              <w:right w:val="single" w:sz="8" w:space="0" w:color="BABABA"/>
            </w:tcBorders>
          </w:tcPr>
          <w:p w14:paraId="49EAD843"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FC5AD76"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9B02653" w14:textId="624353BB" w:rsidR="00BA160A" w:rsidRPr="00722521" w:rsidRDefault="00280766"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103A6BBB"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02D64B75"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7174F8AF" w14:textId="77777777" w:rsidR="00BA160A" w:rsidRPr="00722521" w:rsidRDefault="00BA160A" w:rsidP="00A903E6">
            <w:pPr>
              <w:pStyle w:val="TableParagraph"/>
              <w:mirrorIndents/>
              <w:rPr>
                <w:b/>
                <w:szCs w:val="17"/>
              </w:rPr>
            </w:pPr>
          </w:p>
        </w:tc>
      </w:tr>
      <w:tr w:rsidR="00205B86" w:rsidRPr="00722521" w14:paraId="2C28B62D" w14:textId="77777777" w:rsidTr="00205B86">
        <w:trPr>
          <w:trHeight w:hRule="exact" w:val="929"/>
        </w:trPr>
        <w:tc>
          <w:tcPr>
            <w:tcW w:w="804" w:type="pct"/>
            <w:tcBorders>
              <w:top w:val="single" w:sz="8" w:space="0" w:color="BABABA"/>
              <w:left w:val="single" w:sz="8" w:space="0" w:color="BABABA"/>
              <w:bottom w:val="single" w:sz="8" w:space="0" w:color="BABABA"/>
              <w:right w:val="single" w:sz="8" w:space="0" w:color="BABABA"/>
            </w:tcBorders>
          </w:tcPr>
          <w:p w14:paraId="0781F424" w14:textId="335629F3" w:rsidR="00205B86" w:rsidRPr="00722521" w:rsidRDefault="00205B86" w:rsidP="00A903E6">
            <w:pPr>
              <w:pStyle w:val="TableParagraph"/>
              <w:mirrorIndents/>
              <w:rPr>
                <w:szCs w:val="17"/>
              </w:rPr>
            </w:pPr>
            <w:r w:rsidRPr="00722521">
              <w:rPr>
                <w:szCs w:val="17"/>
              </w:rPr>
              <w:t>Follow up to work in this area</w:t>
            </w:r>
          </w:p>
        </w:tc>
        <w:tc>
          <w:tcPr>
            <w:tcW w:w="699" w:type="pct"/>
            <w:tcBorders>
              <w:top w:val="single" w:sz="8" w:space="0" w:color="BABABA"/>
              <w:left w:val="single" w:sz="8" w:space="0" w:color="BABABA"/>
              <w:bottom w:val="single" w:sz="8" w:space="0" w:color="BABABA"/>
              <w:right w:val="single" w:sz="8" w:space="0" w:color="BABABA"/>
            </w:tcBorders>
          </w:tcPr>
          <w:p w14:paraId="1F7FCE04" w14:textId="77777777" w:rsidR="00205B86" w:rsidRPr="00722521" w:rsidRDefault="00205B86"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050F2721" w14:textId="77777777" w:rsidR="00205B86" w:rsidRPr="00722521" w:rsidRDefault="00205B86"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315CCEE4" w14:textId="77777777" w:rsidR="00205B86" w:rsidRPr="00722521" w:rsidRDefault="00205B86"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079D99E" w14:textId="77777777" w:rsidR="00205B86" w:rsidRPr="00722521" w:rsidRDefault="00205B86"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D9E659A" w14:textId="77777777" w:rsidR="00205B86" w:rsidRPr="00722521" w:rsidRDefault="00205B86"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70ACB1AA" w14:textId="09FF226C" w:rsidR="00205B86" w:rsidRPr="00722521" w:rsidRDefault="00280766" w:rsidP="00A903E6">
            <w:pPr>
              <w:pStyle w:val="TableParagraph"/>
              <w:mirrorIndents/>
              <w:rPr>
                <w:b/>
                <w:szCs w:val="17"/>
              </w:rPr>
            </w:pPr>
            <w:r w:rsidRPr="00722521">
              <w:rPr>
                <w:b/>
                <w:szCs w:val="17"/>
              </w:rPr>
              <w:t>x</w:t>
            </w:r>
          </w:p>
        </w:tc>
      </w:tr>
    </w:tbl>
    <w:p w14:paraId="33B997EC" w14:textId="77777777" w:rsidR="00205B86" w:rsidRPr="00722521" w:rsidRDefault="00205B86" w:rsidP="00A903E6">
      <w:pPr>
        <w:pStyle w:val="Textkrper"/>
        <w:mirrorIndents/>
        <w:rPr>
          <w:rFonts w:ascii="Verdana" w:hAnsi="Verdana"/>
          <w:sz w:val="17"/>
          <w:szCs w:val="17"/>
        </w:rPr>
      </w:pPr>
    </w:p>
    <w:p w14:paraId="3CD7003D" w14:textId="241AD066"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1.8.2 for EIOPA:</w:t>
      </w:r>
    </w:p>
    <w:p w14:paraId="12C9CB33" w14:textId="32A4AC54" w:rsidR="00BA160A" w:rsidRPr="00722521" w:rsidRDefault="00BA160A" w:rsidP="00A903E6">
      <w:pPr>
        <w:mirrorIndents/>
        <w:rPr>
          <w:sz w:val="17"/>
          <w:szCs w:val="17"/>
        </w:rPr>
      </w:pPr>
    </w:p>
    <w:p w14:paraId="00F7D810" w14:textId="04E86210" w:rsidR="00280766" w:rsidRPr="00722521" w:rsidRDefault="00280766" w:rsidP="00280766">
      <w:pPr>
        <w:mirrorIndents/>
        <w:rPr>
          <w:sz w:val="17"/>
          <w:szCs w:val="17"/>
        </w:rPr>
      </w:pPr>
      <w:r w:rsidRPr="00722521">
        <w:rPr>
          <w:sz w:val="17"/>
          <w:szCs w:val="17"/>
        </w:rPr>
        <w:t xml:space="preserve">As outlined in its answer to question 1.8.1, </w:t>
      </w:r>
      <w:r w:rsidR="00722521">
        <w:rPr>
          <w:sz w:val="17"/>
          <w:szCs w:val="17"/>
        </w:rPr>
        <w:t>VVO</w:t>
      </w:r>
      <w:r w:rsidRPr="00722521">
        <w:rPr>
          <w:sz w:val="17"/>
          <w:szCs w:val="17"/>
        </w:rPr>
        <w:t xml:space="preserve"> believes that the most important contribution of EIOPA to a consistent consumer protection is the information collection, analysis and coordination between NCAs. Developing indicators for measuring the effectiveness of policy measures and identifying best practices can facilitate regulatory and supervisory level-playing field.</w:t>
      </w:r>
    </w:p>
    <w:p w14:paraId="3F28976F" w14:textId="77777777" w:rsidR="00280766" w:rsidRPr="00722521" w:rsidRDefault="00280766" w:rsidP="00280766">
      <w:pPr>
        <w:mirrorIndents/>
        <w:rPr>
          <w:sz w:val="17"/>
          <w:szCs w:val="17"/>
        </w:rPr>
      </w:pPr>
    </w:p>
    <w:p w14:paraId="13464AF4" w14:textId="559B2AC3" w:rsidR="00280766" w:rsidRPr="00722521" w:rsidRDefault="00280766" w:rsidP="00280766">
      <w:pPr>
        <w:mirrorIndents/>
        <w:rPr>
          <w:sz w:val="17"/>
          <w:szCs w:val="17"/>
        </w:rPr>
      </w:pPr>
      <w:r w:rsidRPr="00722521">
        <w:rPr>
          <w:sz w:val="17"/>
          <w:szCs w:val="17"/>
        </w:rPr>
        <w:t xml:space="preserve">On consumer protection, it is important that a one-size-fits-all approach with the aim to streamline products and policies must not be the desired outcome. </w:t>
      </w:r>
    </w:p>
    <w:p w14:paraId="7273EDB3" w14:textId="71769506" w:rsidR="00205B86" w:rsidRPr="00722521" w:rsidRDefault="00205B86" w:rsidP="00A903E6">
      <w:pPr>
        <w:mirrorIndents/>
        <w:rPr>
          <w:sz w:val="17"/>
          <w:szCs w:val="17"/>
        </w:rPr>
      </w:pPr>
    </w:p>
    <w:p w14:paraId="6D4006A1" w14:textId="77777777" w:rsidR="00205B86" w:rsidRPr="00722521" w:rsidRDefault="00205B86" w:rsidP="00A903E6">
      <w:pPr>
        <w:mirrorIndents/>
        <w:rPr>
          <w:sz w:val="17"/>
          <w:szCs w:val="17"/>
        </w:rPr>
      </w:pPr>
    </w:p>
    <w:p w14:paraId="7BD916DD" w14:textId="77703EFC" w:rsidR="00205B86" w:rsidRPr="00722521" w:rsidRDefault="00BA160A" w:rsidP="00205B86">
      <w:pPr>
        <w:pStyle w:val="Textkrper"/>
        <w:tabs>
          <w:tab w:val="left" w:pos="3079"/>
          <w:tab w:val="left" w:pos="4555"/>
          <w:tab w:val="left" w:pos="7104"/>
          <w:tab w:val="left" w:pos="9488"/>
        </w:tabs>
        <w:ind w:left="0"/>
        <w:mirrorIndents/>
        <w:rPr>
          <w:rFonts w:ascii="Verdana" w:hAnsi="Verdana"/>
          <w:sz w:val="17"/>
          <w:szCs w:val="17"/>
        </w:rPr>
      </w:pPr>
      <w:r w:rsidRPr="00722521">
        <w:rPr>
          <w:rFonts w:ascii="Verdana" w:hAnsi="Verdana"/>
          <w:sz w:val="17"/>
          <w:szCs w:val="17"/>
          <w:highlight w:val="lightGray"/>
        </w:rPr>
        <w:t xml:space="preserve">Question 1.8.3 In the framework of 2019 ESAs’ review, the ESAs can now, where sectoral legislation enables them, use their product intervention powers for practices and products that cause consumer harm and after two prolongations of six months, an automatic one-year prolongation of the </w:t>
      </w:r>
      <w:r w:rsidR="00205B86" w:rsidRPr="00722521">
        <w:rPr>
          <w:rFonts w:ascii="Verdana" w:hAnsi="Verdana"/>
          <w:sz w:val="17"/>
          <w:szCs w:val="17"/>
          <w:highlight w:val="lightGray"/>
        </w:rPr>
        <w:t>prohibition is possible (Article 9.5):</w:t>
      </w:r>
    </w:p>
    <w:p w14:paraId="3CBD5EEC" w14:textId="77777777" w:rsidR="00205B86" w:rsidRPr="00722521" w:rsidRDefault="00205B86" w:rsidP="00205B86">
      <w:pPr>
        <w:pStyle w:val="Textkrper"/>
        <w:tabs>
          <w:tab w:val="left" w:pos="3079"/>
          <w:tab w:val="left" w:pos="4555"/>
          <w:tab w:val="left" w:pos="7104"/>
          <w:tab w:val="left" w:pos="9488"/>
        </w:tabs>
        <w:ind w:left="0"/>
        <w:mirrorIndents/>
        <w:rPr>
          <w:rFonts w:ascii="Verdana" w:hAnsi="Verdana"/>
          <w:sz w:val="17"/>
          <w:szCs w:val="17"/>
        </w:rPr>
      </w:pPr>
    </w:p>
    <w:p w14:paraId="4FEADE43" w14:textId="47EF4BD1" w:rsidR="00BA160A" w:rsidRPr="00722521" w:rsidRDefault="00205B86" w:rsidP="00205B86">
      <w:pPr>
        <w:pStyle w:val="Textkrper"/>
        <w:tabs>
          <w:tab w:val="left" w:pos="3079"/>
          <w:tab w:val="left" w:pos="4555"/>
          <w:tab w:val="left" w:pos="7104"/>
          <w:tab w:val="left" w:pos="9488"/>
        </w:tabs>
        <w:ind w:left="0"/>
        <w:mirrorIndents/>
        <w:rPr>
          <w:rFonts w:ascii="Verdana" w:hAnsi="Verdana"/>
          <w:sz w:val="17"/>
          <w:szCs w:val="17"/>
        </w:rPr>
      </w:pPr>
      <w:r w:rsidRPr="00722521">
        <w:rPr>
          <w:rFonts w:ascii="Verdana" w:hAnsi="Verdana"/>
          <w:sz w:val="17"/>
          <w:szCs w:val="17"/>
          <w:highlight w:val="lightGray"/>
        </w:rPr>
        <w:t>I</w:t>
      </w:r>
      <w:r w:rsidR="00BA160A" w:rsidRPr="00722521">
        <w:rPr>
          <w:rFonts w:ascii="Verdana" w:hAnsi="Verdana"/>
          <w:sz w:val="17"/>
          <w:szCs w:val="17"/>
          <w:highlight w:val="lightGray"/>
        </w:rPr>
        <w:t>n your view, are these powers effective for their intended purpose?</w:t>
      </w:r>
    </w:p>
    <w:p w14:paraId="21578435" w14:textId="29A5E0BA" w:rsidR="00205B86" w:rsidRPr="00722521" w:rsidRDefault="00BA160A" w:rsidP="00205B86">
      <w:pPr>
        <w:pStyle w:val="CEABullet-Level1"/>
        <w:rPr>
          <w:color w:val="auto"/>
          <w:highlight w:val="lightGray"/>
        </w:rPr>
      </w:pPr>
      <w:r w:rsidRPr="00722521">
        <w:rPr>
          <w:color w:val="auto"/>
          <w:highlight w:val="lightGray"/>
        </w:rPr>
        <w:t xml:space="preserve">Yes </w:t>
      </w:r>
    </w:p>
    <w:p w14:paraId="005D8204" w14:textId="423C60B9" w:rsidR="00BA160A" w:rsidRPr="00722521" w:rsidRDefault="00BA160A" w:rsidP="00205B86">
      <w:pPr>
        <w:pStyle w:val="CEABullet-Level1"/>
        <w:rPr>
          <w:color w:val="auto"/>
          <w:highlight w:val="lightGray"/>
        </w:rPr>
      </w:pPr>
      <w:r w:rsidRPr="00722521">
        <w:rPr>
          <w:color w:val="auto"/>
          <w:highlight w:val="lightGray"/>
        </w:rPr>
        <w:t>No</w:t>
      </w:r>
    </w:p>
    <w:p w14:paraId="1E51867B" w14:textId="77777777" w:rsidR="00BA160A" w:rsidRPr="00722521" w:rsidRDefault="00BA160A" w:rsidP="00205B86">
      <w:pPr>
        <w:pStyle w:val="CEABullet-Level1"/>
        <w:rPr>
          <w:color w:val="auto"/>
          <w:highlight w:val="lightGray"/>
        </w:rPr>
      </w:pPr>
      <w:r w:rsidRPr="00722521">
        <w:rPr>
          <w:color w:val="auto"/>
          <w:highlight w:val="lightGray"/>
        </w:rPr>
        <w:t>Don’t know / no opinion / not relevant</w:t>
      </w:r>
    </w:p>
    <w:p w14:paraId="38A0EAE9" w14:textId="77777777" w:rsidR="00BA160A" w:rsidRPr="00722521" w:rsidRDefault="00BA160A" w:rsidP="00A903E6">
      <w:pPr>
        <w:mirrorIndents/>
        <w:rPr>
          <w:sz w:val="17"/>
          <w:szCs w:val="17"/>
        </w:rPr>
      </w:pPr>
    </w:p>
    <w:p w14:paraId="4AFC4E7E" w14:textId="77777777" w:rsidR="00745D7D" w:rsidRPr="00722521" w:rsidRDefault="00745D7D" w:rsidP="00745D7D">
      <w:pPr>
        <w:pStyle w:val="CEABullet-Level1"/>
        <w:numPr>
          <w:ilvl w:val="0"/>
          <w:numId w:val="0"/>
        </w:numPr>
        <w:rPr>
          <w:color w:val="auto"/>
        </w:rPr>
      </w:pPr>
      <w:r w:rsidRPr="00722521">
        <w:rPr>
          <w:color w:val="auto"/>
        </w:rPr>
        <w:t>Don’t know / no opinion / not relevant</w:t>
      </w:r>
    </w:p>
    <w:p w14:paraId="7D815C16" w14:textId="77777777" w:rsidR="00745D7D" w:rsidRPr="00722521" w:rsidRDefault="00745D7D" w:rsidP="00A903E6">
      <w:pPr>
        <w:mirrorIndents/>
        <w:rPr>
          <w:sz w:val="17"/>
          <w:szCs w:val="17"/>
        </w:rPr>
      </w:pPr>
    </w:p>
    <w:p w14:paraId="1060C6C9" w14:textId="77777777"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1.8.3:</w:t>
      </w:r>
    </w:p>
    <w:p w14:paraId="38873CE9" w14:textId="6AE8F46E" w:rsidR="00BA160A" w:rsidRPr="00722521" w:rsidRDefault="00BA160A" w:rsidP="00A903E6">
      <w:pPr>
        <w:mirrorIndents/>
        <w:rPr>
          <w:sz w:val="17"/>
          <w:szCs w:val="17"/>
        </w:rPr>
      </w:pPr>
    </w:p>
    <w:p w14:paraId="15C2D4BC" w14:textId="2FA16766" w:rsidR="00280766" w:rsidRPr="00722521" w:rsidRDefault="00280766" w:rsidP="00280766">
      <w:pPr>
        <w:mirrorIndents/>
        <w:rPr>
          <w:sz w:val="17"/>
          <w:szCs w:val="17"/>
        </w:rPr>
      </w:pPr>
      <w:r w:rsidRPr="00722521">
        <w:rPr>
          <w:sz w:val="17"/>
          <w:szCs w:val="17"/>
        </w:rPr>
        <w:t>EIOPA has not used this power until now. However, EIOPA played an important role in supporting NCAs in the assessment of</w:t>
      </w:r>
      <w:r w:rsidR="00365DD0" w:rsidRPr="00722521">
        <w:rPr>
          <w:sz w:val="17"/>
          <w:szCs w:val="17"/>
        </w:rPr>
        <w:t xml:space="preserve"> </w:t>
      </w:r>
      <w:r w:rsidR="008A4AF1" w:rsidRPr="00722521">
        <w:rPr>
          <w:sz w:val="17"/>
          <w:szCs w:val="17"/>
        </w:rPr>
        <w:t>circumstances or practices</w:t>
      </w:r>
      <w:r w:rsidRPr="00722521">
        <w:rPr>
          <w:sz w:val="17"/>
          <w:szCs w:val="17"/>
        </w:rPr>
        <w:t xml:space="preserve"> potentially bearing challenges and threat to consumers. </w:t>
      </w:r>
    </w:p>
    <w:p w14:paraId="6E67FDC5" w14:textId="77777777" w:rsidR="00280766" w:rsidRPr="00722521" w:rsidRDefault="00280766" w:rsidP="00280766">
      <w:pPr>
        <w:mirrorIndents/>
        <w:rPr>
          <w:sz w:val="17"/>
          <w:szCs w:val="17"/>
        </w:rPr>
      </w:pPr>
    </w:p>
    <w:p w14:paraId="267F67BA" w14:textId="3AD933C7" w:rsidR="00280766" w:rsidRPr="00722521" w:rsidRDefault="00280766" w:rsidP="00280766">
      <w:pPr>
        <w:mirrorIndents/>
        <w:rPr>
          <w:sz w:val="17"/>
          <w:szCs w:val="17"/>
        </w:rPr>
      </w:pPr>
      <w:r w:rsidRPr="00722521">
        <w:rPr>
          <w:sz w:val="17"/>
          <w:szCs w:val="17"/>
        </w:rPr>
        <w:t xml:space="preserve">Nonetheless, new powers of EIOPA under Article 9.5 of the EIOPA Regulation might be valuable where </w:t>
      </w:r>
      <w:r w:rsidR="00365DD0" w:rsidRPr="00722521">
        <w:rPr>
          <w:sz w:val="17"/>
          <w:szCs w:val="17"/>
        </w:rPr>
        <w:t xml:space="preserve">NCAs fail to deliver on their mandate and </w:t>
      </w:r>
      <w:r w:rsidRPr="00722521">
        <w:rPr>
          <w:sz w:val="17"/>
          <w:szCs w:val="17"/>
        </w:rPr>
        <w:t>further action is required.</w:t>
      </w:r>
    </w:p>
    <w:p w14:paraId="05F60D96" w14:textId="4A6F1730" w:rsidR="00205B86" w:rsidRPr="00722521" w:rsidRDefault="00205B86" w:rsidP="00A903E6">
      <w:pPr>
        <w:mirrorIndents/>
        <w:rPr>
          <w:sz w:val="17"/>
          <w:szCs w:val="17"/>
        </w:rPr>
      </w:pPr>
    </w:p>
    <w:p w14:paraId="22D962E8" w14:textId="4633E8CB" w:rsidR="00205B86" w:rsidRPr="00722521" w:rsidRDefault="00280766" w:rsidP="00A903E6">
      <w:pPr>
        <w:mirrorIndents/>
        <w:rPr>
          <w:rFonts w:eastAsia="Arial" w:cs="Arial"/>
          <w:b/>
          <w:sz w:val="17"/>
          <w:szCs w:val="17"/>
          <w:highlight w:val="lightGray"/>
          <w:lang w:val="en-US"/>
        </w:rPr>
      </w:pPr>
      <w:r w:rsidRPr="00722521">
        <w:rPr>
          <w:rFonts w:eastAsia="Arial" w:cs="Arial"/>
          <w:b/>
          <w:bCs/>
          <w:sz w:val="17"/>
          <w:szCs w:val="17"/>
          <w:highlight w:val="lightGray"/>
          <w:lang w:val="en-US"/>
        </w:rPr>
        <w:t>Question 1.8.4 Would you consider it useful if the ESAs could adopt acts of general application in cases other than those referred to in Article 9(5) of the ESAs Regulations?</w:t>
      </w:r>
    </w:p>
    <w:p w14:paraId="7611840F" w14:textId="6E2B478D" w:rsidR="00205B86" w:rsidRPr="00722521" w:rsidRDefault="00BA160A" w:rsidP="00205B86">
      <w:pPr>
        <w:pStyle w:val="CEABullet-Level1"/>
        <w:rPr>
          <w:color w:val="auto"/>
          <w:highlight w:val="lightGray"/>
        </w:rPr>
      </w:pPr>
      <w:r w:rsidRPr="00722521">
        <w:rPr>
          <w:color w:val="auto"/>
          <w:highlight w:val="lightGray"/>
        </w:rPr>
        <w:t xml:space="preserve">Yes </w:t>
      </w:r>
    </w:p>
    <w:p w14:paraId="0CDE3B52" w14:textId="686E99DC" w:rsidR="00BA160A" w:rsidRPr="00722521" w:rsidRDefault="00BA160A" w:rsidP="00205B86">
      <w:pPr>
        <w:pStyle w:val="CEABullet-Level1"/>
        <w:rPr>
          <w:color w:val="auto"/>
          <w:highlight w:val="lightGray"/>
        </w:rPr>
      </w:pPr>
      <w:r w:rsidRPr="00722521">
        <w:rPr>
          <w:color w:val="auto"/>
          <w:highlight w:val="lightGray"/>
        </w:rPr>
        <w:t>No</w:t>
      </w:r>
    </w:p>
    <w:p w14:paraId="44967B2D" w14:textId="77777777" w:rsidR="00BA160A" w:rsidRPr="00722521" w:rsidRDefault="00BA160A" w:rsidP="00205B86">
      <w:pPr>
        <w:pStyle w:val="CEABullet-Level1"/>
        <w:rPr>
          <w:color w:val="auto"/>
          <w:highlight w:val="lightGray"/>
        </w:rPr>
      </w:pPr>
      <w:r w:rsidRPr="00722521">
        <w:rPr>
          <w:color w:val="auto"/>
          <w:highlight w:val="lightGray"/>
        </w:rPr>
        <w:t>Don’t know / no opinion / not relevant</w:t>
      </w:r>
    </w:p>
    <w:p w14:paraId="5C0044A3" w14:textId="77777777" w:rsidR="00BA160A" w:rsidRPr="00722521" w:rsidRDefault="00BA160A" w:rsidP="00A903E6">
      <w:pPr>
        <w:mirrorIndents/>
        <w:rPr>
          <w:sz w:val="17"/>
          <w:szCs w:val="17"/>
        </w:rPr>
      </w:pPr>
    </w:p>
    <w:p w14:paraId="11F1ABC5" w14:textId="2C2DCE07" w:rsidR="00745D7D" w:rsidRPr="00722521" w:rsidRDefault="00745D7D" w:rsidP="00A903E6">
      <w:pPr>
        <w:mirrorIndents/>
        <w:rPr>
          <w:sz w:val="17"/>
          <w:szCs w:val="17"/>
        </w:rPr>
      </w:pPr>
      <w:r w:rsidRPr="00722521">
        <w:rPr>
          <w:sz w:val="17"/>
          <w:szCs w:val="17"/>
        </w:rPr>
        <w:t>No</w:t>
      </w:r>
    </w:p>
    <w:p w14:paraId="7445BF27" w14:textId="77777777" w:rsidR="00745D7D" w:rsidRPr="00722521" w:rsidRDefault="00745D7D" w:rsidP="00A903E6">
      <w:pPr>
        <w:mirrorIndents/>
        <w:rPr>
          <w:sz w:val="17"/>
          <w:szCs w:val="17"/>
        </w:rPr>
      </w:pPr>
    </w:p>
    <w:p w14:paraId="11561282" w14:textId="77777777"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Please specify in what other cases the ESAs could adopt acts of general application:</w:t>
      </w:r>
    </w:p>
    <w:p w14:paraId="32F039A0" w14:textId="5FB07BE1" w:rsidR="00BA160A" w:rsidRPr="00722521" w:rsidRDefault="00BA160A" w:rsidP="00A903E6">
      <w:pPr>
        <w:mirrorIndents/>
        <w:rPr>
          <w:sz w:val="17"/>
          <w:szCs w:val="17"/>
        </w:rPr>
      </w:pPr>
    </w:p>
    <w:p w14:paraId="108D5EB4" w14:textId="32FF9ED3" w:rsidR="00205B86" w:rsidRPr="00722521" w:rsidRDefault="00745D7D" w:rsidP="00A903E6">
      <w:pPr>
        <w:mirrorIndents/>
        <w:rPr>
          <w:sz w:val="17"/>
          <w:szCs w:val="17"/>
        </w:rPr>
      </w:pPr>
      <w:r w:rsidRPr="00722521">
        <w:rPr>
          <w:sz w:val="17"/>
          <w:szCs w:val="17"/>
        </w:rPr>
        <w:t>N/A</w:t>
      </w:r>
    </w:p>
    <w:p w14:paraId="1DB3C5DD" w14:textId="77777777" w:rsidR="00205B86" w:rsidRPr="00722521" w:rsidRDefault="00205B86" w:rsidP="00A903E6">
      <w:pPr>
        <w:mirrorIndents/>
        <w:rPr>
          <w:sz w:val="17"/>
          <w:szCs w:val="17"/>
        </w:rPr>
      </w:pPr>
    </w:p>
    <w:p w14:paraId="44DF76AE" w14:textId="77777777"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1.8.4:</w:t>
      </w:r>
    </w:p>
    <w:p w14:paraId="24646EF4" w14:textId="41E9D461" w:rsidR="00BA160A" w:rsidRPr="00722521" w:rsidRDefault="00BA160A" w:rsidP="00A903E6">
      <w:pPr>
        <w:mirrorIndents/>
        <w:rPr>
          <w:sz w:val="17"/>
          <w:szCs w:val="17"/>
        </w:rPr>
      </w:pPr>
    </w:p>
    <w:p w14:paraId="11278184" w14:textId="70F713F8" w:rsidR="00280766" w:rsidRPr="00722521" w:rsidRDefault="00722521" w:rsidP="00280766">
      <w:pPr>
        <w:mirrorIndents/>
        <w:rPr>
          <w:sz w:val="17"/>
          <w:szCs w:val="17"/>
        </w:rPr>
      </w:pPr>
      <w:r>
        <w:rPr>
          <w:sz w:val="17"/>
          <w:szCs w:val="17"/>
        </w:rPr>
        <w:t>VVO</w:t>
      </w:r>
      <w:r w:rsidR="00280766" w:rsidRPr="00722521">
        <w:rPr>
          <w:sz w:val="17"/>
          <w:szCs w:val="17"/>
        </w:rPr>
        <w:t xml:space="preserve"> believe</w:t>
      </w:r>
      <w:r w:rsidR="0066167F">
        <w:rPr>
          <w:sz w:val="17"/>
          <w:szCs w:val="17"/>
        </w:rPr>
        <w:t>s</w:t>
      </w:r>
      <w:r w:rsidR="00280766" w:rsidRPr="00722521">
        <w:rPr>
          <w:sz w:val="17"/>
          <w:szCs w:val="17"/>
        </w:rPr>
        <w:t xml:space="preserve"> that such far-ranging powers need to be </w:t>
      </w:r>
      <w:r w:rsidR="00D45691" w:rsidRPr="00722521">
        <w:rPr>
          <w:sz w:val="17"/>
          <w:szCs w:val="17"/>
        </w:rPr>
        <w:t>exceptional and limited</w:t>
      </w:r>
      <w:r w:rsidR="00280766" w:rsidRPr="00722521">
        <w:rPr>
          <w:sz w:val="17"/>
          <w:szCs w:val="17"/>
        </w:rPr>
        <w:t xml:space="preserve">. Rather than broad empowerments, </w:t>
      </w:r>
      <w:r>
        <w:rPr>
          <w:sz w:val="17"/>
          <w:szCs w:val="17"/>
        </w:rPr>
        <w:t>VVO</w:t>
      </w:r>
      <w:r w:rsidR="00280766" w:rsidRPr="00722521">
        <w:rPr>
          <w:sz w:val="17"/>
          <w:szCs w:val="17"/>
        </w:rPr>
        <w:t xml:space="preserve"> considers concrete powers more appropriate. Notwithstanding the aforementioned, </w:t>
      </w:r>
      <w:r>
        <w:rPr>
          <w:sz w:val="17"/>
          <w:szCs w:val="17"/>
        </w:rPr>
        <w:t>VVO</w:t>
      </w:r>
      <w:r w:rsidR="009F0801" w:rsidRPr="00722521">
        <w:rPr>
          <w:sz w:val="17"/>
          <w:szCs w:val="17"/>
        </w:rPr>
        <w:t xml:space="preserve"> </w:t>
      </w:r>
      <w:r w:rsidR="00280766" w:rsidRPr="00722521">
        <w:rPr>
          <w:sz w:val="17"/>
          <w:szCs w:val="17"/>
        </w:rPr>
        <w:t>believes that primary supervisory intervention must always come from the responsible NCAs (prudential or conduct). EIOPA should only be empowered to act where NCAs fail to deliver on their mandate or in cases of fundamental disagreement, in the latter through its dispute resolution mandate.</w:t>
      </w:r>
    </w:p>
    <w:p w14:paraId="42856DD2" w14:textId="69A0113D" w:rsidR="00205B86" w:rsidRPr="00722521" w:rsidRDefault="00205B86" w:rsidP="00A903E6">
      <w:pPr>
        <w:mirrorIndents/>
        <w:rPr>
          <w:sz w:val="17"/>
          <w:szCs w:val="17"/>
        </w:rPr>
      </w:pPr>
    </w:p>
    <w:p w14:paraId="3CC2393C" w14:textId="77777777" w:rsidR="00205B86" w:rsidRPr="00722521" w:rsidRDefault="00205B86" w:rsidP="00A903E6">
      <w:pPr>
        <w:mirrorIndents/>
        <w:rPr>
          <w:sz w:val="17"/>
          <w:szCs w:val="17"/>
        </w:rPr>
      </w:pPr>
    </w:p>
    <w:p w14:paraId="3C013B51" w14:textId="282D4987"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Question 1.8.5 EIOPA: Could you provide concrete examples where enabling the use of the product intervention powers in sectoral legislation would be useful?</w:t>
      </w:r>
    </w:p>
    <w:p w14:paraId="7EE6300A" w14:textId="3B29B864" w:rsidR="00205B86" w:rsidRPr="00722521" w:rsidRDefault="00205B86" w:rsidP="00A903E6">
      <w:pPr>
        <w:mirrorIndents/>
        <w:rPr>
          <w:sz w:val="17"/>
          <w:szCs w:val="17"/>
        </w:rPr>
      </w:pPr>
    </w:p>
    <w:p w14:paraId="4A9395D1" w14:textId="05C40B4D" w:rsidR="00205B86" w:rsidRPr="00722521" w:rsidRDefault="00A30475" w:rsidP="00A903E6">
      <w:pPr>
        <w:mirrorIndents/>
        <w:rPr>
          <w:sz w:val="17"/>
          <w:szCs w:val="17"/>
        </w:rPr>
      </w:pPr>
      <w:r w:rsidRPr="00722521">
        <w:rPr>
          <w:sz w:val="17"/>
          <w:szCs w:val="17"/>
        </w:rPr>
        <w:t>No</w:t>
      </w:r>
    </w:p>
    <w:p w14:paraId="520EF784" w14:textId="77777777" w:rsidR="00BA160A" w:rsidRPr="00722521" w:rsidRDefault="00BA160A" w:rsidP="00A903E6">
      <w:pPr>
        <w:mirrorIndents/>
        <w:rPr>
          <w:sz w:val="17"/>
          <w:szCs w:val="17"/>
        </w:rPr>
      </w:pPr>
    </w:p>
    <w:p w14:paraId="233A6CAE" w14:textId="35F45B9E" w:rsidR="00BA160A" w:rsidRPr="00722521" w:rsidRDefault="00BA160A" w:rsidP="00FD3F83">
      <w:pPr>
        <w:pStyle w:val="Textkrper"/>
        <w:ind w:left="0"/>
        <w:mirrorIndents/>
        <w:rPr>
          <w:rFonts w:ascii="Verdana" w:hAnsi="Verdana"/>
          <w:sz w:val="17"/>
          <w:szCs w:val="17"/>
          <w:highlight w:val="lightGray"/>
        </w:rPr>
      </w:pPr>
      <w:r w:rsidRPr="00722521">
        <w:rPr>
          <w:rFonts w:ascii="Verdana" w:hAnsi="Verdana"/>
          <w:sz w:val="17"/>
          <w:szCs w:val="17"/>
          <w:highlight w:val="lightGray"/>
        </w:rPr>
        <w:t>Question 1.8.6 EIOPA: In the framework of 2019 ESAs’ review, please rate the new EIOPA’s task to coordinate mystery shopping activities of competent authorities, if applicable, according to its relevance to promote consumer protection at EU level:</w:t>
      </w:r>
    </w:p>
    <w:p w14:paraId="13680E01" w14:textId="284434B1" w:rsidR="00BA160A" w:rsidRPr="00722521" w:rsidRDefault="00745D7D" w:rsidP="00745D7D">
      <w:pPr>
        <w:pStyle w:val="CEABullet-Level1"/>
        <w:rPr>
          <w:color w:val="auto"/>
          <w:szCs w:val="17"/>
          <w:highlight w:val="lightGray"/>
        </w:rPr>
      </w:pPr>
      <w:r w:rsidRPr="00722521">
        <w:rPr>
          <w:color w:val="auto"/>
          <w:highlight w:val="lightGray"/>
        </w:rPr>
        <w:t xml:space="preserve">1 </w:t>
      </w:r>
      <w:r w:rsidR="00BA160A" w:rsidRPr="00722521">
        <w:rPr>
          <w:color w:val="auto"/>
          <w:highlight w:val="lightGray"/>
        </w:rPr>
        <w:t>-</w:t>
      </w:r>
      <w:r w:rsidR="00BA160A" w:rsidRPr="00722521">
        <w:rPr>
          <w:color w:val="auto"/>
          <w:spacing w:val="-1"/>
          <w:szCs w:val="17"/>
          <w:highlight w:val="lightGray"/>
        </w:rPr>
        <w:t xml:space="preserve"> </w:t>
      </w:r>
      <w:r w:rsidR="00BA160A" w:rsidRPr="00722521">
        <w:rPr>
          <w:color w:val="auto"/>
          <w:szCs w:val="17"/>
          <w:highlight w:val="lightGray"/>
        </w:rPr>
        <w:t>irrelevant</w:t>
      </w:r>
    </w:p>
    <w:p w14:paraId="5ECBC0FC" w14:textId="5B388F00" w:rsidR="00205B86" w:rsidRPr="00722521" w:rsidRDefault="00745D7D" w:rsidP="00745D7D">
      <w:pPr>
        <w:pStyle w:val="CEABullet-Level1"/>
        <w:rPr>
          <w:color w:val="auto"/>
          <w:szCs w:val="17"/>
          <w:highlight w:val="lightGray"/>
        </w:rPr>
      </w:pPr>
      <w:r w:rsidRPr="00722521">
        <w:rPr>
          <w:color w:val="auto"/>
          <w:highlight w:val="lightGray"/>
        </w:rPr>
        <w:t>2</w:t>
      </w:r>
      <w:r w:rsidR="00BA160A" w:rsidRPr="00722521">
        <w:rPr>
          <w:color w:val="auto"/>
          <w:highlight w:val="lightGray"/>
        </w:rPr>
        <w:t xml:space="preserve"> </w:t>
      </w:r>
      <w:r w:rsidR="00EE57C5" w:rsidRPr="00722521">
        <w:rPr>
          <w:color w:val="auto"/>
          <w:szCs w:val="17"/>
          <w:highlight w:val="lightGray"/>
        </w:rPr>
        <w:t xml:space="preserve">- </w:t>
      </w:r>
      <w:r w:rsidR="00BA160A" w:rsidRPr="00722521">
        <w:rPr>
          <w:color w:val="auto"/>
          <w:szCs w:val="17"/>
          <w:highlight w:val="lightGray"/>
        </w:rPr>
        <w:t xml:space="preserve">rather irrelevant </w:t>
      </w:r>
    </w:p>
    <w:p w14:paraId="19EDF815" w14:textId="261E4AA9" w:rsidR="00BA160A" w:rsidRPr="00722521" w:rsidRDefault="00745D7D" w:rsidP="00745D7D">
      <w:pPr>
        <w:pStyle w:val="CEABullet-Level1"/>
        <w:rPr>
          <w:color w:val="auto"/>
          <w:szCs w:val="17"/>
          <w:highlight w:val="lightGray"/>
        </w:rPr>
      </w:pPr>
      <w:r w:rsidRPr="00722521">
        <w:rPr>
          <w:color w:val="auto"/>
          <w:highlight w:val="lightGray"/>
        </w:rPr>
        <w:t xml:space="preserve">3 </w:t>
      </w:r>
      <w:r w:rsidR="00BA160A" w:rsidRPr="00722521">
        <w:rPr>
          <w:color w:val="auto"/>
          <w:highlight w:val="lightGray"/>
        </w:rPr>
        <w:t>-</w:t>
      </w:r>
      <w:r w:rsidR="00BA160A" w:rsidRPr="00722521">
        <w:rPr>
          <w:color w:val="auto"/>
          <w:spacing w:val="4"/>
          <w:szCs w:val="17"/>
          <w:highlight w:val="lightGray"/>
        </w:rPr>
        <w:t xml:space="preserve"> </w:t>
      </w:r>
      <w:r w:rsidR="00BA160A" w:rsidRPr="00722521">
        <w:rPr>
          <w:color w:val="auto"/>
          <w:szCs w:val="17"/>
          <w:highlight w:val="lightGray"/>
        </w:rPr>
        <w:t>neutral</w:t>
      </w:r>
    </w:p>
    <w:p w14:paraId="1BB722EE" w14:textId="3A1396B4" w:rsidR="00205B86" w:rsidRPr="00722521" w:rsidRDefault="00745D7D" w:rsidP="00745D7D">
      <w:pPr>
        <w:pStyle w:val="CEABullet-Level1"/>
        <w:rPr>
          <w:color w:val="auto"/>
          <w:szCs w:val="17"/>
          <w:highlight w:val="lightGray"/>
        </w:rPr>
      </w:pPr>
      <w:r w:rsidRPr="00722521">
        <w:rPr>
          <w:color w:val="auto"/>
          <w:highlight w:val="lightGray"/>
        </w:rPr>
        <w:t xml:space="preserve">4 </w:t>
      </w:r>
      <w:r w:rsidR="00BA160A" w:rsidRPr="00722521">
        <w:rPr>
          <w:color w:val="auto"/>
          <w:highlight w:val="lightGray"/>
        </w:rPr>
        <w:t xml:space="preserve">- </w:t>
      </w:r>
      <w:r w:rsidR="00BA160A" w:rsidRPr="00722521">
        <w:rPr>
          <w:color w:val="auto"/>
          <w:szCs w:val="17"/>
          <w:highlight w:val="lightGray"/>
        </w:rPr>
        <w:t xml:space="preserve">rather relevant </w:t>
      </w:r>
    </w:p>
    <w:p w14:paraId="59530E8D" w14:textId="62B279EF" w:rsidR="00BA160A" w:rsidRPr="00722521" w:rsidRDefault="00745D7D" w:rsidP="00745D7D">
      <w:pPr>
        <w:pStyle w:val="CEABullet-Level1"/>
        <w:rPr>
          <w:color w:val="auto"/>
          <w:szCs w:val="17"/>
          <w:highlight w:val="lightGray"/>
        </w:rPr>
      </w:pPr>
      <w:r w:rsidRPr="00722521">
        <w:rPr>
          <w:color w:val="auto"/>
          <w:highlight w:val="lightGray"/>
        </w:rPr>
        <w:t xml:space="preserve">5 </w:t>
      </w:r>
      <w:r w:rsidR="00BA160A" w:rsidRPr="00722521">
        <w:rPr>
          <w:color w:val="auto"/>
          <w:highlight w:val="lightGray"/>
        </w:rPr>
        <w:t>- fully relevant</w:t>
      </w:r>
    </w:p>
    <w:p w14:paraId="626217A7" w14:textId="77777777" w:rsidR="00BA160A" w:rsidRPr="00722521" w:rsidRDefault="00BA160A" w:rsidP="00745D7D">
      <w:pPr>
        <w:pStyle w:val="CEABullet-Level1"/>
        <w:rPr>
          <w:color w:val="auto"/>
          <w:szCs w:val="17"/>
          <w:highlight w:val="lightGray"/>
        </w:rPr>
      </w:pPr>
      <w:r w:rsidRPr="00722521">
        <w:rPr>
          <w:color w:val="auto"/>
          <w:highlight w:val="lightGray"/>
        </w:rPr>
        <w:t>Don’t know / no opinion / not relevant</w:t>
      </w:r>
    </w:p>
    <w:p w14:paraId="11CB16C6" w14:textId="77777777" w:rsidR="005C7947" w:rsidRPr="00722521" w:rsidRDefault="005C7947" w:rsidP="005C7947">
      <w:pPr>
        <w:pStyle w:val="Textkrper"/>
        <w:ind w:left="0"/>
        <w:mirrorIndents/>
        <w:rPr>
          <w:rFonts w:ascii="Verdana" w:hAnsi="Verdana"/>
          <w:sz w:val="17"/>
          <w:szCs w:val="17"/>
        </w:rPr>
      </w:pPr>
    </w:p>
    <w:p w14:paraId="7A4503C9" w14:textId="226CF520" w:rsidR="00745D7D" w:rsidRPr="00722521" w:rsidRDefault="00745D7D" w:rsidP="005C7947">
      <w:pPr>
        <w:pStyle w:val="Textkrper"/>
        <w:ind w:left="0"/>
        <w:mirrorIndents/>
        <w:rPr>
          <w:rFonts w:ascii="Verdana" w:hAnsi="Verdana"/>
          <w:sz w:val="17"/>
          <w:szCs w:val="17"/>
        </w:rPr>
      </w:pPr>
      <w:r w:rsidRPr="00722521">
        <w:rPr>
          <w:sz w:val="17"/>
          <w:szCs w:val="17"/>
        </w:rPr>
        <w:t xml:space="preserve">4- rather relevant </w:t>
      </w:r>
    </w:p>
    <w:p w14:paraId="6E9128D0" w14:textId="0662A7C6"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Please explain your answer for EIOPA and indicate whether you consider enhancing national competencies for conduct supervision may be beneficial for the overall coordination of mystery shopping activities:</w:t>
      </w:r>
    </w:p>
    <w:p w14:paraId="7ADFE862" w14:textId="77777777" w:rsidR="005C7947" w:rsidRPr="00722521" w:rsidRDefault="005C7947" w:rsidP="005C7947">
      <w:pPr>
        <w:pStyle w:val="Textkrper"/>
        <w:ind w:left="0"/>
        <w:mirrorIndents/>
        <w:rPr>
          <w:rFonts w:ascii="Verdana" w:hAnsi="Verdana"/>
          <w:sz w:val="17"/>
          <w:szCs w:val="17"/>
        </w:rPr>
      </w:pPr>
    </w:p>
    <w:p w14:paraId="4499B162" w14:textId="192463A2" w:rsidR="00280766" w:rsidRPr="00722521" w:rsidRDefault="00722521" w:rsidP="00745D7D">
      <w:pPr>
        <w:pStyle w:val="Textkrper"/>
        <w:ind w:left="0"/>
        <w:mirrorIndents/>
        <w:rPr>
          <w:rFonts w:ascii="Verdana" w:hAnsi="Verdana"/>
          <w:b w:val="0"/>
          <w:bCs w:val="0"/>
          <w:sz w:val="17"/>
          <w:szCs w:val="17"/>
        </w:rPr>
      </w:pPr>
      <w:r>
        <w:rPr>
          <w:rFonts w:ascii="Verdana" w:hAnsi="Verdana"/>
          <w:b w:val="0"/>
          <w:bCs w:val="0"/>
          <w:sz w:val="17"/>
          <w:szCs w:val="17"/>
        </w:rPr>
        <w:t>VVO</w:t>
      </w:r>
      <w:r w:rsidR="00280766" w:rsidRPr="00722521">
        <w:rPr>
          <w:rFonts w:ascii="Verdana" w:hAnsi="Verdana"/>
          <w:b w:val="0"/>
          <w:bCs w:val="0"/>
          <w:sz w:val="17"/>
          <w:szCs w:val="17"/>
        </w:rPr>
        <w:t xml:space="preserve"> </w:t>
      </w:r>
      <w:r w:rsidR="0075698A" w:rsidRPr="00722521">
        <w:rPr>
          <w:rFonts w:ascii="Verdana" w:hAnsi="Verdana"/>
          <w:b w:val="0"/>
          <w:bCs w:val="0"/>
          <w:sz w:val="17"/>
          <w:szCs w:val="17"/>
        </w:rPr>
        <w:t xml:space="preserve">notes that mystery shopping activities are a matter of national discretion and that there are no </w:t>
      </w:r>
      <w:proofErr w:type="spellStart"/>
      <w:r w:rsidR="0075698A" w:rsidRPr="00722521">
        <w:rPr>
          <w:rFonts w:ascii="Verdana" w:hAnsi="Verdana"/>
          <w:b w:val="0"/>
          <w:bCs w:val="0"/>
          <w:sz w:val="17"/>
          <w:szCs w:val="17"/>
        </w:rPr>
        <w:t>harmonised</w:t>
      </w:r>
      <w:proofErr w:type="spellEnd"/>
      <w:r w:rsidR="0075698A" w:rsidRPr="00722521">
        <w:rPr>
          <w:rFonts w:ascii="Verdana" w:hAnsi="Verdana"/>
          <w:b w:val="0"/>
          <w:bCs w:val="0"/>
          <w:sz w:val="17"/>
          <w:szCs w:val="17"/>
        </w:rPr>
        <w:t xml:space="preserve"> requirements at European level. It </w:t>
      </w:r>
      <w:r w:rsidR="00280766" w:rsidRPr="00722521">
        <w:rPr>
          <w:rFonts w:ascii="Verdana" w:hAnsi="Verdana"/>
          <w:b w:val="0"/>
          <w:bCs w:val="0"/>
          <w:sz w:val="17"/>
          <w:szCs w:val="17"/>
        </w:rPr>
        <w:t xml:space="preserve">considers the new tasks of EIOPA to coordinate mystery shopping in accordance with Article 9.1 (f) as a </w:t>
      </w:r>
      <w:r w:rsidR="009F0801" w:rsidRPr="00722521">
        <w:rPr>
          <w:rFonts w:ascii="Verdana" w:hAnsi="Verdana"/>
          <w:b w:val="0"/>
          <w:bCs w:val="0"/>
          <w:sz w:val="17"/>
          <w:szCs w:val="17"/>
        </w:rPr>
        <w:t>significant</w:t>
      </w:r>
      <w:r w:rsidR="00280766" w:rsidRPr="00722521">
        <w:rPr>
          <w:rFonts w:ascii="Verdana" w:hAnsi="Verdana"/>
          <w:b w:val="0"/>
          <w:bCs w:val="0"/>
          <w:sz w:val="17"/>
          <w:szCs w:val="17"/>
        </w:rPr>
        <w:t xml:space="preserve"> addition to EIOPA’s mandate on consumer protection. As indicated above, the mandate of EIOPA needs to be sufficiently described</w:t>
      </w:r>
      <w:r w:rsidR="009F0801" w:rsidRPr="00722521">
        <w:rPr>
          <w:rFonts w:ascii="Verdana" w:hAnsi="Verdana"/>
          <w:b w:val="0"/>
          <w:bCs w:val="0"/>
          <w:sz w:val="17"/>
          <w:szCs w:val="17"/>
        </w:rPr>
        <w:t>, and t</w:t>
      </w:r>
      <w:r w:rsidR="00280766" w:rsidRPr="00722521">
        <w:rPr>
          <w:rFonts w:ascii="Verdana" w:hAnsi="Verdana"/>
          <w:b w:val="0"/>
          <w:bCs w:val="0"/>
          <w:sz w:val="17"/>
          <w:szCs w:val="17"/>
        </w:rPr>
        <w:t xml:space="preserve">he changes made in the 2019 ESA-Review are an important </w:t>
      </w:r>
      <w:r w:rsidR="009F0801" w:rsidRPr="00722521">
        <w:rPr>
          <w:rFonts w:ascii="Verdana" w:hAnsi="Verdana"/>
          <w:b w:val="0"/>
          <w:bCs w:val="0"/>
          <w:sz w:val="17"/>
          <w:szCs w:val="17"/>
        </w:rPr>
        <w:t>step</w:t>
      </w:r>
      <w:r w:rsidR="00280766" w:rsidRPr="00722521">
        <w:rPr>
          <w:rFonts w:ascii="Verdana" w:hAnsi="Verdana"/>
          <w:b w:val="0"/>
          <w:bCs w:val="0"/>
          <w:sz w:val="17"/>
          <w:szCs w:val="17"/>
        </w:rPr>
        <w:t xml:space="preserve"> in this respect. </w:t>
      </w:r>
    </w:p>
    <w:p w14:paraId="5736CF79" w14:textId="77777777" w:rsidR="00280766" w:rsidRPr="00722521" w:rsidRDefault="00280766" w:rsidP="00280766">
      <w:pPr>
        <w:pStyle w:val="Textkrper"/>
        <w:mirrorIndents/>
        <w:rPr>
          <w:rFonts w:ascii="Verdana" w:hAnsi="Verdana"/>
          <w:b w:val="0"/>
          <w:bCs w:val="0"/>
          <w:sz w:val="17"/>
          <w:szCs w:val="17"/>
        </w:rPr>
      </w:pPr>
    </w:p>
    <w:p w14:paraId="6CC22ABF" w14:textId="063D4B30" w:rsidR="00280766" w:rsidRPr="00722521" w:rsidRDefault="00280766" w:rsidP="00745D7D">
      <w:pPr>
        <w:pStyle w:val="Textkrper"/>
        <w:ind w:left="0"/>
        <w:mirrorIndents/>
        <w:rPr>
          <w:rFonts w:ascii="Verdana" w:hAnsi="Verdana"/>
          <w:b w:val="0"/>
          <w:bCs w:val="0"/>
          <w:sz w:val="17"/>
          <w:szCs w:val="17"/>
        </w:rPr>
      </w:pPr>
      <w:r w:rsidRPr="00722521">
        <w:rPr>
          <w:rFonts w:ascii="Verdana" w:hAnsi="Verdana"/>
          <w:b w:val="0"/>
          <w:bCs w:val="0"/>
          <w:sz w:val="17"/>
          <w:szCs w:val="17"/>
        </w:rPr>
        <w:t xml:space="preserve">A coordinated approach to supervisory mystery shopping </w:t>
      </w:r>
      <w:r w:rsidR="009F0801" w:rsidRPr="00722521">
        <w:rPr>
          <w:rFonts w:ascii="Verdana" w:hAnsi="Verdana"/>
          <w:b w:val="0"/>
          <w:bCs w:val="0"/>
          <w:sz w:val="17"/>
          <w:szCs w:val="17"/>
        </w:rPr>
        <w:t xml:space="preserve">could </w:t>
      </w:r>
      <w:r w:rsidRPr="00722521">
        <w:rPr>
          <w:rFonts w:ascii="Verdana" w:hAnsi="Verdana"/>
          <w:b w:val="0"/>
          <w:bCs w:val="0"/>
          <w:sz w:val="17"/>
          <w:szCs w:val="17"/>
        </w:rPr>
        <w:t xml:space="preserve">strengthen awareness of emerging trends and problems across </w:t>
      </w:r>
      <w:r w:rsidR="009F0801" w:rsidRPr="00722521">
        <w:rPr>
          <w:rFonts w:ascii="Verdana" w:hAnsi="Verdana"/>
          <w:b w:val="0"/>
          <w:bCs w:val="0"/>
          <w:sz w:val="17"/>
          <w:szCs w:val="17"/>
        </w:rPr>
        <w:t>m</w:t>
      </w:r>
      <w:r w:rsidRPr="00722521">
        <w:rPr>
          <w:rFonts w:ascii="Verdana" w:hAnsi="Verdana"/>
          <w:b w:val="0"/>
          <w:bCs w:val="0"/>
          <w:sz w:val="17"/>
          <w:szCs w:val="17"/>
        </w:rPr>
        <w:t xml:space="preserve">ember </w:t>
      </w:r>
      <w:r w:rsidR="009F0801" w:rsidRPr="00722521">
        <w:rPr>
          <w:rFonts w:ascii="Verdana" w:hAnsi="Verdana"/>
          <w:b w:val="0"/>
          <w:bCs w:val="0"/>
          <w:sz w:val="17"/>
          <w:szCs w:val="17"/>
        </w:rPr>
        <w:t>s</w:t>
      </w:r>
      <w:r w:rsidRPr="00722521">
        <w:rPr>
          <w:rFonts w:ascii="Verdana" w:hAnsi="Verdana"/>
          <w:b w:val="0"/>
          <w:bCs w:val="0"/>
          <w:sz w:val="17"/>
          <w:szCs w:val="17"/>
        </w:rPr>
        <w:t>tates, coordination o</w:t>
      </w:r>
      <w:r w:rsidR="009F0801" w:rsidRPr="00722521">
        <w:rPr>
          <w:rFonts w:ascii="Verdana" w:hAnsi="Verdana"/>
          <w:b w:val="0"/>
          <w:bCs w:val="0"/>
          <w:sz w:val="17"/>
          <w:szCs w:val="17"/>
        </w:rPr>
        <w:t>f assessment and of</w:t>
      </w:r>
      <w:r w:rsidRPr="00722521">
        <w:rPr>
          <w:rFonts w:ascii="Verdana" w:hAnsi="Verdana"/>
          <w:b w:val="0"/>
          <w:bCs w:val="0"/>
          <w:sz w:val="17"/>
          <w:szCs w:val="17"/>
        </w:rPr>
        <w:t xml:space="preserve"> potential measures to address potential threats to consumers.</w:t>
      </w:r>
      <w:r w:rsidR="009F0801" w:rsidRPr="00722521">
        <w:rPr>
          <w:rFonts w:ascii="Verdana" w:hAnsi="Verdana"/>
          <w:b w:val="0"/>
          <w:bCs w:val="0"/>
          <w:sz w:val="17"/>
          <w:szCs w:val="17"/>
        </w:rPr>
        <w:t xml:space="preserve"> However, differences </w:t>
      </w:r>
      <w:r w:rsidR="00EA147B" w:rsidRPr="00722521">
        <w:rPr>
          <w:rFonts w:ascii="Verdana" w:hAnsi="Verdana"/>
          <w:b w:val="0"/>
          <w:bCs w:val="0"/>
          <w:sz w:val="17"/>
          <w:szCs w:val="17"/>
        </w:rPr>
        <w:t xml:space="preserve">and specificities </w:t>
      </w:r>
      <w:r w:rsidR="009F0801" w:rsidRPr="00722521">
        <w:rPr>
          <w:rFonts w:ascii="Verdana" w:hAnsi="Verdana"/>
          <w:b w:val="0"/>
          <w:bCs w:val="0"/>
          <w:sz w:val="17"/>
          <w:szCs w:val="17"/>
        </w:rPr>
        <w:t xml:space="preserve">across European markets, for example regarding local market </w:t>
      </w:r>
      <w:r w:rsidR="00EA147B" w:rsidRPr="00722521">
        <w:rPr>
          <w:rFonts w:ascii="Verdana" w:hAnsi="Verdana"/>
          <w:b w:val="0"/>
          <w:bCs w:val="0"/>
          <w:sz w:val="17"/>
          <w:szCs w:val="17"/>
        </w:rPr>
        <w:t xml:space="preserve">and distribution </w:t>
      </w:r>
      <w:r w:rsidR="009F0801" w:rsidRPr="00722521">
        <w:rPr>
          <w:rFonts w:ascii="Verdana" w:hAnsi="Verdana"/>
          <w:b w:val="0"/>
          <w:bCs w:val="0"/>
          <w:sz w:val="17"/>
          <w:szCs w:val="17"/>
        </w:rPr>
        <w:t>structures</w:t>
      </w:r>
      <w:r w:rsidR="00EA147B" w:rsidRPr="00722521">
        <w:rPr>
          <w:rFonts w:ascii="Verdana" w:hAnsi="Verdana"/>
          <w:b w:val="0"/>
          <w:bCs w:val="0"/>
          <w:sz w:val="17"/>
          <w:szCs w:val="17"/>
        </w:rPr>
        <w:t>, regulatory</w:t>
      </w:r>
      <w:r w:rsidR="009F0801" w:rsidRPr="00722521">
        <w:rPr>
          <w:rFonts w:ascii="Verdana" w:hAnsi="Verdana"/>
          <w:b w:val="0"/>
          <w:bCs w:val="0"/>
          <w:sz w:val="17"/>
          <w:szCs w:val="17"/>
        </w:rPr>
        <w:t xml:space="preserve"> requirements, product features, as well as consumer </w:t>
      </w:r>
      <w:proofErr w:type="spellStart"/>
      <w:r w:rsidR="009F0801" w:rsidRPr="00722521">
        <w:rPr>
          <w:rFonts w:ascii="Verdana" w:hAnsi="Verdana"/>
          <w:b w:val="0"/>
          <w:bCs w:val="0"/>
          <w:sz w:val="17"/>
          <w:szCs w:val="17"/>
        </w:rPr>
        <w:t>behaviours</w:t>
      </w:r>
      <w:proofErr w:type="spellEnd"/>
      <w:r w:rsidR="009F0801" w:rsidRPr="00722521">
        <w:rPr>
          <w:rFonts w:ascii="Verdana" w:hAnsi="Verdana"/>
          <w:b w:val="0"/>
          <w:bCs w:val="0"/>
          <w:sz w:val="17"/>
          <w:szCs w:val="17"/>
        </w:rPr>
        <w:t xml:space="preserve">, cultures and needs will </w:t>
      </w:r>
      <w:r w:rsidR="00EA147B" w:rsidRPr="00722521">
        <w:rPr>
          <w:rFonts w:ascii="Verdana" w:hAnsi="Verdana"/>
          <w:b w:val="0"/>
          <w:bCs w:val="0"/>
          <w:sz w:val="17"/>
          <w:szCs w:val="17"/>
        </w:rPr>
        <w:t>have</w:t>
      </w:r>
      <w:r w:rsidR="009F0801" w:rsidRPr="00722521">
        <w:rPr>
          <w:rFonts w:ascii="Verdana" w:hAnsi="Verdana"/>
          <w:b w:val="0"/>
          <w:bCs w:val="0"/>
          <w:sz w:val="17"/>
          <w:szCs w:val="17"/>
        </w:rPr>
        <w:t xml:space="preserve"> to be well considered.</w:t>
      </w:r>
    </w:p>
    <w:p w14:paraId="6F71D534" w14:textId="77777777" w:rsidR="005C7947" w:rsidRPr="00722521" w:rsidRDefault="005C7947" w:rsidP="005C7947">
      <w:pPr>
        <w:pStyle w:val="Textkrper"/>
        <w:ind w:left="0"/>
        <w:mirrorIndents/>
        <w:rPr>
          <w:rFonts w:ascii="Verdana" w:hAnsi="Verdana"/>
          <w:sz w:val="17"/>
          <w:szCs w:val="17"/>
        </w:rPr>
      </w:pPr>
    </w:p>
    <w:p w14:paraId="7DA6635C" w14:textId="77777777" w:rsidR="005C7947" w:rsidRPr="00722521" w:rsidRDefault="005C7947" w:rsidP="005C7947">
      <w:pPr>
        <w:pStyle w:val="Textkrper"/>
        <w:ind w:left="0"/>
        <w:mirrorIndents/>
        <w:rPr>
          <w:rFonts w:ascii="Verdana" w:hAnsi="Verdana"/>
          <w:sz w:val="17"/>
          <w:szCs w:val="17"/>
        </w:rPr>
      </w:pPr>
    </w:p>
    <w:p w14:paraId="14A2F4F5" w14:textId="7D0D2DE3"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Question 1.8.7 EIOPA: What are, in your view, the main strengths and weaknesses of the current framework on consumer protection (Article 9 ESAs Regulations) and what would you suggest to address any possible shortcomings?</w:t>
      </w:r>
    </w:p>
    <w:p w14:paraId="47D2F7EE" w14:textId="77777777" w:rsidR="005C7947" w:rsidRPr="00722521" w:rsidRDefault="005C7947" w:rsidP="005C7947">
      <w:pPr>
        <w:pStyle w:val="Textkrper"/>
        <w:ind w:left="0"/>
        <w:mirrorIndents/>
        <w:rPr>
          <w:rFonts w:ascii="Verdana" w:hAnsi="Verdana"/>
          <w:sz w:val="17"/>
          <w:szCs w:val="17"/>
        </w:rPr>
      </w:pPr>
    </w:p>
    <w:p w14:paraId="55191B43" w14:textId="77777777" w:rsidR="00280766" w:rsidRPr="00722521" w:rsidRDefault="00280766" w:rsidP="00745D7D">
      <w:pPr>
        <w:pStyle w:val="Textkrper"/>
        <w:ind w:left="0"/>
        <w:mirrorIndents/>
        <w:rPr>
          <w:rFonts w:ascii="Verdana" w:hAnsi="Verdana"/>
          <w:b w:val="0"/>
          <w:bCs w:val="0"/>
          <w:sz w:val="17"/>
          <w:szCs w:val="17"/>
        </w:rPr>
      </w:pPr>
      <w:r w:rsidRPr="00722521">
        <w:rPr>
          <w:rFonts w:ascii="Verdana" w:hAnsi="Verdana"/>
          <w:b w:val="0"/>
          <w:bCs w:val="0"/>
          <w:sz w:val="17"/>
          <w:szCs w:val="17"/>
        </w:rPr>
        <w:t>The biggest strength of the current framework of Article 9 of the EIOPA Regulation is in its strong focus on a common and coordinate identification of potential challenges and threats to consumers across the single market. A potential weakness might appear in an overly broad interpretation of the mandate given to EIOPA under Article 9 of the EIOPA Regulation. The 2019 ESA-Review was a major improvement in this respect.</w:t>
      </w:r>
    </w:p>
    <w:p w14:paraId="3F37C05E" w14:textId="77777777" w:rsidR="00280766" w:rsidRPr="00722521" w:rsidRDefault="00280766" w:rsidP="00280766">
      <w:pPr>
        <w:pStyle w:val="Textkrper"/>
        <w:mirrorIndents/>
        <w:rPr>
          <w:rFonts w:ascii="Verdana" w:hAnsi="Verdana"/>
          <w:b w:val="0"/>
          <w:bCs w:val="0"/>
          <w:sz w:val="17"/>
          <w:szCs w:val="17"/>
        </w:rPr>
      </w:pPr>
    </w:p>
    <w:p w14:paraId="58DBA69F" w14:textId="6C6C93C3" w:rsidR="00280766" w:rsidRPr="00722521" w:rsidRDefault="00722521" w:rsidP="00745D7D">
      <w:pPr>
        <w:pStyle w:val="Textkrper"/>
        <w:ind w:left="0"/>
        <w:mirrorIndents/>
        <w:rPr>
          <w:rFonts w:ascii="Verdana" w:hAnsi="Verdana"/>
          <w:b w:val="0"/>
          <w:bCs w:val="0"/>
          <w:sz w:val="17"/>
          <w:szCs w:val="17"/>
        </w:rPr>
      </w:pPr>
      <w:r>
        <w:rPr>
          <w:rFonts w:ascii="Verdana" w:hAnsi="Verdana"/>
          <w:b w:val="0"/>
          <w:bCs w:val="0"/>
          <w:sz w:val="17"/>
          <w:szCs w:val="17"/>
        </w:rPr>
        <w:lastRenderedPageBreak/>
        <w:t>VVO</w:t>
      </w:r>
      <w:r w:rsidR="00280766" w:rsidRPr="00722521">
        <w:rPr>
          <w:rFonts w:ascii="Verdana" w:hAnsi="Verdana"/>
          <w:b w:val="0"/>
          <w:bCs w:val="0"/>
          <w:sz w:val="17"/>
          <w:szCs w:val="17"/>
        </w:rPr>
        <w:t xml:space="preserve"> believes that the framework of Article 9 EIOPA Regulation is fit for purpose</w:t>
      </w:r>
      <w:r w:rsidR="00EA147B" w:rsidRPr="00722521">
        <w:rPr>
          <w:rFonts w:ascii="Verdana" w:hAnsi="Verdana"/>
          <w:b w:val="0"/>
          <w:bCs w:val="0"/>
          <w:sz w:val="17"/>
          <w:szCs w:val="17"/>
        </w:rPr>
        <w:t xml:space="preserve"> and does not need further changes</w:t>
      </w:r>
      <w:r w:rsidR="00280766" w:rsidRPr="00722521">
        <w:rPr>
          <w:rFonts w:ascii="Verdana" w:hAnsi="Verdana"/>
          <w:b w:val="0"/>
          <w:bCs w:val="0"/>
          <w:sz w:val="17"/>
          <w:szCs w:val="17"/>
        </w:rPr>
        <w:t>. Further empowerments and concrete mandates for EIOPA should be based on the specific regulatory requirements in sectoral regulation. Stronger adherence to the mandates of EIOPA and an increased attention to getting such mandates right during the review of the EU retail financial services package will be essential.</w:t>
      </w:r>
    </w:p>
    <w:p w14:paraId="1EE48C69" w14:textId="77777777" w:rsidR="005C7947" w:rsidRPr="00722521" w:rsidRDefault="005C7947" w:rsidP="005C7947">
      <w:pPr>
        <w:pStyle w:val="Textkrper"/>
        <w:ind w:left="0"/>
        <w:mirrorIndents/>
        <w:rPr>
          <w:rFonts w:ascii="Verdana" w:hAnsi="Verdana"/>
          <w:sz w:val="17"/>
          <w:szCs w:val="17"/>
        </w:rPr>
      </w:pPr>
    </w:p>
    <w:p w14:paraId="0E9571BF" w14:textId="037E49DE"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Question 1.8.8 EIOPA: Are there areas for improvement in the toolkit of EIOPA when it comes to coordinating supervisors in the area of consumer protection?</w:t>
      </w:r>
    </w:p>
    <w:p w14:paraId="03D203FB" w14:textId="77777777" w:rsidR="00205B86" w:rsidRPr="00722521" w:rsidRDefault="00BA160A" w:rsidP="00205B86">
      <w:pPr>
        <w:pStyle w:val="CEABullet-Level1"/>
        <w:rPr>
          <w:color w:val="auto"/>
          <w:highlight w:val="lightGray"/>
        </w:rPr>
      </w:pPr>
      <w:r w:rsidRPr="00722521">
        <w:rPr>
          <w:color w:val="auto"/>
          <w:highlight w:val="lightGray"/>
        </w:rPr>
        <w:t xml:space="preserve">Yes </w:t>
      </w:r>
    </w:p>
    <w:p w14:paraId="060D98B6" w14:textId="77777777" w:rsidR="00205B86" w:rsidRPr="00722521" w:rsidRDefault="00BA160A" w:rsidP="00205B86">
      <w:pPr>
        <w:pStyle w:val="CEABullet-Level1"/>
        <w:rPr>
          <w:color w:val="auto"/>
          <w:highlight w:val="lightGray"/>
        </w:rPr>
      </w:pPr>
      <w:r w:rsidRPr="00722521">
        <w:rPr>
          <w:color w:val="auto"/>
          <w:highlight w:val="lightGray"/>
        </w:rPr>
        <w:t>No</w:t>
      </w:r>
    </w:p>
    <w:p w14:paraId="445736E5" w14:textId="32D08F13" w:rsidR="00BA160A" w:rsidRPr="00722521" w:rsidRDefault="00BA160A" w:rsidP="00205B86">
      <w:pPr>
        <w:pStyle w:val="CEABullet-Level1"/>
        <w:rPr>
          <w:color w:val="auto"/>
          <w:highlight w:val="lightGray"/>
        </w:rPr>
      </w:pPr>
      <w:r w:rsidRPr="00722521">
        <w:rPr>
          <w:color w:val="auto"/>
          <w:highlight w:val="lightGray"/>
        </w:rPr>
        <w:t>Don’t know / no opinion / not relevant</w:t>
      </w:r>
    </w:p>
    <w:p w14:paraId="60E1C967" w14:textId="77777777" w:rsidR="00BA160A" w:rsidRPr="00722521" w:rsidRDefault="00BA160A" w:rsidP="00A903E6">
      <w:pPr>
        <w:mirrorIndents/>
        <w:rPr>
          <w:sz w:val="17"/>
          <w:szCs w:val="17"/>
        </w:rPr>
      </w:pPr>
    </w:p>
    <w:p w14:paraId="53B9D834" w14:textId="4FD31D5A" w:rsidR="00745D7D" w:rsidRPr="00722521" w:rsidRDefault="00315D35" w:rsidP="00A903E6">
      <w:pPr>
        <w:mirrorIndents/>
        <w:rPr>
          <w:sz w:val="17"/>
          <w:szCs w:val="17"/>
        </w:rPr>
      </w:pPr>
      <w:r w:rsidRPr="00722521">
        <w:rPr>
          <w:sz w:val="17"/>
          <w:szCs w:val="17"/>
        </w:rPr>
        <w:t>Yes</w:t>
      </w:r>
    </w:p>
    <w:p w14:paraId="50F868EE" w14:textId="77777777" w:rsidR="00BA160A" w:rsidRPr="00722521" w:rsidRDefault="00BA160A" w:rsidP="00DF4415">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1.8.8 for EIOPA:</w:t>
      </w:r>
    </w:p>
    <w:p w14:paraId="16AFDB14" w14:textId="549B731F" w:rsidR="00BA160A" w:rsidRPr="00722521" w:rsidRDefault="00BA160A" w:rsidP="00A903E6">
      <w:pPr>
        <w:mirrorIndents/>
        <w:rPr>
          <w:sz w:val="17"/>
          <w:szCs w:val="17"/>
        </w:rPr>
      </w:pPr>
    </w:p>
    <w:p w14:paraId="6A9C577B" w14:textId="5F7336B3" w:rsidR="00205B86" w:rsidRPr="00722521" w:rsidRDefault="00D45691" w:rsidP="00A903E6">
      <w:pPr>
        <w:mirrorIndents/>
        <w:rPr>
          <w:sz w:val="17"/>
          <w:szCs w:val="17"/>
        </w:rPr>
      </w:pPr>
      <w:r w:rsidRPr="00722521">
        <w:rPr>
          <w:sz w:val="17"/>
          <w:szCs w:val="17"/>
        </w:rPr>
        <w:t xml:space="preserve">EIOPA’s powers and tasks provided by Article 9 are already very important. Moreover, NCAs also have a role to play and </w:t>
      </w:r>
      <w:r w:rsidR="00132F6E" w:rsidRPr="00722521">
        <w:rPr>
          <w:sz w:val="17"/>
          <w:szCs w:val="17"/>
        </w:rPr>
        <w:t xml:space="preserve">are in the best position to assess the risks relating to consumer protection in the light of the specificities and laws applicable on their national market. </w:t>
      </w:r>
    </w:p>
    <w:p w14:paraId="62066637" w14:textId="2A8C291E" w:rsidR="00315D35" w:rsidRPr="00722521" w:rsidRDefault="00315D35" w:rsidP="00A903E6">
      <w:pPr>
        <w:mirrorIndents/>
        <w:rPr>
          <w:sz w:val="17"/>
          <w:szCs w:val="17"/>
        </w:rPr>
      </w:pPr>
    </w:p>
    <w:p w14:paraId="171B4154" w14:textId="33850479" w:rsidR="00315D35" w:rsidRPr="00722521" w:rsidRDefault="00722521" w:rsidP="00315D35">
      <w:pPr>
        <w:mirrorIndents/>
        <w:rPr>
          <w:sz w:val="17"/>
          <w:szCs w:val="17"/>
        </w:rPr>
      </w:pPr>
      <w:r>
        <w:rPr>
          <w:sz w:val="17"/>
          <w:szCs w:val="17"/>
        </w:rPr>
        <w:t>VVO</w:t>
      </w:r>
      <w:r w:rsidR="00315D35" w:rsidRPr="00722521">
        <w:rPr>
          <w:sz w:val="17"/>
          <w:szCs w:val="17"/>
        </w:rPr>
        <w:t xml:space="preserve"> believes that EIOPA </w:t>
      </w:r>
      <w:r w:rsidR="00FA761B" w:rsidRPr="00722521">
        <w:rPr>
          <w:sz w:val="17"/>
          <w:szCs w:val="17"/>
        </w:rPr>
        <w:t>could make better use of its existing powers to</w:t>
      </w:r>
      <w:r w:rsidR="00315D35" w:rsidRPr="00722521">
        <w:rPr>
          <w:sz w:val="17"/>
          <w:szCs w:val="17"/>
        </w:rPr>
        <w:t xml:space="preserve"> play a bigger role in the coordination of information exchange in cases of cross-border service provision. </w:t>
      </w:r>
    </w:p>
    <w:p w14:paraId="0BA6015F" w14:textId="77777777" w:rsidR="00315D35" w:rsidRPr="00722521" w:rsidRDefault="00315D35" w:rsidP="00315D35">
      <w:pPr>
        <w:mirrorIndents/>
        <w:rPr>
          <w:sz w:val="17"/>
          <w:szCs w:val="17"/>
        </w:rPr>
      </w:pPr>
    </w:p>
    <w:p w14:paraId="7A8F426B" w14:textId="25715349" w:rsidR="00315D35" w:rsidRPr="00722521" w:rsidRDefault="00315D35" w:rsidP="00315D35">
      <w:pPr>
        <w:mirrorIndents/>
        <w:rPr>
          <w:sz w:val="17"/>
          <w:szCs w:val="17"/>
        </w:rPr>
      </w:pPr>
      <w:r w:rsidRPr="00722521">
        <w:rPr>
          <w:sz w:val="17"/>
          <w:szCs w:val="17"/>
        </w:rPr>
        <w:t xml:space="preserve">The focus of the efforts under the current decision of EIOPA on cross-border supervision, the amendments to the Solvency II Directive as part of the 2019 ESA-Review and the discussions on the upcoming Solvency II Review are focused on the information which can be shared by the prudential supervisor (home authority). </w:t>
      </w:r>
    </w:p>
    <w:p w14:paraId="64F409D1" w14:textId="77777777" w:rsidR="00315D35" w:rsidRPr="00722521" w:rsidRDefault="00315D35" w:rsidP="00315D35">
      <w:pPr>
        <w:mirrorIndents/>
        <w:rPr>
          <w:sz w:val="17"/>
          <w:szCs w:val="17"/>
        </w:rPr>
      </w:pPr>
    </w:p>
    <w:p w14:paraId="01297604" w14:textId="071D0795" w:rsidR="00315D35" w:rsidRPr="00722521" w:rsidRDefault="00315D35" w:rsidP="00315D35">
      <w:pPr>
        <w:mirrorIndents/>
        <w:rPr>
          <w:sz w:val="17"/>
          <w:szCs w:val="17"/>
        </w:rPr>
      </w:pPr>
      <w:r w:rsidRPr="00722521">
        <w:rPr>
          <w:sz w:val="17"/>
          <w:szCs w:val="17"/>
        </w:rPr>
        <w:t>The information provided on these platforms focuses on the prudential supervision. However</w:t>
      </w:r>
      <w:r w:rsidR="00FA761B" w:rsidRPr="00722521">
        <w:rPr>
          <w:sz w:val="17"/>
          <w:szCs w:val="17"/>
        </w:rPr>
        <w:t>,</w:t>
      </w:r>
      <w:r w:rsidRPr="00722521">
        <w:rPr>
          <w:sz w:val="17"/>
          <w:szCs w:val="17"/>
        </w:rPr>
        <w:t xml:space="preserve"> essential information about market data and trends, changing regulations and potential stressed situations </w:t>
      </w:r>
      <w:r w:rsidR="00FA761B" w:rsidRPr="00722521">
        <w:rPr>
          <w:sz w:val="17"/>
          <w:szCs w:val="17"/>
        </w:rPr>
        <w:t xml:space="preserve">could be </w:t>
      </w:r>
      <w:r w:rsidRPr="00722521">
        <w:rPr>
          <w:sz w:val="17"/>
          <w:szCs w:val="17"/>
        </w:rPr>
        <w:t>shared by the host authority through the platforms as well. EIOPA can enhance such an information exchange by identifying relevant data and, where appropriate, the development of standardised formats</w:t>
      </w:r>
      <w:r w:rsidR="00FA761B" w:rsidRPr="00722521">
        <w:rPr>
          <w:sz w:val="17"/>
          <w:szCs w:val="17"/>
        </w:rPr>
        <w:t xml:space="preserve"> based on existing data without additional reporting burdens for insurers</w:t>
      </w:r>
      <w:r w:rsidRPr="00722521">
        <w:rPr>
          <w:sz w:val="17"/>
          <w:szCs w:val="17"/>
        </w:rPr>
        <w:t>.</w:t>
      </w:r>
    </w:p>
    <w:p w14:paraId="5E123545" w14:textId="77777777" w:rsidR="00315D35" w:rsidRPr="00722521" w:rsidRDefault="00315D35" w:rsidP="00A903E6">
      <w:pPr>
        <w:mirrorIndents/>
        <w:rPr>
          <w:sz w:val="17"/>
          <w:szCs w:val="17"/>
        </w:rPr>
      </w:pPr>
    </w:p>
    <w:p w14:paraId="6124E507" w14:textId="77777777" w:rsidR="00315D35" w:rsidRPr="00722521" w:rsidRDefault="00315D35" w:rsidP="00280766">
      <w:pPr>
        <w:spacing w:after="200" w:line="276" w:lineRule="auto"/>
        <w:jc w:val="left"/>
        <w:rPr>
          <w:sz w:val="17"/>
          <w:szCs w:val="17"/>
        </w:rPr>
      </w:pPr>
    </w:p>
    <w:p w14:paraId="73743FF1" w14:textId="77777777" w:rsidR="00BA160A" w:rsidRPr="00722521" w:rsidRDefault="00BA160A" w:rsidP="00A903E6">
      <w:pPr>
        <w:pStyle w:val="Listenabsatz"/>
        <w:numPr>
          <w:ilvl w:val="1"/>
          <w:numId w:val="12"/>
        </w:numPr>
        <w:tabs>
          <w:tab w:val="left" w:pos="566"/>
        </w:tabs>
        <w:ind w:left="232" w:hanging="450"/>
        <w:mirrorIndents/>
        <w:rPr>
          <w:rFonts w:ascii="Verdana" w:hAnsi="Verdana"/>
          <w:b/>
          <w:szCs w:val="17"/>
        </w:rPr>
      </w:pPr>
      <w:r w:rsidRPr="00722521">
        <w:rPr>
          <w:rFonts w:ascii="Verdana" w:hAnsi="Verdana"/>
          <w:b/>
          <w:szCs w:val="17"/>
        </w:rPr>
        <w:t>International relations</w:t>
      </w:r>
    </w:p>
    <w:p w14:paraId="3CCD83D4" w14:textId="77777777" w:rsidR="00BA160A" w:rsidRPr="00722521" w:rsidRDefault="00BA160A" w:rsidP="00A903E6">
      <w:pPr>
        <w:mirrorIndents/>
        <w:rPr>
          <w:sz w:val="17"/>
          <w:szCs w:val="17"/>
        </w:rPr>
      </w:pPr>
    </w:p>
    <w:p w14:paraId="33472F30" w14:textId="4D9ECA1C" w:rsidR="00BA160A" w:rsidRPr="00722521" w:rsidRDefault="00BA160A" w:rsidP="00DF4415">
      <w:pPr>
        <w:pStyle w:val="Textkrper"/>
        <w:mirrorIndents/>
        <w:rPr>
          <w:rFonts w:ascii="Verdana" w:hAnsi="Verdana"/>
          <w:sz w:val="17"/>
          <w:szCs w:val="17"/>
          <w:highlight w:val="lightGray"/>
        </w:rPr>
      </w:pPr>
      <w:r w:rsidRPr="00722521">
        <w:rPr>
          <w:rFonts w:ascii="Verdana" w:hAnsi="Verdana"/>
          <w:sz w:val="17"/>
          <w:szCs w:val="17"/>
          <w:highlight w:val="lightGray"/>
        </w:rPr>
        <w:t>Question 1.9.1 EIOPA: How do you assess the role and competences of EIOPA</w:t>
      </w:r>
      <w:r w:rsidR="00205B86" w:rsidRPr="00722521">
        <w:rPr>
          <w:rFonts w:ascii="Verdana" w:hAnsi="Verdana"/>
          <w:sz w:val="17"/>
          <w:szCs w:val="17"/>
          <w:highlight w:val="lightGray"/>
        </w:rPr>
        <w:t xml:space="preserve"> </w:t>
      </w:r>
      <w:r w:rsidRPr="00722521">
        <w:rPr>
          <w:rFonts w:ascii="Verdana" w:hAnsi="Verdana"/>
          <w:sz w:val="17"/>
          <w:szCs w:val="17"/>
          <w:highlight w:val="lightGray"/>
        </w:rPr>
        <w:t>in</w:t>
      </w:r>
      <w:r w:rsidR="00205B86" w:rsidRPr="00722521">
        <w:rPr>
          <w:rFonts w:ascii="Verdana" w:hAnsi="Verdana"/>
          <w:sz w:val="17"/>
          <w:szCs w:val="17"/>
          <w:highlight w:val="lightGray"/>
        </w:rPr>
        <w:t xml:space="preserve"> </w:t>
      </w:r>
      <w:r w:rsidRPr="00722521">
        <w:rPr>
          <w:rFonts w:ascii="Verdana" w:hAnsi="Verdana"/>
          <w:sz w:val="17"/>
          <w:szCs w:val="17"/>
          <w:highlight w:val="lightGray"/>
        </w:rPr>
        <w:t>the</w:t>
      </w:r>
      <w:r w:rsidR="00205B86" w:rsidRPr="00722521">
        <w:rPr>
          <w:rFonts w:ascii="Verdana" w:hAnsi="Verdana"/>
          <w:sz w:val="17"/>
          <w:szCs w:val="17"/>
          <w:highlight w:val="lightGray"/>
        </w:rPr>
        <w:t xml:space="preserve"> </w:t>
      </w:r>
      <w:r w:rsidRPr="00722521">
        <w:rPr>
          <w:rFonts w:ascii="Verdana" w:hAnsi="Verdana"/>
          <w:sz w:val="17"/>
          <w:szCs w:val="17"/>
          <w:highlight w:val="lightGray"/>
        </w:rPr>
        <w:t>field</w:t>
      </w:r>
      <w:r w:rsidR="00205B86" w:rsidRPr="00722521">
        <w:rPr>
          <w:rFonts w:ascii="Verdana" w:hAnsi="Verdana"/>
          <w:sz w:val="17"/>
          <w:szCs w:val="17"/>
          <w:highlight w:val="lightGray"/>
        </w:rPr>
        <w:t xml:space="preserve"> </w:t>
      </w:r>
      <w:r w:rsidRPr="00722521">
        <w:rPr>
          <w:rFonts w:ascii="Verdana" w:hAnsi="Verdana"/>
          <w:sz w:val="17"/>
          <w:szCs w:val="17"/>
          <w:highlight w:val="lightGray"/>
        </w:rPr>
        <w:t>of</w:t>
      </w:r>
      <w:r w:rsidR="00205B86" w:rsidRPr="00722521">
        <w:rPr>
          <w:rFonts w:ascii="Verdana" w:hAnsi="Verdana"/>
          <w:sz w:val="17"/>
          <w:szCs w:val="17"/>
          <w:highlight w:val="lightGray"/>
        </w:rPr>
        <w:t xml:space="preserve"> </w:t>
      </w:r>
      <w:r w:rsidRPr="00722521">
        <w:rPr>
          <w:rFonts w:ascii="Verdana" w:hAnsi="Verdana"/>
          <w:sz w:val="17"/>
          <w:szCs w:val="17"/>
          <w:highlight w:val="lightGray"/>
        </w:rPr>
        <w:t>international</w:t>
      </w:r>
      <w:r w:rsidR="00205B86" w:rsidRPr="00722521">
        <w:rPr>
          <w:rFonts w:ascii="Verdana" w:hAnsi="Verdana"/>
          <w:sz w:val="17"/>
          <w:szCs w:val="17"/>
          <w:highlight w:val="lightGray"/>
        </w:rPr>
        <w:t xml:space="preserve"> </w:t>
      </w:r>
      <w:r w:rsidRPr="00722521">
        <w:rPr>
          <w:rFonts w:ascii="Verdana" w:hAnsi="Verdana"/>
          <w:sz w:val="17"/>
          <w:szCs w:val="17"/>
          <w:highlight w:val="lightGray"/>
        </w:rPr>
        <w:t>relations?</w:t>
      </w:r>
    </w:p>
    <w:p w14:paraId="4CEA0FBD" w14:textId="77777777" w:rsidR="00BA160A" w:rsidRPr="00722521" w:rsidRDefault="00BA160A" w:rsidP="00A903E6">
      <w:pPr>
        <w:pStyle w:val="Textkrper"/>
        <w:mirrorIndents/>
        <w:rPr>
          <w:rFonts w:ascii="Verdana" w:hAnsi="Verdana"/>
          <w:sz w:val="17"/>
          <w:szCs w:val="17"/>
        </w:rPr>
      </w:pPr>
    </w:p>
    <w:p w14:paraId="4A6AB48E"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Are there additional international fora in which EIOPA should be active?</w:t>
      </w:r>
    </w:p>
    <w:p w14:paraId="2C22623B" w14:textId="0B0E2F94" w:rsidR="00BA160A" w:rsidRPr="00722521" w:rsidRDefault="00BA160A" w:rsidP="00A903E6">
      <w:pPr>
        <w:mirrorIndents/>
        <w:rPr>
          <w:sz w:val="17"/>
          <w:szCs w:val="17"/>
        </w:rPr>
      </w:pPr>
    </w:p>
    <w:p w14:paraId="674AA828" w14:textId="27982CAA" w:rsidR="00912298" w:rsidRPr="00722521" w:rsidRDefault="00132F6E" w:rsidP="00315D35">
      <w:pPr>
        <w:mirrorIndents/>
        <w:rPr>
          <w:sz w:val="17"/>
          <w:szCs w:val="17"/>
        </w:rPr>
      </w:pPr>
      <w:r w:rsidRPr="00722521">
        <w:rPr>
          <w:sz w:val="17"/>
          <w:szCs w:val="17"/>
        </w:rPr>
        <w:t xml:space="preserve">EIOPA is the European voice of insurance supervisors. </w:t>
      </w:r>
      <w:r w:rsidR="00912298" w:rsidRPr="00722521">
        <w:rPr>
          <w:sz w:val="17"/>
          <w:szCs w:val="17"/>
        </w:rPr>
        <w:t>It</w:t>
      </w:r>
      <w:r w:rsidRPr="00722521">
        <w:rPr>
          <w:sz w:val="17"/>
          <w:szCs w:val="17"/>
        </w:rPr>
        <w:t xml:space="preserve"> plays and important role in working towards global convergence and consistency of supervisory practices and also in promoting the European regulatory and supervisory framework across the world. </w:t>
      </w:r>
      <w:r w:rsidR="00912298" w:rsidRPr="00722521">
        <w:rPr>
          <w:sz w:val="17"/>
          <w:szCs w:val="17"/>
        </w:rPr>
        <w:t>Indeed,</w:t>
      </w:r>
      <w:r w:rsidRPr="00722521">
        <w:rPr>
          <w:sz w:val="17"/>
          <w:szCs w:val="17"/>
        </w:rPr>
        <w:t xml:space="preserve"> as the EU is leading the way in many pioneering fields as data protection and sustainable standards, EIOPA should continue emphasi</w:t>
      </w:r>
      <w:r w:rsidR="00912298" w:rsidRPr="00722521">
        <w:rPr>
          <w:sz w:val="17"/>
          <w:szCs w:val="17"/>
        </w:rPr>
        <w:t>z</w:t>
      </w:r>
      <w:r w:rsidRPr="00722521">
        <w:rPr>
          <w:sz w:val="17"/>
          <w:szCs w:val="17"/>
        </w:rPr>
        <w:t xml:space="preserve">ing its expertise in international </w:t>
      </w:r>
      <w:r w:rsidR="00912298" w:rsidRPr="00722521">
        <w:rPr>
          <w:sz w:val="17"/>
          <w:szCs w:val="17"/>
        </w:rPr>
        <w:t>fora</w:t>
      </w:r>
      <w:r w:rsidRPr="00722521">
        <w:rPr>
          <w:sz w:val="17"/>
          <w:szCs w:val="17"/>
        </w:rPr>
        <w:t>.</w:t>
      </w:r>
    </w:p>
    <w:p w14:paraId="6EED3522" w14:textId="77777777" w:rsidR="00912298" w:rsidRPr="00722521" w:rsidRDefault="00912298" w:rsidP="00315D35">
      <w:pPr>
        <w:mirrorIndents/>
        <w:rPr>
          <w:sz w:val="17"/>
          <w:szCs w:val="17"/>
        </w:rPr>
      </w:pPr>
    </w:p>
    <w:p w14:paraId="55DBDA12" w14:textId="2FE7EFBE" w:rsidR="00BB481A" w:rsidRPr="00722521" w:rsidRDefault="00132F6E" w:rsidP="00BB481A">
      <w:pPr>
        <w:mirrorIndents/>
        <w:rPr>
          <w:sz w:val="17"/>
          <w:szCs w:val="17"/>
        </w:rPr>
      </w:pPr>
      <w:r w:rsidRPr="00722521">
        <w:rPr>
          <w:sz w:val="17"/>
          <w:szCs w:val="17"/>
        </w:rPr>
        <w:t xml:space="preserve">Besides, </w:t>
      </w:r>
      <w:r w:rsidR="00BB481A" w:rsidRPr="00722521">
        <w:rPr>
          <w:sz w:val="17"/>
          <w:szCs w:val="17"/>
        </w:rPr>
        <w:t xml:space="preserve">EIOPA plays a key role in the International Association of Insurance Supervisor (IAIS) through which EIOPA is </w:t>
      </w:r>
      <w:r w:rsidR="004F1640" w:rsidRPr="00722521">
        <w:rPr>
          <w:sz w:val="17"/>
          <w:szCs w:val="17"/>
        </w:rPr>
        <w:t xml:space="preserve">a </w:t>
      </w:r>
      <w:proofErr w:type="gramStart"/>
      <w:r w:rsidR="004F1640" w:rsidRPr="00722521">
        <w:rPr>
          <w:sz w:val="17"/>
          <w:szCs w:val="17"/>
        </w:rPr>
        <w:t xml:space="preserve">key  </w:t>
      </w:r>
      <w:r w:rsidR="00BB481A" w:rsidRPr="00722521">
        <w:rPr>
          <w:sz w:val="17"/>
          <w:szCs w:val="17"/>
        </w:rPr>
        <w:t>driv</w:t>
      </w:r>
      <w:r w:rsidR="004F1640" w:rsidRPr="00722521">
        <w:rPr>
          <w:sz w:val="17"/>
          <w:szCs w:val="17"/>
        </w:rPr>
        <w:t>er</w:t>
      </w:r>
      <w:proofErr w:type="gramEnd"/>
      <w:r w:rsidR="004F1640" w:rsidRPr="00722521">
        <w:rPr>
          <w:sz w:val="17"/>
          <w:szCs w:val="17"/>
        </w:rPr>
        <w:t xml:space="preserve"> in</w:t>
      </w:r>
      <w:r w:rsidR="00BB481A" w:rsidRPr="00722521">
        <w:rPr>
          <w:sz w:val="17"/>
          <w:szCs w:val="17"/>
        </w:rPr>
        <w:t xml:space="preserve"> the development of international standards. The role of EIOPA in this forum is critical as the development of international standards might have a significant influence on the future of (insurance) regulation in Europe. Therefore, </w:t>
      </w:r>
      <w:r w:rsidR="00722521">
        <w:rPr>
          <w:sz w:val="17"/>
          <w:szCs w:val="17"/>
        </w:rPr>
        <w:t>VVO</w:t>
      </w:r>
      <w:r w:rsidR="00BA372F" w:rsidRPr="00722521">
        <w:rPr>
          <w:sz w:val="17"/>
          <w:szCs w:val="17"/>
        </w:rPr>
        <w:t xml:space="preserve"> </w:t>
      </w:r>
      <w:r w:rsidR="002435AE" w:rsidRPr="00722521">
        <w:rPr>
          <w:sz w:val="17"/>
          <w:szCs w:val="17"/>
        </w:rPr>
        <w:t>believe</w:t>
      </w:r>
      <w:r w:rsidR="00BA372F" w:rsidRPr="00722521">
        <w:rPr>
          <w:sz w:val="17"/>
          <w:szCs w:val="17"/>
        </w:rPr>
        <w:t>s</w:t>
      </w:r>
      <w:r w:rsidR="002435AE" w:rsidRPr="00722521">
        <w:rPr>
          <w:sz w:val="17"/>
          <w:szCs w:val="17"/>
        </w:rPr>
        <w:t xml:space="preserve"> that the scrutiny role of EU legislators with respect to EIOPA mandate and positions should be strengthened</w:t>
      </w:r>
      <w:r w:rsidR="007266FB" w:rsidRPr="00722521">
        <w:rPr>
          <w:sz w:val="17"/>
          <w:szCs w:val="17"/>
        </w:rPr>
        <w:t>, and</w:t>
      </w:r>
      <w:r w:rsidR="00BB481A" w:rsidRPr="00722521">
        <w:rPr>
          <w:sz w:val="17"/>
          <w:szCs w:val="17"/>
        </w:rPr>
        <w:t xml:space="preserve"> believes that the inclusion of EIOPA’s work into the accountability regime towards the European Parliament (Article 3.9 EIOPA Regulation)</w:t>
      </w:r>
      <w:r w:rsidR="007266FB" w:rsidRPr="00722521">
        <w:rPr>
          <w:sz w:val="17"/>
          <w:szCs w:val="17"/>
        </w:rPr>
        <w:t xml:space="preserve"> is valuable</w:t>
      </w:r>
      <w:r w:rsidR="00BB481A" w:rsidRPr="00722521">
        <w:rPr>
          <w:sz w:val="17"/>
          <w:szCs w:val="17"/>
        </w:rPr>
        <w:t xml:space="preserve">. </w:t>
      </w:r>
      <w:r w:rsidR="00912298" w:rsidRPr="00722521">
        <w:rPr>
          <w:sz w:val="17"/>
          <w:szCs w:val="17"/>
        </w:rPr>
        <w:t>The industry</w:t>
      </w:r>
      <w:r w:rsidRPr="00722521">
        <w:rPr>
          <w:sz w:val="17"/>
          <w:szCs w:val="17"/>
        </w:rPr>
        <w:t xml:space="preserve"> fully </w:t>
      </w:r>
      <w:r w:rsidR="007266FB" w:rsidRPr="00722521">
        <w:rPr>
          <w:sz w:val="17"/>
          <w:szCs w:val="17"/>
        </w:rPr>
        <w:t>supports</w:t>
      </w:r>
      <w:r w:rsidRPr="00722521">
        <w:rPr>
          <w:sz w:val="17"/>
          <w:szCs w:val="17"/>
        </w:rPr>
        <w:t xml:space="preserve"> this role in discussions with global supervisory bodies, providing that the role of the European Commission when it comes to financial regulatory issues beyond supervision is not undermined. </w:t>
      </w:r>
      <w:r w:rsidR="00912298" w:rsidRPr="00722521">
        <w:rPr>
          <w:sz w:val="17"/>
          <w:szCs w:val="17"/>
        </w:rPr>
        <w:t>However, t</w:t>
      </w:r>
      <w:r w:rsidR="00315D35" w:rsidRPr="00722521">
        <w:rPr>
          <w:sz w:val="17"/>
          <w:szCs w:val="17"/>
        </w:rPr>
        <w:t xml:space="preserve">here is an institutional loophole, in particular, with respect to the IAIS Insurance Capital Standard (ICS) project. As </w:t>
      </w:r>
      <w:r w:rsidR="00315D35" w:rsidRPr="00722521">
        <w:rPr>
          <w:sz w:val="17"/>
          <w:szCs w:val="17"/>
        </w:rPr>
        <w:lastRenderedPageBreak/>
        <w:t xml:space="preserve">the ICS may have strong implications for the Solvency II regime, the scrutiny role of the EU Co-Legislators with respect to EIOPA mandate and positions </w:t>
      </w:r>
      <w:r w:rsidR="00BB4284" w:rsidRPr="00722521">
        <w:rPr>
          <w:sz w:val="17"/>
          <w:szCs w:val="17"/>
        </w:rPr>
        <w:t>is crucial</w:t>
      </w:r>
      <w:r w:rsidR="00315D35" w:rsidRPr="00722521">
        <w:rPr>
          <w:sz w:val="17"/>
          <w:szCs w:val="17"/>
        </w:rPr>
        <w:t>.</w:t>
      </w:r>
    </w:p>
    <w:p w14:paraId="6E49C38C" w14:textId="77777777" w:rsidR="00BB481A" w:rsidRPr="00722521" w:rsidRDefault="00BB481A" w:rsidP="00BB481A">
      <w:pPr>
        <w:mirrorIndents/>
        <w:rPr>
          <w:sz w:val="17"/>
          <w:szCs w:val="17"/>
        </w:rPr>
      </w:pPr>
    </w:p>
    <w:p w14:paraId="1EDFB7FD" w14:textId="6B2F2F88" w:rsidR="00BB481A" w:rsidRPr="00722521" w:rsidRDefault="00BB481A" w:rsidP="00BB481A">
      <w:pPr>
        <w:mirrorIndents/>
        <w:rPr>
          <w:sz w:val="17"/>
          <w:szCs w:val="17"/>
        </w:rPr>
      </w:pPr>
      <w:r w:rsidRPr="00722521">
        <w:rPr>
          <w:sz w:val="17"/>
          <w:szCs w:val="17"/>
        </w:rPr>
        <w:t xml:space="preserve">With regards to the mandate assigned to EIOPA under Article 33 EIOPA Regulation, particularly the cooperation and coordination with competent authorities in third countries plays a major role – not only with those considered equivalent. Through the administrative arrangements which EIOPA can </w:t>
      </w:r>
      <w:r w:rsidR="00DF4415" w:rsidRPr="00722521">
        <w:rPr>
          <w:sz w:val="17"/>
          <w:szCs w:val="17"/>
        </w:rPr>
        <w:t>conclude</w:t>
      </w:r>
      <w:r w:rsidRPr="00722521">
        <w:rPr>
          <w:sz w:val="17"/>
          <w:szCs w:val="17"/>
        </w:rPr>
        <w:t>, notwithstanding the equivalence status, supervisory cooperation and coordination can be enhanced significantly.</w:t>
      </w:r>
    </w:p>
    <w:p w14:paraId="3A440AA5" w14:textId="2B86DA61" w:rsidR="00205B86" w:rsidRPr="00722521" w:rsidRDefault="00205B86" w:rsidP="00A903E6">
      <w:pPr>
        <w:mirrorIndents/>
        <w:rPr>
          <w:sz w:val="17"/>
          <w:szCs w:val="17"/>
        </w:rPr>
      </w:pPr>
    </w:p>
    <w:p w14:paraId="6F748231" w14:textId="69C4BF30" w:rsidR="00CF2007" w:rsidRPr="00722521" w:rsidRDefault="00BB4284" w:rsidP="00CF2007">
      <w:pPr>
        <w:mirrorIndents/>
        <w:rPr>
          <w:sz w:val="17"/>
          <w:szCs w:val="17"/>
        </w:rPr>
      </w:pPr>
      <w:r w:rsidRPr="00722521">
        <w:rPr>
          <w:sz w:val="17"/>
          <w:szCs w:val="17"/>
        </w:rPr>
        <w:t>The industry would like to stress that, c</w:t>
      </w:r>
      <w:r w:rsidR="00CF2007" w:rsidRPr="00722521">
        <w:rPr>
          <w:sz w:val="17"/>
          <w:szCs w:val="17"/>
        </w:rPr>
        <w:t xml:space="preserve">urrently, in the international fora, EIOPA adopts a </w:t>
      </w:r>
      <w:r w:rsidRPr="00722521">
        <w:rPr>
          <w:sz w:val="17"/>
          <w:szCs w:val="17"/>
        </w:rPr>
        <w:t xml:space="preserve">too </w:t>
      </w:r>
      <w:r w:rsidR="00CF2007" w:rsidRPr="00722521">
        <w:rPr>
          <w:sz w:val="17"/>
          <w:szCs w:val="17"/>
        </w:rPr>
        <w:t xml:space="preserve">passive role and accepts </w:t>
      </w:r>
      <w:r w:rsidRPr="00722521">
        <w:rPr>
          <w:sz w:val="17"/>
          <w:szCs w:val="17"/>
        </w:rPr>
        <w:t>initiative coming from the banking sector</w:t>
      </w:r>
      <w:r w:rsidR="00CF2007" w:rsidRPr="00722521">
        <w:rPr>
          <w:sz w:val="17"/>
          <w:szCs w:val="17"/>
        </w:rPr>
        <w:t xml:space="preserve">. The Solvency </w:t>
      </w:r>
      <w:r w:rsidRPr="00722521">
        <w:rPr>
          <w:sz w:val="17"/>
          <w:szCs w:val="17"/>
        </w:rPr>
        <w:t xml:space="preserve">II </w:t>
      </w:r>
      <w:r w:rsidR="00CF2007" w:rsidRPr="00722521">
        <w:rPr>
          <w:sz w:val="17"/>
          <w:szCs w:val="17"/>
        </w:rPr>
        <w:t xml:space="preserve">regime is different from regimes in other parts of the world </w:t>
      </w:r>
      <w:r w:rsidRPr="00722521">
        <w:rPr>
          <w:sz w:val="17"/>
          <w:szCs w:val="17"/>
        </w:rPr>
        <w:t xml:space="preserve">and </w:t>
      </w:r>
      <w:r w:rsidR="00CF2007" w:rsidRPr="00722521">
        <w:rPr>
          <w:sz w:val="17"/>
          <w:szCs w:val="17"/>
        </w:rPr>
        <w:t>from banking regimes.</w:t>
      </w:r>
    </w:p>
    <w:p w14:paraId="3E1F2CA1" w14:textId="77777777" w:rsidR="00BA160A" w:rsidRPr="00722521" w:rsidRDefault="00BA160A" w:rsidP="00A903E6">
      <w:pPr>
        <w:mirrorIndents/>
        <w:rPr>
          <w:sz w:val="17"/>
          <w:szCs w:val="17"/>
        </w:rPr>
      </w:pPr>
    </w:p>
    <w:p w14:paraId="4CFFE2FF"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1.9.2 EIOPA: In the framework of 2019 ESAs’ review, how do you assess the new EIOPA’s role in monitoring the regulatory and supervisory developments, enforcement practices and market developments in third countries for which equivalence decisions have been adopted by the Commission?</w:t>
      </w:r>
    </w:p>
    <w:p w14:paraId="73F1D6ED" w14:textId="5A6B187D" w:rsidR="00BA160A" w:rsidRPr="00722521" w:rsidRDefault="00BA160A" w:rsidP="00A903E6">
      <w:pPr>
        <w:mirrorIndents/>
        <w:rPr>
          <w:sz w:val="17"/>
          <w:szCs w:val="17"/>
        </w:rPr>
      </w:pPr>
    </w:p>
    <w:p w14:paraId="444F0ED2" w14:textId="434F5373" w:rsidR="00BB4284" w:rsidRPr="00722521" w:rsidRDefault="00BB481A" w:rsidP="00BB481A">
      <w:pPr>
        <w:mirrorIndents/>
        <w:rPr>
          <w:sz w:val="17"/>
          <w:szCs w:val="17"/>
        </w:rPr>
      </w:pPr>
      <w:r w:rsidRPr="00722521">
        <w:rPr>
          <w:sz w:val="17"/>
          <w:szCs w:val="17"/>
        </w:rPr>
        <w:t xml:space="preserve">As the equivalency decision by the European Commission is unilateral, </w:t>
      </w:r>
      <w:r w:rsidR="00722521">
        <w:rPr>
          <w:sz w:val="17"/>
          <w:szCs w:val="17"/>
        </w:rPr>
        <w:t>VVO</w:t>
      </w:r>
      <w:r w:rsidRPr="00722521">
        <w:rPr>
          <w:sz w:val="17"/>
          <w:szCs w:val="17"/>
        </w:rPr>
        <w:t xml:space="preserve"> believes that the EIOPA mandate to monitor the developments in the markets, supervisory practice and regulation is essential to maintain the credibility of the system.</w:t>
      </w:r>
      <w:r w:rsidR="00132F6E" w:rsidRPr="00722521">
        <w:rPr>
          <w:sz w:val="17"/>
          <w:szCs w:val="17"/>
        </w:rPr>
        <w:t xml:space="preserve"> </w:t>
      </w:r>
    </w:p>
    <w:p w14:paraId="1E9C9E17" w14:textId="77777777" w:rsidR="00BB4284" w:rsidRPr="00722521" w:rsidRDefault="00BB4284" w:rsidP="00BB481A">
      <w:pPr>
        <w:mirrorIndents/>
        <w:rPr>
          <w:sz w:val="17"/>
          <w:szCs w:val="17"/>
        </w:rPr>
      </w:pPr>
    </w:p>
    <w:p w14:paraId="35B633C9" w14:textId="7DCCA811" w:rsidR="00BB481A" w:rsidRPr="00722521" w:rsidRDefault="00BB4284" w:rsidP="00BB481A">
      <w:pPr>
        <w:mirrorIndents/>
        <w:rPr>
          <w:sz w:val="17"/>
          <w:szCs w:val="17"/>
        </w:rPr>
      </w:pPr>
      <w:r w:rsidRPr="00722521">
        <w:rPr>
          <w:sz w:val="17"/>
          <w:szCs w:val="17"/>
        </w:rPr>
        <w:t xml:space="preserve">Moreover, </w:t>
      </w:r>
      <w:r w:rsidR="00132F6E" w:rsidRPr="00722521">
        <w:rPr>
          <w:sz w:val="17"/>
          <w:szCs w:val="17"/>
        </w:rPr>
        <w:t>EIOPA’s support to European Commission when granting equivalence decisions to third country is indeed critical. EIOPA also plays a key role in ensuring that equivalence decisions are adjusted to evolving regulatory environments in order to maintain a level playing field across insurance markets.</w:t>
      </w:r>
    </w:p>
    <w:p w14:paraId="59975A23" w14:textId="6792611D" w:rsidR="00205B86" w:rsidRPr="00722521" w:rsidRDefault="00205B86" w:rsidP="00A903E6">
      <w:pPr>
        <w:mirrorIndents/>
        <w:rPr>
          <w:sz w:val="17"/>
          <w:szCs w:val="17"/>
        </w:rPr>
      </w:pPr>
    </w:p>
    <w:p w14:paraId="75A4858D" w14:textId="2CAF578B" w:rsidR="00F53971" w:rsidRPr="00722521" w:rsidRDefault="00F53971" w:rsidP="00A903E6">
      <w:pPr>
        <w:mirrorIndents/>
        <w:rPr>
          <w:sz w:val="17"/>
          <w:szCs w:val="17"/>
        </w:rPr>
      </w:pPr>
      <w:r w:rsidRPr="00722521">
        <w:rPr>
          <w:sz w:val="17"/>
          <w:szCs w:val="17"/>
        </w:rPr>
        <w:t xml:space="preserve">However, EIOPA should be more transparent </w:t>
      </w:r>
      <w:r w:rsidR="00BB4284" w:rsidRPr="00722521">
        <w:rPr>
          <w:sz w:val="17"/>
          <w:szCs w:val="17"/>
        </w:rPr>
        <w:t>regarding</w:t>
      </w:r>
      <w:r w:rsidRPr="00722521">
        <w:rPr>
          <w:sz w:val="17"/>
          <w:szCs w:val="17"/>
        </w:rPr>
        <w:t xml:space="preserve"> </w:t>
      </w:r>
      <w:r w:rsidR="00BB4284" w:rsidRPr="00722521">
        <w:rPr>
          <w:sz w:val="17"/>
          <w:szCs w:val="17"/>
        </w:rPr>
        <w:t>its</w:t>
      </w:r>
      <w:r w:rsidRPr="00722521">
        <w:rPr>
          <w:sz w:val="17"/>
          <w:szCs w:val="17"/>
        </w:rPr>
        <w:t xml:space="preserve"> findings and possible conclusions. Especially in relation with the question on outsourcing, if no issues </w:t>
      </w:r>
      <w:r w:rsidR="00BB4284" w:rsidRPr="00722521">
        <w:rPr>
          <w:sz w:val="17"/>
          <w:szCs w:val="17"/>
        </w:rPr>
        <w:t>exist</w:t>
      </w:r>
      <w:r w:rsidRPr="00722521">
        <w:rPr>
          <w:sz w:val="17"/>
          <w:szCs w:val="17"/>
        </w:rPr>
        <w:t xml:space="preserve"> with an equivalent regime</w:t>
      </w:r>
      <w:r w:rsidR="00BB4284" w:rsidRPr="00722521">
        <w:rPr>
          <w:sz w:val="17"/>
          <w:szCs w:val="17"/>
        </w:rPr>
        <w:t>,</w:t>
      </w:r>
      <w:r w:rsidRPr="00722521">
        <w:rPr>
          <w:sz w:val="17"/>
          <w:szCs w:val="17"/>
        </w:rPr>
        <w:t xml:space="preserve"> no gold plating should be allowed.</w:t>
      </w:r>
    </w:p>
    <w:p w14:paraId="1FCF2814" w14:textId="77777777" w:rsidR="00BA160A" w:rsidRPr="00722521" w:rsidRDefault="00BA160A" w:rsidP="00A903E6">
      <w:pPr>
        <w:mirrorIndents/>
        <w:rPr>
          <w:sz w:val="17"/>
          <w:szCs w:val="17"/>
        </w:rPr>
      </w:pPr>
    </w:p>
    <w:p w14:paraId="694142FB" w14:textId="5C4A6EB2"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1.9.3 EIOPA: Are the powers and competences in the field of international relations as set out in Article 33 of the ESAs’ Regulations adequate in light of the tasks conferred on EIOPA?</w:t>
      </w:r>
    </w:p>
    <w:p w14:paraId="60FFD36A" w14:textId="7FCBD0E2" w:rsidR="00205B86" w:rsidRPr="00722521" w:rsidRDefault="00BA160A" w:rsidP="00205B86">
      <w:pPr>
        <w:pStyle w:val="CEABullet-Level1"/>
        <w:rPr>
          <w:color w:val="auto"/>
        </w:rPr>
      </w:pPr>
      <w:r w:rsidRPr="00722521">
        <w:rPr>
          <w:color w:val="auto"/>
        </w:rPr>
        <w:t>Yes</w:t>
      </w:r>
    </w:p>
    <w:p w14:paraId="07B38E79" w14:textId="663E518F" w:rsidR="00BA160A" w:rsidRPr="00722521" w:rsidRDefault="00BA160A" w:rsidP="00205B86">
      <w:pPr>
        <w:pStyle w:val="CEABullet-Level1"/>
        <w:rPr>
          <w:color w:val="auto"/>
        </w:rPr>
      </w:pPr>
      <w:r w:rsidRPr="00722521">
        <w:rPr>
          <w:color w:val="auto"/>
        </w:rPr>
        <w:t>No</w:t>
      </w:r>
    </w:p>
    <w:p w14:paraId="0E6D7208" w14:textId="77777777" w:rsidR="00BA160A" w:rsidRPr="00722521" w:rsidRDefault="00BA160A" w:rsidP="00205B86">
      <w:pPr>
        <w:pStyle w:val="CEABullet-Level1"/>
        <w:rPr>
          <w:color w:val="auto"/>
        </w:rPr>
      </w:pPr>
      <w:r w:rsidRPr="00722521">
        <w:rPr>
          <w:color w:val="auto"/>
        </w:rPr>
        <w:t>Don’t know / no opinion / not relevant</w:t>
      </w:r>
    </w:p>
    <w:p w14:paraId="17BC479E" w14:textId="02C371B0" w:rsidR="00BA160A" w:rsidRPr="00722521" w:rsidRDefault="00BA160A" w:rsidP="00A903E6">
      <w:pPr>
        <w:mirrorIndents/>
        <w:rPr>
          <w:sz w:val="17"/>
          <w:szCs w:val="17"/>
        </w:rPr>
      </w:pPr>
    </w:p>
    <w:p w14:paraId="1EED11A8" w14:textId="63ED90F9" w:rsidR="00C91E46" w:rsidRPr="00722521" w:rsidRDefault="002435AE" w:rsidP="00A903E6">
      <w:pPr>
        <w:mirrorIndents/>
        <w:rPr>
          <w:sz w:val="17"/>
          <w:szCs w:val="17"/>
        </w:rPr>
      </w:pPr>
      <w:r w:rsidRPr="00722521">
        <w:rPr>
          <w:sz w:val="17"/>
          <w:szCs w:val="17"/>
        </w:rPr>
        <w:t>No</w:t>
      </w:r>
    </w:p>
    <w:p w14:paraId="4CDC1E2C" w14:textId="77777777" w:rsidR="00C91E46" w:rsidRPr="00722521" w:rsidRDefault="00C91E46" w:rsidP="00A903E6">
      <w:pPr>
        <w:mirrorIndents/>
        <w:rPr>
          <w:sz w:val="17"/>
          <w:szCs w:val="17"/>
        </w:rPr>
      </w:pPr>
    </w:p>
    <w:p w14:paraId="2D144068" w14:textId="77777777" w:rsidR="00BA160A" w:rsidRPr="00722521" w:rsidRDefault="00BA160A" w:rsidP="00205B86">
      <w:pPr>
        <w:pStyle w:val="Textkrper"/>
        <w:ind w:left="0"/>
        <w:mirrorIndents/>
        <w:rPr>
          <w:rFonts w:ascii="Verdana" w:hAnsi="Verdana"/>
          <w:sz w:val="17"/>
          <w:szCs w:val="17"/>
        </w:rPr>
      </w:pPr>
      <w:r w:rsidRPr="00722521">
        <w:rPr>
          <w:rFonts w:ascii="Verdana" w:hAnsi="Verdana"/>
          <w:sz w:val="17"/>
          <w:szCs w:val="17"/>
          <w:highlight w:val="lightGray"/>
        </w:rPr>
        <w:t>If you identify areas for improvement for EIOPA, please specify:</w:t>
      </w:r>
    </w:p>
    <w:p w14:paraId="46193F2B" w14:textId="4B528979" w:rsidR="00205B86" w:rsidRPr="00722521" w:rsidRDefault="00205B86" w:rsidP="00A903E6">
      <w:pPr>
        <w:mirrorIndents/>
        <w:rPr>
          <w:sz w:val="17"/>
          <w:szCs w:val="17"/>
        </w:rPr>
      </w:pPr>
    </w:p>
    <w:p w14:paraId="0A8C9B18" w14:textId="0D70EB4E" w:rsidR="002435AE" w:rsidRPr="00722521" w:rsidRDefault="002435AE" w:rsidP="002435AE">
      <w:pPr>
        <w:tabs>
          <w:tab w:val="left" w:pos="685"/>
        </w:tabs>
        <w:mirrorIndents/>
        <w:rPr>
          <w:sz w:val="17"/>
          <w:szCs w:val="17"/>
          <w:lang w:val="en-US"/>
        </w:rPr>
      </w:pPr>
      <w:r w:rsidRPr="00722521">
        <w:rPr>
          <w:sz w:val="17"/>
          <w:szCs w:val="17"/>
          <w:lang w:val="en-US"/>
        </w:rPr>
        <w:t xml:space="preserve">It seems pivotal that EIOPA’s mandate and positions in international fora are duly </w:t>
      </w:r>
      <w:proofErr w:type="spellStart"/>
      <w:r w:rsidRPr="00722521">
        <w:rPr>
          <w:sz w:val="17"/>
          <w:szCs w:val="17"/>
          <w:lang w:val="en-US"/>
        </w:rPr>
        <w:t>scrutini</w:t>
      </w:r>
      <w:r w:rsidR="007266FB" w:rsidRPr="00722521">
        <w:rPr>
          <w:sz w:val="17"/>
          <w:szCs w:val="17"/>
          <w:lang w:val="en-US"/>
        </w:rPr>
        <w:t>s</w:t>
      </w:r>
      <w:r w:rsidRPr="00722521">
        <w:rPr>
          <w:sz w:val="17"/>
          <w:szCs w:val="17"/>
          <w:lang w:val="en-US"/>
        </w:rPr>
        <w:t>ed</w:t>
      </w:r>
      <w:proofErr w:type="spellEnd"/>
      <w:r w:rsidRPr="00722521">
        <w:rPr>
          <w:sz w:val="17"/>
          <w:szCs w:val="17"/>
          <w:lang w:val="en-US"/>
        </w:rPr>
        <w:t xml:space="preserve"> by EU lawmakers. Indeed</w:t>
      </w:r>
      <w:r w:rsidR="007266FB" w:rsidRPr="00722521">
        <w:rPr>
          <w:sz w:val="17"/>
          <w:szCs w:val="17"/>
          <w:lang w:val="en-US"/>
        </w:rPr>
        <w:t>,</w:t>
      </w:r>
      <w:r w:rsidRPr="00722521">
        <w:rPr>
          <w:sz w:val="17"/>
          <w:szCs w:val="17"/>
          <w:lang w:val="en-US"/>
        </w:rPr>
        <w:t xml:space="preserve"> the development of international standards, to which the EIOPA contributes through the IAIS, may have a significant influence on the future of (insurance) regulation in Europe. For instance, the development of the ICS may have strong implications for the Solvency II regime. </w:t>
      </w:r>
      <w:r w:rsidR="007266FB" w:rsidRPr="00722521">
        <w:rPr>
          <w:sz w:val="17"/>
          <w:szCs w:val="17"/>
          <w:lang w:val="en-US"/>
        </w:rPr>
        <w:t>While the EC also seats in the IAIS, i</w:t>
      </w:r>
      <w:r w:rsidRPr="00722521">
        <w:rPr>
          <w:sz w:val="17"/>
          <w:szCs w:val="17"/>
          <w:lang w:val="en-US"/>
        </w:rPr>
        <w:t xml:space="preserve">t seems </w:t>
      </w:r>
      <w:r w:rsidR="007266FB" w:rsidRPr="00722521">
        <w:rPr>
          <w:sz w:val="17"/>
          <w:szCs w:val="17"/>
          <w:lang w:val="en-US"/>
        </w:rPr>
        <w:t>also</w:t>
      </w:r>
      <w:r w:rsidRPr="00722521">
        <w:rPr>
          <w:sz w:val="17"/>
          <w:szCs w:val="17"/>
          <w:lang w:val="en-US"/>
        </w:rPr>
        <w:t xml:space="preserve"> </w:t>
      </w:r>
      <w:r w:rsidR="007266FB" w:rsidRPr="00722521">
        <w:rPr>
          <w:sz w:val="17"/>
          <w:szCs w:val="17"/>
          <w:lang w:val="en-US"/>
        </w:rPr>
        <w:t>crucial</w:t>
      </w:r>
      <w:r w:rsidRPr="00722521">
        <w:rPr>
          <w:sz w:val="17"/>
          <w:szCs w:val="17"/>
          <w:lang w:val="en-US"/>
        </w:rPr>
        <w:t xml:space="preserve"> to </w:t>
      </w:r>
      <w:r w:rsidR="007266FB" w:rsidRPr="00722521">
        <w:rPr>
          <w:sz w:val="17"/>
          <w:szCs w:val="17"/>
          <w:lang w:val="en-US"/>
        </w:rPr>
        <w:t>ensure</w:t>
      </w:r>
      <w:r w:rsidRPr="00722521">
        <w:rPr>
          <w:sz w:val="17"/>
          <w:szCs w:val="17"/>
          <w:lang w:val="en-US"/>
        </w:rPr>
        <w:t xml:space="preserve"> EIOPA’s accountability towards the European Parliament and the Council of the EU with respect to its contribution to international standards, in particular the ones developed by the IAIS </w:t>
      </w:r>
      <w:r w:rsidR="007266FB" w:rsidRPr="00722521">
        <w:rPr>
          <w:sz w:val="17"/>
          <w:szCs w:val="17"/>
          <w:lang w:val="en-US"/>
        </w:rPr>
        <w:t>such as</w:t>
      </w:r>
      <w:r w:rsidRPr="00722521">
        <w:rPr>
          <w:sz w:val="17"/>
          <w:szCs w:val="17"/>
          <w:lang w:val="en-US"/>
        </w:rPr>
        <w:t xml:space="preserve"> the ICS. </w:t>
      </w:r>
    </w:p>
    <w:p w14:paraId="3FFFC090" w14:textId="2D983860" w:rsidR="007266FB" w:rsidRPr="00722521" w:rsidRDefault="007266FB" w:rsidP="002435AE">
      <w:pPr>
        <w:tabs>
          <w:tab w:val="left" w:pos="685"/>
        </w:tabs>
        <w:mirrorIndents/>
        <w:rPr>
          <w:sz w:val="17"/>
          <w:szCs w:val="17"/>
          <w:lang w:val="en-US"/>
        </w:rPr>
      </w:pPr>
    </w:p>
    <w:p w14:paraId="43B789ED" w14:textId="62C6B4C3" w:rsidR="007266FB" w:rsidRPr="00722521" w:rsidDel="000A1997" w:rsidRDefault="007266FB" w:rsidP="002435AE">
      <w:pPr>
        <w:tabs>
          <w:tab w:val="left" w:pos="685"/>
        </w:tabs>
        <w:mirrorIndents/>
        <w:rPr>
          <w:sz w:val="17"/>
          <w:szCs w:val="17"/>
          <w:lang w:val="en-US"/>
        </w:rPr>
      </w:pPr>
      <w:r w:rsidRPr="00722521">
        <w:rPr>
          <w:sz w:val="17"/>
          <w:szCs w:val="17"/>
          <w:lang w:val="en-US"/>
        </w:rPr>
        <w:t>In any case, EIOPA should take direction from co-legislators ahead of international negotiations so as to ensure it doesn’t pursue its own political goals.</w:t>
      </w:r>
    </w:p>
    <w:p w14:paraId="01534BA6" w14:textId="0229AB25" w:rsidR="00BA160A" w:rsidRPr="00722521" w:rsidRDefault="00BA160A" w:rsidP="00205B86">
      <w:pPr>
        <w:mirrorIndents/>
        <w:rPr>
          <w:sz w:val="17"/>
          <w:szCs w:val="17"/>
        </w:rPr>
      </w:pPr>
    </w:p>
    <w:p w14:paraId="097393D1" w14:textId="19B0D8E8" w:rsidR="00BA160A" w:rsidRPr="00722521" w:rsidRDefault="00BA160A" w:rsidP="00205B86">
      <w:pPr>
        <w:pStyle w:val="Textkrper"/>
        <w:tabs>
          <w:tab w:val="left" w:pos="2019"/>
          <w:tab w:val="left" w:pos="2479"/>
          <w:tab w:val="left" w:pos="3491"/>
          <w:tab w:val="left" w:pos="5571"/>
          <w:tab w:val="left" w:pos="7599"/>
          <w:tab w:val="left" w:pos="8903"/>
        </w:tabs>
        <w:ind w:left="0"/>
        <w:mirrorIndents/>
        <w:rPr>
          <w:rFonts w:ascii="Verdana" w:hAnsi="Verdana"/>
          <w:sz w:val="17"/>
          <w:szCs w:val="17"/>
        </w:rPr>
      </w:pPr>
      <w:r w:rsidRPr="00722521">
        <w:rPr>
          <w:rFonts w:ascii="Verdana" w:hAnsi="Verdana"/>
          <w:spacing w:val="4"/>
          <w:sz w:val="17"/>
          <w:szCs w:val="17"/>
          <w:highlight w:val="lightGray"/>
        </w:rPr>
        <w:t xml:space="preserve">Question 1.9.4 EIOPA: </w:t>
      </w:r>
      <w:r w:rsidRPr="00722521">
        <w:rPr>
          <w:rFonts w:ascii="Verdana" w:hAnsi="Verdana"/>
          <w:spacing w:val="3"/>
          <w:sz w:val="17"/>
          <w:szCs w:val="17"/>
          <w:highlight w:val="lightGray"/>
        </w:rPr>
        <w:t xml:space="preserve">How </w:t>
      </w:r>
      <w:r w:rsidRPr="00722521">
        <w:rPr>
          <w:rFonts w:ascii="Verdana" w:hAnsi="Verdana"/>
          <w:spacing w:val="2"/>
          <w:sz w:val="17"/>
          <w:szCs w:val="17"/>
          <w:highlight w:val="lightGray"/>
        </w:rPr>
        <w:t xml:space="preserve">do </w:t>
      </w:r>
      <w:r w:rsidRPr="00722521">
        <w:rPr>
          <w:rFonts w:ascii="Verdana" w:hAnsi="Verdana"/>
          <w:spacing w:val="3"/>
          <w:sz w:val="17"/>
          <w:szCs w:val="17"/>
          <w:highlight w:val="lightGray"/>
        </w:rPr>
        <w:t xml:space="preserve">you </w:t>
      </w:r>
      <w:r w:rsidRPr="00722521">
        <w:rPr>
          <w:rFonts w:ascii="Verdana" w:hAnsi="Verdana"/>
          <w:spacing w:val="4"/>
          <w:sz w:val="17"/>
          <w:szCs w:val="17"/>
          <w:highlight w:val="lightGray"/>
        </w:rPr>
        <w:t xml:space="preserve">assess </w:t>
      </w:r>
      <w:r w:rsidRPr="00722521">
        <w:rPr>
          <w:rFonts w:ascii="Verdana" w:hAnsi="Verdana"/>
          <w:spacing w:val="3"/>
          <w:sz w:val="17"/>
          <w:szCs w:val="17"/>
          <w:highlight w:val="lightGray"/>
        </w:rPr>
        <w:t xml:space="preserve">the role </w:t>
      </w:r>
      <w:r w:rsidRPr="00722521">
        <w:rPr>
          <w:rFonts w:ascii="Verdana" w:hAnsi="Verdana"/>
          <w:spacing w:val="2"/>
          <w:sz w:val="17"/>
          <w:szCs w:val="17"/>
          <w:highlight w:val="lightGray"/>
        </w:rPr>
        <w:t xml:space="preserve">of </w:t>
      </w:r>
      <w:r w:rsidRPr="00722521">
        <w:rPr>
          <w:rFonts w:ascii="Verdana" w:hAnsi="Verdana"/>
          <w:spacing w:val="4"/>
          <w:sz w:val="17"/>
          <w:szCs w:val="17"/>
          <w:highlight w:val="lightGray"/>
        </w:rPr>
        <w:t xml:space="preserve">EIOPA </w:t>
      </w:r>
      <w:r w:rsidRPr="00722521">
        <w:rPr>
          <w:rFonts w:ascii="Verdana" w:hAnsi="Verdana"/>
          <w:spacing w:val="2"/>
          <w:sz w:val="17"/>
          <w:szCs w:val="17"/>
          <w:highlight w:val="lightGray"/>
        </w:rPr>
        <w:t xml:space="preserve">in </w:t>
      </w:r>
      <w:r w:rsidRPr="00722521">
        <w:rPr>
          <w:rFonts w:ascii="Verdana" w:hAnsi="Verdana"/>
          <w:spacing w:val="3"/>
          <w:sz w:val="17"/>
          <w:szCs w:val="17"/>
          <w:highlight w:val="lightGray"/>
        </w:rPr>
        <w:t xml:space="preserve">the </w:t>
      </w:r>
      <w:r w:rsidRPr="00722521">
        <w:rPr>
          <w:rFonts w:ascii="Verdana" w:hAnsi="Verdana"/>
          <w:spacing w:val="2"/>
          <w:sz w:val="17"/>
          <w:szCs w:val="17"/>
          <w:highlight w:val="lightGray"/>
        </w:rPr>
        <w:t>development</w:t>
      </w:r>
      <w:r w:rsidR="00205B86" w:rsidRPr="00722521">
        <w:rPr>
          <w:rFonts w:ascii="Verdana" w:hAnsi="Verdana"/>
          <w:spacing w:val="2"/>
          <w:sz w:val="17"/>
          <w:szCs w:val="17"/>
          <w:highlight w:val="lightGray"/>
        </w:rPr>
        <w:t xml:space="preserve"> </w:t>
      </w:r>
      <w:r w:rsidRPr="00722521">
        <w:rPr>
          <w:rFonts w:ascii="Verdana" w:hAnsi="Verdana"/>
          <w:sz w:val="17"/>
          <w:szCs w:val="17"/>
          <w:highlight w:val="lightGray"/>
        </w:rPr>
        <w:t>of</w:t>
      </w:r>
      <w:r w:rsidR="00205B86" w:rsidRPr="00722521">
        <w:rPr>
          <w:rFonts w:ascii="Verdana" w:hAnsi="Verdana"/>
          <w:sz w:val="17"/>
          <w:szCs w:val="17"/>
          <w:highlight w:val="lightGray"/>
        </w:rPr>
        <w:t xml:space="preserve"> </w:t>
      </w:r>
      <w:r w:rsidRPr="00722521">
        <w:rPr>
          <w:rFonts w:ascii="Verdana" w:hAnsi="Verdana"/>
          <w:spacing w:val="2"/>
          <w:sz w:val="17"/>
          <w:szCs w:val="17"/>
          <w:highlight w:val="lightGray"/>
        </w:rPr>
        <w:t>model</w:t>
      </w:r>
      <w:r w:rsidR="00205B86" w:rsidRPr="00722521">
        <w:rPr>
          <w:rFonts w:ascii="Verdana" w:hAnsi="Verdana"/>
          <w:spacing w:val="2"/>
          <w:sz w:val="17"/>
          <w:szCs w:val="17"/>
          <w:highlight w:val="lightGray"/>
        </w:rPr>
        <w:t xml:space="preserve"> </w:t>
      </w:r>
      <w:r w:rsidRPr="00722521">
        <w:rPr>
          <w:rFonts w:ascii="Verdana" w:hAnsi="Verdana"/>
          <w:spacing w:val="2"/>
          <w:sz w:val="17"/>
          <w:szCs w:val="17"/>
          <w:highlight w:val="lightGray"/>
        </w:rPr>
        <w:t>administrative</w:t>
      </w:r>
      <w:r w:rsidR="00205B86" w:rsidRPr="00722521">
        <w:rPr>
          <w:rFonts w:ascii="Verdana" w:hAnsi="Verdana"/>
          <w:spacing w:val="2"/>
          <w:sz w:val="17"/>
          <w:szCs w:val="17"/>
          <w:highlight w:val="lightGray"/>
        </w:rPr>
        <w:t xml:space="preserve"> </w:t>
      </w:r>
      <w:r w:rsidRPr="00722521">
        <w:rPr>
          <w:rFonts w:ascii="Verdana" w:hAnsi="Verdana"/>
          <w:spacing w:val="2"/>
          <w:sz w:val="17"/>
          <w:szCs w:val="17"/>
          <w:highlight w:val="lightGray"/>
        </w:rPr>
        <w:t>arrangements</w:t>
      </w:r>
      <w:r w:rsidR="00205B86" w:rsidRPr="00722521">
        <w:rPr>
          <w:rFonts w:ascii="Verdana" w:hAnsi="Verdana"/>
          <w:spacing w:val="2"/>
          <w:sz w:val="17"/>
          <w:szCs w:val="17"/>
          <w:highlight w:val="lightGray"/>
        </w:rPr>
        <w:t xml:space="preserve"> </w:t>
      </w:r>
      <w:r w:rsidRPr="00722521">
        <w:rPr>
          <w:rFonts w:ascii="Verdana" w:hAnsi="Verdana"/>
          <w:spacing w:val="2"/>
          <w:sz w:val="17"/>
          <w:szCs w:val="17"/>
          <w:highlight w:val="lightGray"/>
        </w:rPr>
        <w:t>between</w:t>
      </w:r>
      <w:r w:rsidR="00205B86" w:rsidRPr="00722521">
        <w:rPr>
          <w:rFonts w:ascii="Verdana" w:hAnsi="Verdana"/>
          <w:spacing w:val="2"/>
          <w:sz w:val="17"/>
          <w:szCs w:val="17"/>
          <w:highlight w:val="lightGray"/>
        </w:rPr>
        <w:t xml:space="preserve"> </w:t>
      </w:r>
      <w:r w:rsidRPr="00722521">
        <w:rPr>
          <w:rFonts w:ascii="Verdana" w:hAnsi="Verdana"/>
          <w:spacing w:val="2"/>
          <w:sz w:val="17"/>
          <w:szCs w:val="17"/>
          <w:highlight w:val="lightGray"/>
        </w:rPr>
        <w:t>national</w:t>
      </w:r>
      <w:r w:rsidR="00205B86" w:rsidRPr="00722521">
        <w:rPr>
          <w:rFonts w:ascii="Verdana" w:hAnsi="Verdana"/>
          <w:spacing w:val="2"/>
          <w:sz w:val="17"/>
          <w:szCs w:val="17"/>
          <w:highlight w:val="lightGray"/>
        </w:rPr>
        <w:t xml:space="preserve"> </w:t>
      </w:r>
      <w:r w:rsidRPr="00722521">
        <w:rPr>
          <w:rFonts w:ascii="Verdana" w:hAnsi="Verdana"/>
          <w:sz w:val="17"/>
          <w:szCs w:val="17"/>
          <w:highlight w:val="lightGray"/>
        </w:rPr>
        <w:t>competent authorities and third-country authorities? Should this role be further specified?</w:t>
      </w:r>
    </w:p>
    <w:p w14:paraId="5586EC9E" w14:textId="3F6478C5" w:rsidR="00BA160A" w:rsidRPr="00722521" w:rsidRDefault="00BA160A" w:rsidP="00A903E6">
      <w:pPr>
        <w:mirrorIndents/>
        <w:rPr>
          <w:sz w:val="17"/>
          <w:szCs w:val="17"/>
        </w:rPr>
      </w:pPr>
    </w:p>
    <w:p w14:paraId="0CBC20A3" w14:textId="50F2202A" w:rsidR="00C91E46" w:rsidRPr="00722521" w:rsidRDefault="00C91E46" w:rsidP="00C91E46">
      <w:pPr>
        <w:mirrorIndents/>
        <w:rPr>
          <w:sz w:val="17"/>
          <w:szCs w:val="17"/>
        </w:rPr>
      </w:pPr>
      <w:r w:rsidRPr="00722521">
        <w:rPr>
          <w:sz w:val="17"/>
          <w:szCs w:val="17"/>
        </w:rPr>
        <w:lastRenderedPageBreak/>
        <w:t xml:space="preserve">Through the administrative arrangements which EIOPA can conclude, notwithstanding the equivalence status, supervisory cooperation and coordination can be enhanced significantly. </w:t>
      </w:r>
      <w:r w:rsidR="00132F6E" w:rsidRPr="00722521">
        <w:rPr>
          <w:sz w:val="17"/>
          <w:szCs w:val="17"/>
        </w:rPr>
        <w:t xml:space="preserve">It is valuable to enhance mutual understanding, ease trade relations and promote level playing field between insurance markets. </w:t>
      </w:r>
      <w:r w:rsidRPr="00722521">
        <w:rPr>
          <w:sz w:val="17"/>
          <w:szCs w:val="17"/>
        </w:rPr>
        <w:t>The EIOPA mandate in that area seems satisfactory.</w:t>
      </w:r>
    </w:p>
    <w:p w14:paraId="707DA32E" w14:textId="595ADA51" w:rsidR="00205B86" w:rsidRPr="00722521" w:rsidRDefault="00205B86" w:rsidP="00BB481A">
      <w:pPr>
        <w:spacing w:after="200" w:line="276" w:lineRule="auto"/>
        <w:jc w:val="left"/>
        <w:rPr>
          <w:sz w:val="17"/>
          <w:szCs w:val="17"/>
        </w:rPr>
      </w:pPr>
    </w:p>
    <w:p w14:paraId="34304317" w14:textId="77777777" w:rsidR="00BA160A" w:rsidRPr="00722521" w:rsidRDefault="00BA160A" w:rsidP="00A903E6">
      <w:pPr>
        <w:pStyle w:val="Listenabsatz"/>
        <w:numPr>
          <w:ilvl w:val="1"/>
          <w:numId w:val="12"/>
        </w:numPr>
        <w:tabs>
          <w:tab w:val="left" w:pos="716"/>
        </w:tabs>
        <w:ind w:left="232" w:hanging="600"/>
        <w:mirrorIndents/>
        <w:rPr>
          <w:rFonts w:ascii="Verdana" w:hAnsi="Verdana"/>
          <w:b/>
          <w:szCs w:val="17"/>
        </w:rPr>
      </w:pPr>
      <w:r w:rsidRPr="00722521">
        <w:rPr>
          <w:rFonts w:ascii="Verdana" w:hAnsi="Verdana"/>
          <w:b/>
          <w:szCs w:val="17"/>
        </w:rPr>
        <w:t>The role of the ESAs as enforcement</w:t>
      </w:r>
      <w:r w:rsidRPr="00722521">
        <w:rPr>
          <w:rFonts w:ascii="Verdana" w:hAnsi="Verdana"/>
          <w:b/>
          <w:spacing w:val="-1"/>
          <w:szCs w:val="17"/>
        </w:rPr>
        <w:t xml:space="preserve"> </w:t>
      </w:r>
      <w:r w:rsidRPr="00722521">
        <w:rPr>
          <w:rFonts w:ascii="Verdana" w:hAnsi="Verdana"/>
          <w:b/>
          <w:szCs w:val="17"/>
        </w:rPr>
        <w:t>actors/enforcers</w:t>
      </w:r>
    </w:p>
    <w:p w14:paraId="3A8A8D17" w14:textId="77777777" w:rsidR="00BA160A" w:rsidRPr="00722521" w:rsidRDefault="00BA160A" w:rsidP="00A903E6">
      <w:pPr>
        <w:pStyle w:val="Textkrper"/>
        <w:mirrorIndents/>
        <w:rPr>
          <w:rFonts w:ascii="Verdana" w:hAnsi="Verdana"/>
          <w:sz w:val="17"/>
          <w:szCs w:val="17"/>
        </w:rPr>
      </w:pPr>
    </w:p>
    <w:p w14:paraId="70538CFC" w14:textId="77777777" w:rsidR="00BA160A" w:rsidRPr="00722521" w:rsidRDefault="00BA160A" w:rsidP="00A903E6">
      <w:pPr>
        <w:mirrorIndents/>
        <w:rPr>
          <w:sz w:val="17"/>
          <w:szCs w:val="17"/>
          <w:highlight w:val="lightGray"/>
        </w:rPr>
      </w:pPr>
      <w:r w:rsidRPr="00722521">
        <w:rPr>
          <w:sz w:val="17"/>
          <w:szCs w:val="17"/>
          <w:highlight w:val="lightGray"/>
        </w:rPr>
        <w:t>Under Articles 17 (breach of Union law), 18 (action in emergency situations) and 19 (settlement of disagreements between NCAs in cross-border situations/binding mediation), in case a competent authority fails to ensure that a</w:t>
      </w:r>
      <w:r w:rsidRPr="00722521">
        <w:rPr>
          <w:spacing w:val="-29"/>
          <w:sz w:val="17"/>
          <w:szCs w:val="17"/>
          <w:highlight w:val="lightGray"/>
        </w:rPr>
        <w:t xml:space="preserve"> </w:t>
      </w:r>
      <w:r w:rsidRPr="00722521">
        <w:rPr>
          <w:sz w:val="17"/>
          <w:szCs w:val="17"/>
          <w:highlight w:val="lightGray"/>
        </w:rPr>
        <w:t>market participant or financial institution complies with requirements directly applicable to it, the ESAs have the power to investigate the alleged breach or non-application of Union law and, following a specified procedure and under certain conditions, adopt an individual decision towards the market participant or financial institution requiring it to comply with EU</w:t>
      </w:r>
      <w:r w:rsidRPr="00722521">
        <w:rPr>
          <w:spacing w:val="-3"/>
          <w:sz w:val="17"/>
          <w:szCs w:val="17"/>
          <w:highlight w:val="lightGray"/>
        </w:rPr>
        <w:t xml:space="preserve"> </w:t>
      </w:r>
      <w:r w:rsidRPr="00722521">
        <w:rPr>
          <w:sz w:val="17"/>
          <w:szCs w:val="17"/>
          <w:highlight w:val="lightGray"/>
        </w:rPr>
        <w:t>law.</w:t>
      </w:r>
    </w:p>
    <w:p w14:paraId="50549363" w14:textId="77777777" w:rsidR="00BA160A" w:rsidRPr="00722521" w:rsidRDefault="00BA160A" w:rsidP="00A903E6">
      <w:pPr>
        <w:mirrorIndents/>
        <w:rPr>
          <w:sz w:val="17"/>
          <w:szCs w:val="17"/>
          <w:highlight w:val="lightGray"/>
        </w:rPr>
      </w:pPr>
    </w:p>
    <w:p w14:paraId="57A70FE9" w14:textId="77777777" w:rsidR="00BA160A" w:rsidRPr="00722521" w:rsidRDefault="00BA160A" w:rsidP="00FD3F83">
      <w:pPr>
        <w:pStyle w:val="Textkrper"/>
        <w:ind w:left="0"/>
        <w:mirrorIndents/>
        <w:rPr>
          <w:rFonts w:ascii="Verdana" w:hAnsi="Verdana"/>
          <w:sz w:val="17"/>
          <w:szCs w:val="17"/>
        </w:rPr>
      </w:pPr>
      <w:r w:rsidRPr="00722521">
        <w:rPr>
          <w:rFonts w:ascii="Verdana" w:hAnsi="Verdana"/>
          <w:sz w:val="17"/>
          <w:szCs w:val="17"/>
          <w:highlight w:val="lightGray"/>
        </w:rPr>
        <w:t>Question 1.10.1 EIOPA: How do you assess the role of EIOPA under these articles of the founding Regulations?</w:t>
      </w:r>
    </w:p>
    <w:p w14:paraId="5A9ECAF8" w14:textId="453C9EE0" w:rsidR="00BA160A" w:rsidRPr="00722521" w:rsidRDefault="00BA160A" w:rsidP="00A903E6">
      <w:pPr>
        <w:mirrorIndents/>
        <w:rPr>
          <w:sz w:val="17"/>
          <w:szCs w:val="17"/>
        </w:rPr>
      </w:pPr>
    </w:p>
    <w:p w14:paraId="100CAD03" w14:textId="44C4B3CB" w:rsidR="00C91492" w:rsidRPr="00722521" w:rsidRDefault="00722521" w:rsidP="00C91492">
      <w:pPr>
        <w:mirrorIndents/>
        <w:rPr>
          <w:sz w:val="17"/>
          <w:szCs w:val="17"/>
        </w:rPr>
      </w:pPr>
      <w:r>
        <w:rPr>
          <w:sz w:val="17"/>
          <w:szCs w:val="17"/>
        </w:rPr>
        <w:t>VVO</w:t>
      </w:r>
      <w:r w:rsidR="00C91492" w:rsidRPr="00722521">
        <w:rPr>
          <w:sz w:val="17"/>
          <w:szCs w:val="17"/>
        </w:rPr>
        <w:t xml:space="preserve"> believes that EIOPA</w:t>
      </w:r>
      <w:r w:rsidR="00EF375B" w:rsidRPr="00722521">
        <w:rPr>
          <w:sz w:val="17"/>
          <w:szCs w:val="17"/>
        </w:rPr>
        <w:t>’s role in</w:t>
      </w:r>
      <w:r w:rsidR="00C91492" w:rsidRPr="00722521">
        <w:rPr>
          <w:sz w:val="17"/>
          <w:szCs w:val="17"/>
        </w:rPr>
        <w:t xml:space="preserve"> assessing and detecting breaches of Union Law </w:t>
      </w:r>
      <w:r w:rsidR="00EF375B" w:rsidRPr="00722521">
        <w:rPr>
          <w:sz w:val="17"/>
          <w:szCs w:val="17"/>
        </w:rPr>
        <w:t xml:space="preserve">is central </w:t>
      </w:r>
      <w:r w:rsidR="00C91492" w:rsidRPr="00722521">
        <w:rPr>
          <w:sz w:val="17"/>
          <w:szCs w:val="17"/>
        </w:rPr>
        <w:t>with regards to the formation of the EU single market for insurance</w:t>
      </w:r>
      <w:r w:rsidR="0054117A" w:rsidRPr="00722521">
        <w:rPr>
          <w:sz w:val="17"/>
          <w:szCs w:val="17"/>
        </w:rPr>
        <w:t>, and</w:t>
      </w:r>
      <w:r w:rsidR="00C91492" w:rsidRPr="00722521">
        <w:rPr>
          <w:sz w:val="17"/>
          <w:szCs w:val="17"/>
        </w:rPr>
        <w:t xml:space="preserve"> considers the basis which Article 17 </w:t>
      </w:r>
      <w:r w:rsidR="0054117A" w:rsidRPr="00722521">
        <w:rPr>
          <w:sz w:val="17"/>
          <w:szCs w:val="17"/>
        </w:rPr>
        <w:t xml:space="preserve">of </w:t>
      </w:r>
      <w:r w:rsidR="00C91492" w:rsidRPr="00722521">
        <w:rPr>
          <w:sz w:val="17"/>
          <w:szCs w:val="17"/>
        </w:rPr>
        <w:t>EIOPA Regulation provide</w:t>
      </w:r>
      <w:r w:rsidR="0054117A" w:rsidRPr="00722521">
        <w:rPr>
          <w:sz w:val="17"/>
          <w:szCs w:val="17"/>
        </w:rPr>
        <w:t>s</w:t>
      </w:r>
      <w:r w:rsidR="00C91492" w:rsidRPr="00722521">
        <w:rPr>
          <w:sz w:val="17"/>
          <w:szCs w:val="17"/>
        </w:rPr>
        <w:t xml:space="preserve"> as very accurate. The interplay between EIOPA</w:t>
      </w:r>
      <w:r w:rsidR="00132F6E" w:rsidRPr="00722521">
        <w:rPr>
          <w:sz w:val="17"/>
          <w:szCs w:val="17"/>
        </w:rPr>
        <w:t>,</w:t>
      </w:r>
      <w:r w:rsidR="00C91492" w:rsidRPr="00722521">
        <w:rPr>
          <w:sz w:val="17"/>
          <w:szCs w:val="17"/>
        </w:rPr>
        <w:t xml:space="preserve"> the European Commission </w:t>
      </w:r>
      <w:r w:rsidR="00132F6E" w:rsidRPr="00722521">
        <w:rPr>
          <w:sz w:val="17"/>
          <w:szCs w:val="17"/>
        </w:rPr>
        <w:t>and N</w:t>
      </w:r>
      <w:r w:rsidR="005508AD" w:rsidRPr="00722521">
        <w:rPr>
          <w:sz w:val="17"/>
          <w:szCs w:val="17"/>
        </w:rPr>
        <w:t>S</w:t>
      </w:r>
      <w:r w:rsidR="00132F6E" w:rsidRPr="00722521">
        <w:rPr>
          <w:sz w:val="17"/>
          <w:szCs w:val="17"/>
        </w:rPr>
        <w:t xml:space="preserve">As </w:t>
      </w:r>
      <w:r w:rsidR="00C91492" w:rsidRPr="00722521">
        <w:rPr>
          <w:sz w:val="17"/>
          <w:szCs w:val="17"/>
        </w:rPr>
        <w:t>is essential to ensure a credible system which provides for the necessary legal gravitas.</w:t>
      </w:r>
    </w:p>
    <w:p w14:paraId="5155FE11" w14:textId="77777777" w:rsidR="00C91492" w:rsidRPr="00722521" w:rsidRDefault="00C91492" w:rsidP="00C91492">
      <w:pPr>
        <w:mirrorIndents/>
        <w:rPr>
          <w:sz w:val="17"/>
          <w:szCs w:val="17"/>
        </w:rPr>
      </w:pPr>
    </w:p>
    <w:p w14:paraId="6B00B1EF" w14:textId="27B13F30" w:rsidR="00C91492" w:rsidRPr="00722521" w:rsidRDefault="00C91492" w:rsidP="00C91492">
      <w:pPr>
        <w:mirrorIndents/>
        <w:rPr>
          <w:sz w:val="17"/>
          <w:szCs w:val="17"/>
          <w:highlight w:val="yellow"/>
        </w:rPr>
      </w:pPr>
      <w:r w:rsidRPr="00722521">
        <w:rPr>
          <w:sz w:val="17"/>
          <w:szCs w:val="17"/>
        </w:rPr>
        <w:t xml:space="preserve">With regards to the emergency powers of EIOPA in accordance with </w:t>
      </w:r>
      <w:r w:rsidR="00EB050F" w:rsidRPr="00722521">
        <w:rPr>
          <w:sz w:val="17"/>
          <w:szCs w:val="17"/>
        </w:rPr>
        <w:t>a</w:t>
      </w:r>
      <w:r w:rsidRPr="00722521">
        <w:rPr>
          <w:sz w:val="17"/>
          <w:szCs w:val="17"/>
        </w:rPr>
        <w:t xml:space="preserve">rticle 18 EIOPA Regulation, </w:t>
      </w:r>
      <w:r w:rsidR="00722521">
        <w:rPr>
          <w:sz w:val="17"/>
          <w:szCs w:val="17"/>
        </w:rPr>
        <w:t>VVO</w:t>
      </w:r>
      <w:r w:rsidRPr="00722521">
        <w:rPr>
          <w:sz w:val="17"/>
          <w:szCs w:val="17"/>
        </w:rPr>
        <w:t xml:space="preserve"> reiterates its comments with specific regards to the recent emergency situation under the </w:t>
      </w:r>
      <w:r w:rsidR="005508AD" w:rsidRPr="00722521">
        <w:rPr>
          <w:sz w:val="17"/>
          <w:szCs w:val="17"/>
        </w:rPr>
        <w:t>COVID</w:t>
      </w:r>
      <w:r w:rsidRPr="00722521">
        <w:rPr>
          <w:sz w:val="17"/>
          <w:szCs w:val="17"/>
        </w:rPr>
        <w:t>-19 crisis. While EIOPA’s powers under Article 18 EIOPA Regulation a</w:t>
      </w:r>
      <w:r w:rsidR="00EB050F" w:rsidRPr="00722521">
        <w:rPr>
          <w:sz w:val="17"/>
          <w:szCs w:val="17"/>
        </w:rPr>
        <w:t>re</w:t>
      </w:r>
      <w:r w:rsidRPr="00722521">
        <w:rPr>
          <w:sz w:val="17"/>
          <w:szCs w:val="17"/>
        </w:rPr>
        <w:t xml:space="preserve"> balanced and well-designed, it was particularly the political activity of the Authority which challenged the insurance market. EIOPA, in close cooperation with the NCAs and the ESRB</w:t>
      </w:r>
      <w:r w:rsidR="00EB050F" w:rsidRPr="00722521">
        <w:rPr>
          <w:sz w:val="17"/>
          <w:szCs w:val="17"/>
        </w:rPr>
        <w:t>,</w:t>
      </w:r>
      <w:r w:rsidRPr="00722521">
        <w:rPr>
          <w:sz w:val="17"/>
          <w:szCs w:val="17"/>
        </w:rPr>
        <w:t xml:space="preserve"> should focus on coordinating a consistent reply to an emergency situation rather than focusing on public declarations. </w:t>
      </w:r>
      <w:r w:rsidR="00EB050F" w:rsidRPr="00722521">
        <w:rPr>
          <w:sz w:val="17"/>
          <w:szCs w:val="17"/>
        </w:rPr>
        <w:t>T</w:t>
      </w:r>
      <w:r w:rsidRPr="00722521">
        <w:rPr>
          <w:sz w:val="17"/>
          <w:szCs w:val="17"/>
        </w:rPr>
        <w:t xml:space="preserve">he </w:t>
      </w:r>
      <w:r w:rsidR="005508AD" w:rsidRPr="00722521">
        <w:rPr>
          <w:sz w:val="17"/>
          <w:szCs w:val="17"/>
        </w:rPr>
        <w:t>COVID</w:t>
      </w:r>
      <w:r w:rsidRPr="00722521">
        <w:rPr>
          <w:sz w:val="17"/>
          <w:szCs w:val="17"/>
        </w:rPr>
        <w:t>-19 crisis presented a challenge to the European insurance industry, but not an emergency</w:t>
      </w:r>
      <w:r w:rsidR="00EB050F" w:rsidRPr="00722521">
        <w:rPr>
          <w:sz w:val="17"/>
          <w:szCs w:val="17"/>
        </w:rPr>
        <w:t>, as confirmed by the decision not to declare an emergency situation under article 18.2 of EIOPA regulation</w:t>
      </w:r>
      <w:r w:rsidRPr="00722521">
        <w:rPr>
          <w:sz w:val="17"/>
          <w:szCs w:val="17"/>
        </w:rPr>
        <w:t xml:space="preserve">. Insurers made great efforts to adapt to the operational challenges immediately and served their customers without any major disruption. Furthermore, there have been no incidents which might have challenged the stability of the insurance market. </w:t>
      </w:r>
    </w:p>
    <w:p w14:paraId="14B6FCE9" w14:textId="77777777" w:rsidR="00C91492" w:rsidRPr="00722521" w:rsidRDefault="00C91492" w:rsidP="00C91492">
      <w:pPr>
        <w:mirrorIndents/>
        <w:rPr>
          <w:sz w:val="17"/>
          <w:szCs w:val="17"/>
          <w:highlight w:val="yellow"/>
        </w:rPr>
      </w:pPr>
    </w:p>
    <w:p w14:paraId="7D8D5E01" w14:textId="6F15CD28" w:rsidR="00FD3F83" w:rsidRPr="00722521" w:rsidRDefault="00C91492" w:rsidP="00A903E6">
      <w:pPr>
        <w:mirrorIndents/>
        <w:rPr>
          <w:sz w:val="17"/>
          <w:szCs w:val="17"/>
        </w:rPr>
      </w:pPr>
      <w:r w:rsidRPr="00722521">
        <w:rPr>
          <w:sz w:val="17"/>
          <w:szCs w:val="17"/>
        </w:rPr>
        <w:t>On the third aspect, EIOPA’s powers to settle disagreement between N</w:t>
      </w:r>
      <w:r w:rsidR="00EB050F" w:rsidRPr="00722521">
        <w:rPr>
          <w:sz w:val="17"/>
          <w:szCs w:val="17"/>
        </w:rPr>
        <w:t>S</w:t>
      </w:r>
      <w:r w:rsidRPr="00722521">
        <w:rPr>
          <w:sz w:val="17"/>
          <w:szCs w:val="17"/>
        </w:rPr>
        <w:t xml:space="preserve">As in cross-border situations, </w:t>
      </w:r>
      <w:r w:rsidR="00722521">
        <w:rPr>
          <w:sz w:val="17"/>
          <w:szCs w:val="17"/>
        </w:rPr>
        <w:t>VVO</w:t>
      </w:r>
      <w:r w:rsidRPr="00722521">
        <w:rPr>
          <w:sz w:val="17"/>
          <w:szCs w:val="17"/>
        </w:rPr>
        <w:t xml:space="preserve"> believes that EIOPA has an essential role to play. A consistent supervision across the single market is fundamental for its integrity, consumer protection and fair competition. The powers, as laid down in Article 19 of the EIOPA Regulation are considered appropriate. Particularly, the strengthened competences of the Authority (by action of its Chair) in Article 19.1b as introduced by the 2019 ESA Review are considered a valuable addition. At the same time, </w:t>
      </w:r>
      <w:r w:rsidR="00722521">
        <w:rPr>
          <w:sz w:val="17"/>
          <w:szCs w:val="17"/>
        </w:rPr>
        <w:t>VVO</w:t>
      </w:r>
      <w:r w:rsidRPr="00722521">
        <w:rPr>
          <w:sz w:val="17"/>
          <w:szCs w:val="17"/>
        </w:rPr>
        <w:t xml:space="preserve"> believes that the process recognises the responsibilities in the EU supervisory framework, namely the interaction between home and host authorities. </w:t>
      </w:r>
      <w:r w:rsidR="00722521">
        <w:rPr>
          <w:sz w:val="17"/>
          <w:szCs w:val="17"/>
        </w:rPr>
        <w:t>VVO</w:t>
      </w:r>
      <w:r w:rsidR="00EB050F" w:rsidRPr="00722521">
        <w:rPr>
          <w:sz w:val="17"/>
          <w:szCs w:val="17"/>
        </w:rPr>
        <w:t xml:space="preserve"> </w:t>
      </w:r>
      <w:r w:rsidRPr="00722521">
        <w:rPr>
          <w:sz w:val="17"/>
          <w:szCs w:val="17"/>
        </w:rPr>
        <w:t>is advocating for an enhanced information exchange between concerned N</w:t>
      </w:r>
      <w:r w:rsidR="00EB050F" w:rsidRPr="00722521">
        <w:rPr>
          <w:sz w:val="17"/>
          <w:szCs w:val="17"/>
        </w:rPr>
        <w:t>S</w:t>
      </w:r>
      <w:r w:rsidRPr="00722521">
        <w:rPr>
          <w:sz w:val="17"/>
          <w:szCs w:val="17"/>
        </w:rPr>
        <w:t>As and increased transparency on supervisory processes through permanent exchange mechanisms and pre-defined information requirements to home and host N</w:t>
      </w:r>
      <w:r w:rsidR="00EB050F" w:rsidRPr="00722521">
        <w:rPr>
          <w:sz w:val="17"/>
          <w:szCs w:val="17"/>
        </w:rPr>
        <w:t>S</w:t>
      </w:r>
      <w:r w:rsidRPr="00722521">
        <w:rPr>
          <w:sz w:val="17"/>
          <w:szCs w:val="17"/>
        </w:rPr>
        <w:t>As</w:t>
      </w:r>
      <w:r w:rsidR="00EB050F" w:rsidRPr="00722521">
        <w:rPr>
          <w:sz w:val="17"/>
          <w:szCs w:val="17"/>
        </w:rPr>
        <w:t>, as proposed in</w:t>
      </w:r>
      <w:r w:rsidRPr="00722521">
        <w:rPr>
          <w:sz w:val="17"/>
          <w:szCs w:val="17"/>
        </w:rPr>
        <w:t xml:space="preserve"> the ongoing review of the Solvency II Directive</w:t>
      </w:r>
      <w:r w:rsidR="00EB050F" w:rsidRPr="00722521">
        <w:rPr>
          <w:sz w:val="17"/>
          <w:szCs w:val="17"/>
        </w:rPr>
        <w:t>.</w:t>
      </w:r>
      <w:r w:rsidRPr="00722521">
        <w:rPr>
          <w:sz w:val="17"/>
          <w:szCs w:val="17"/>
        </w:rPr>
        <w:t xml:space="preserve"> </w:t>
      </w:r>
      <w:r w:rsidR="00EB050F" w:rsidRPr="00722521">
        <w:rPr>
          <w:sz w:val="17"/>
          <w:szCs w:val="17"/>
        </w:rPr>
        <w:t>This</w:t>
      </w:r>
      <w:r w:rsidRPr="00722521">
        <w:rPr>
          <w:sz w:val="17"/>
          <w:szCs w:val="17"/>
        </w:rPr>
        <w:t xml:space="preserve"> would allow for a more substantial interaction between N</w:t>
      </w:r>
      <w:r w:rsidR="00EB050F" w:rsidRPr="00722521">
        <w:rPr>
          <w:sz w:val="17"/>
          <w:szCs w:val="17"/>
        </w:rPr>
        <w:t>S</w:t>
      </w:r>
      <w:r w:rsidRPr="00722521">
        <w:rPr>
          <w:sz w:val="17"/>
          <w:szCs w:val="17"/>
        </w:rPr>
        <w:t>As and a more consistent application and enforcement of regulation.</w:t>
      </w:r>
    </w:p>
    <w:p w14:paraId="18DD68EF" w14:textId="083C9C16" w:rsidR="00BA160A" w:rsidRPr="00722521" w:rsidRDefault="00BA160A" w:rsidP="00FD3F83">
      <w:pPr>
        <w:pStyle w:val="Textkrper"/>
        <w:ind w:left="0"/>
        <w:mirrorIndents/>
        <w:rPr>
          <w:rFonts w:ascii="Verdana" w:hAnsi="Verdana"/>
          <w:sz w:val="17"/>
          <w:szCs w:val="17"/>
        </w:rPr>
      </w:pPr>
      <w:r w:rsidRPr="00722521">
        <w:rPr>
          <w:rFonts w:ascii="Verdana" w:hAnsi="Verdana"/>
          <w:sz w:val="17"/>
          <w:szCs w:val="17"/>
          <w:highlight w:val="lightGray"/>
        </w:rPr>
        <w:t>Question 1.10.2 EIOPA: Do you see room for improvement in the way EIOPA could ensure that competent authorities enforce more effectively EU rules towards market participants/financial institutions?</w:t>
      </w:r>
    </w:p>
    <w:p w14:paraId="3CCB696C" w14:textId="0FC5B6EE" w:rsidR="00FD3F83" w:rsidRPr="00722521" w:rsidRDefault="00BA160A" w:rsidP="00FD3F83">
      <w:pPr>
        <w:pStyle w:val="CEABullet-Level1"/>
        <w:rPr>
          <w:color w:val="auto"/>
          <w:highlight w:val="lightGray"/>
        </w:rPr>
      </w:pPr>
      <w:r w:rsidRPr="00722521">
        <w:rPr>
          <w:color w:val="auto"/>
          <w:highlight w:val="lightGray"/>
        </w:rPr>
        <w:t xml:space="preserve">Yes </w:t>
      </w:r>
    </w:p>
    <w:p w14:paraId="010F4E54" w14:textId="512CBFEB" w:rsidR="00BA160A" w:rsidRPr="00722521" w:rsidRDefault="00BA160A" w:rsidP="00FD3F83">
      <w:pPr>
        <w:pStyle w:val="CEABullet-Level1"/>
        <w:rPr>
          <w:color w:val="auto"/>
          <w:highlight w:val="lightGray"/>
        </w:rPr>
      </w:pPr>
      <w:r w:rsidRPr="00722521">
        <w:rPr>
          <w:color w:val="auto"/>
          <w:highlight w:val="lightGray"/>
        </w:rPr>
        <w:t>No</w:t>
      </w:r>
    </w:p>
    <w:p w14:paraId="433C9427" w14:textId="77777777" w:rsidR="00BA160A" w:rsidRPr="00722521" w:rsidRDefault="00BA160A" w:rsidP="00FD3F83">
      <w:pPr>
        <w:pStyle w:val="CEABullet-Level1"/>
        <w:rPr>
          <w:color w:val="auto"/>
          <w:highlight w:val="lightGray"/>
        </w:rPr>
      </w:pPr>
      <w:r w:rsidRPr="00722521">
        <w:rPr>
          <w:color w:val="auto"/>
          <w:highlight w:val="lightGray"/>
        </w:rPr>
        <w:t>Don’t know / no opinion / not relevant</w:t>
      </w:r>
    </w:p>
    <w:p w14:paraId="060C7962" w14:textId="0D74451B" w:rsidR="00BA160A" w:rsidRPr="00722521" w:rsidRDefault="00BA160A" w:rsidP="00A903E6">
      <w:pPr>
        <w:mirrorIndents/>
        <w:rPr>
          <w:sz w:val="17"/>
          <w:szCs w:val="17"/>
        </w:rPr>
      </w:pPr>
    </w:p>
    <w:p w14:paraId="408BD634" w14:textId="2691FB1A" w:rsidR="00EB050F" w:rsidRPr="00722521" w:rsidRDefault="00EB050F" w:rsidP="00A903E6">
      <w:pPr>
        <w:mirrorIndents/>
        <w:rPr>
          <w:sz w:val="17"/>
          <w:szCs w:val="17"/>
        </w:rPr>
      </w:pPr>
      <w:r w:rsidRPr="00722521">
        <w:rPr>
          <w:sz w:val="17"/>
          <w:szCs w:val="17"/>
        </w:rPr>
        <w:t>No</w:t>
      </w:r>
    </w:p>
    <w:p w14:paraId="495AE4D8" w14:textId="77777777" w:rsidR="00EB050F" w:rsidRPr="00722521" w:rsidRDefault="00EB050F" w:rsidP="00A903E6">
      <w:pPr>
        <w:mirrorIndents/>
        <w:rPr>
          <w:sz w:val="17"/>
          <w:szCs w:val="17"/>
        </w:rPr>
      </w:pPr>
    </w:p>
    <w:p w14:paraId="2799620B" w14:textId="77777777" w:rsidR="00BA160A" w:rsidRPr="00722521" w:rsidRDefault="00BA160A" w:rsidP="00FD3F83">
      <w:pPr>
        <w:pStyle w:val="Textkrper"/>
        <w:ind w:left="0"/>
        <w:mirrorIndents/>
        <w:rPr>
          <w:rFonts w:ascii="Verdana" w:hAnsi="Verdana"/>
          <w:sz w:val="17"/>
          <w:szCs w:val="17"/>
        </w:rPr>
      </w:pPr>
      <w:r w:rsidRPr="00722521">
        <w:rPr>
          <w:rFonts w:ascii="Verdana" w:hAnsi="Verdana"/>
          <w:sz w:val="17"/>
          <w:szCs w:val="17"/>
          <w:highlight w:val="lightGray"/>
        </w:rPr>
        <w:lastRenderedPageBreak/>
        <w:t>Please explain your answer to question 1.10.2 for EIOPA:</w:t>
      </w:r>
    </w:p>
    <w:p w14:paraId="281D3EF6" w14:textId="721434E6" w:rsidR="00BA160A" w:rsidRPr="00722521" w:rsidRDefault="00BA160A" w:rsidP="00A903E6">
      <w:pPr>
        <w:mirrorIndents/>
        <w:rPr>
          <w:sz w:val="17"/>
          <w:szCs w:val="17"/>
        </w:rPr>
      </w:pPr>
    </w:p>
    <w:p w14:paraId="0C3E52B2" w14:textId="517581A3" w:rsidR="00FD3F83" w:rsidRPr="00722521" w:rsidRDefault="00FD3F83" w:rsidP="00A903E6">
      <w:pPr>
        <w:mirrorIndents/>
        <w:rPr>
          <w:sz w:val="17"/>
          <w:szCs w:val="17"/>
        </w:rPr>
      </w:pPr>
    </w:p>
    <w:p w14:paraId="23FB1AD7" w14:textId="77777777" w:rsidR="00FD3F83" w:rsidRPr="00722521" w:rsidRDefault="00FD3F83" w:rsidP="00A903E6">
      <w:pPr>
        <w:mirrorIndents/>
        <w:rPr>
          <w:sz w:val="17"/>
          <w:szCs w:val="17"/>
        </w:rPr>
      </w:pPr>
    </w:p>
    <w:p w14:paraId="0505271B" w14:textId="4DCF8158" w:rsidR="00BA160A" w:rsidRPr="00722521" w:rsidRDefault="00BA160A" w:rsidP="00FD3F83">
      <w:pPr>
        <w:pStyle w:val="Textkrper"/>
        <w:ind w:left="0"/>
        <w:mirrorIndents/>
        <w:rPr>
          <w:rFonts w:ascii="Verdana" w:hAnsi="Verdana"/>
          <w:sz w:val="17"/>
          <w:szCs w:val="17"/>
        </w:rPr>
      </w:pPr>
      <w:r w:rsidRPr="00722521">
        <w:rPr>
          <w:rFonts w:ascii="Verdana" w:hAnsi="Verdana"/>
          <w:sz w:val="17"/>
          <w:szCs w:val="17"/>
          <w:highlight w:val="lightGray"/>
        </w:rPr>
        <w:t xml:space="preserve">Question 1.10.3 In your view, are the powers of the ESAs to enforce EU rules towards market participants/financial institutions under Articles 17, 18 and 19 ESAs Regulations well balanced, </w:t>
      </w:r>
      <w:proofErr w:type="gramStart"/>
      <w:r w:rsidRPr="00722521">
        <w:rPr>
          <w:rFonts w:ascii="Verdana" w:hAnsi="Verdana"/>
          <w:sz w:val="17"/>
          <w:szCs w:val="17"/>
          <w:highlight w:val="lightGray"/>
        </w:rPr>
        <w:t>adequate</w:t>
      </w:r>
      <w:proofErr w:type="gramEnd"/>
      <w:r w:rsidRPr="00722521">
        <w:rPr>
          <w:rFonts w:ascii="Verdana" w:hAnsi="Verdana"/>
          <w:sz w:val="17"/>
          <w:szCs w:val="17"/>
          <w:highlight w:val="lightGray"/>
        </w:rPr>
        <w:t xml:space="preserve"> and effective?</w:t>
      </w:r>
    </w:p>
    <w:p w14:paraId="3124C4E0" w14:textId="77777777" w:rsidR="00FD3F83" w:rsidRPr="00722521" w:rsidRDefault="00BA160A" w:rsidP="00FD3F83">
      <w:pPr>
        <w:pStyle w:val="CEABullet-Level1"/>
        <w:rPr>
          <w:color w:val="auto"/>
          <w:highlight w:val="lightGray"/>
        </w:rPr>
      </w:pPr>
      <w:r w:rsidRPr="00722521">
        <w:rPr>
          <w:color w:val="auto"/>
          <w:highlight w:val="lightGray"/>
        </w:rPr>
        <w:t>Yes</w:t>
      </w:r>
    </w:p>
    <w:p w14:paraId="31B9F214" w14:textId="6AA19FF6" w:rsidR="00BA160A" w:rsidRPr="00722521" w:rsidRDefault="00BA160A" w:rsidP="00FD3F83">
      <w:pPr>
        <w:pStyle w:val="CEABullet-Level1"/>
        <w:rPr>
          <w:color w:val="auto"/>
          <w:highlight w:val="lightGray"/>
        </w:rPr>
      </w:pPr>
      <w:r w:rsidRPr="00722521">
        <w:rPr>
          <w:color w:val="auto"/>
          <w:highlight w:val="lightGray"/>
        </w:rPr>
        <w:t>No</w:t>
      </w:r>
    </w:p>
    <w:p w14:paraId="4588B6BE" w14:textId="77777777" w:rsidR="00BA160A" w:rsidRPr="00722521" w:rsidRDefault="00BA160A" w:rsidP="00FD3F83">
      <w:pPr>
        <w:pStyle w:val="CEABullet-Level1"/>
        <w:rPr>
          <w:color w:val="auto"/>
          <w:highlight w:val="lightGray"/>
        </w:rPr>
      </w:pPr>
      <w:r w:rsidRPr="00722521">
        <w:rPr>
          <w:color w:val="auto"/>
          <w:highlight w:val="lightGray"/>
        </w:rPr>
        <w:t>Don’t know / no opinion / not relevant</w:t>
      </w:r>
    </w:p>
    <w:p w14:paraId="62B49F08" w14:textId="6232F874" w:rsidR="00FD3F83" w:rsidRPr="00722521" w:rsidRDefault="00FD3F83" w:rsidP="00FD3F83">
      <w:pPr>
        <w:pStyle w:val="Textkrper"/>
        <w:ind w:left="0"/>
        <w:mirrorIndents/>
        <w:rPr>
          <w:rFonts w:ascii="Verdana" w:hAnsi="Verdana"/>
          <w:sz w:val="17"/>
          <w:szCs w:val="17"/>
        </w:rPr>
      </w:pPr>
    </w:p>
    <w:p w14:paraId="58725421" w14:textId="4EC9AC11" w:rsidR="007F6AEA" w:rsidRPr="00722521" w:rsidRDefault="007F6AEA" w:rsidP="00FD3F83">
      <w:pPr>
        <w:pStyle w:val="Textkrper"/>
        <w:ind w:left="0"/>
        <w:mirrorIndents/>
        <w:rPr>
          <w:rFonts w:ascii="Verdana" w:hAnsi="Verdana"/>
          <w:b w:val="0"/>
          <w:bCs w:val="0"/>
          <w:sz w:val="17"/>
          <w:szCs w:val="17"/>
        </w:rPr>
      </w:pPr>
      <w:r w:rsidRPr="00722521">
        <w:rPr>
          <w:rFonts w:ascii="Verdana" w:hAnsi="Verdana"/>
          <w:b w:val="0"/>
          <w:bCs w:val="0"/>
          <w:sz w:val="17"/>
          <w:szCs w:val="17"/>
        </w:rPr>
        <w:t>Yes</w:t>
      </w:r>
    </w:p>
    <w:p w14:paraId="29DADFD8" w14:textId="77777777" w:rsidR="007F6AEA" w:rsidRPr="00722521" w:rsidRDefault="007F6AEA" w:rsidP="00FD3F83">
      <w:pPr>
        <w:pStyle w:val="Textkrper"/>
        <w:ind w:left="0"/>
        <w:mirrorIndents/>
        <w:rPr>
          <w:rFonts w:ascii="Verdana" w:hAnsi="Verdana"/>
          <w:sz w:val="17"/>
          <w:szCs w:val="17"/>
        </w:rPr>
      </w:pPr>
    </w:p>
    <w:p w14:paraId="6B036C1C" w14:textId="56570055" w:rsidR="00BA160A" w:rsidRPr="00722521" w:rsidRDefault="00BA160A" w:rsidP="00FD3F83">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1.10.3:</w:t>
      </w:r>
    </w:p>
    <w:p w14:paraId="79B42961" w14:textId="5582915C" w:rsidR="00BA160A" w:rsidRPr="00722521" w:rsidRDefault="00BA160A" w:rsidP="00A903E6">
      <w:pPr>
        <w:mirrorIndents/>
        <w:rPr>
          <w:sz w:val="17"/>
          <w:szCs w:val="17"/>
        </w:rPr>
      </w:pPr>
    </w:p>
    <w:p w14:paraId="60449F47" w14:textId="4EA40982" w:rsidR="00C91492" w:rsidRPr="00722521" w:rsidRDefault="00722521" w:rsidP="00C91492">
      <w:pPr>
        <w:mirrorIndents/>
        <w:rPr>
          <w:sz w:val="17"/>
          <w:szCs w:val="17"/>
        </w:rPr>
      </w:pPr>
      <w:r>
        <w:rPr>
          <w:sz w:val="17"/>
          <w:szCs w:val="17"/>
        </w:rPr>
        <w:t>VVO</w:t>
      </w:r>
      <w:r w:rsidR="00C91492" w:rsidRPr="00722521">
        <w:rPr>
          <w:sz w:val="17"/>
          <w:szCs w:val="17"/>
        </w:rPr>
        <w:t xml:space="preserve"> believes that the provisions of Articles 17-19 of the EIOPA Regulation are well-balanced, adequate and effective. It is important to note that the primary addressee of EIOPA action under these provisions are not insurance undertakings, but N</w:t>
      </w:r>
      <w:r w:rsidR="007F6AEA" w:rsidRPr="00722521">
        <w:rPr>
          <w:sz w:val="17"/>
          <w:szCs w:val="17"/>
        </w:rPr>
        <w:t>S</w:t>
      </w:r>
      <w:r w:rsidR="00C91492" w:rsidRPr="00722521">
        <w:rPr>
          <w:sz w:val="17"/>
          <w:szCs w:val="17"/>
        </w:rPr>
        <w:t>As. Only where N</w:t>
      </w:r>
      <w:r w:rsidR="007F6AEA" w:rsidRPr="00722521">
        <w:rPr>
          <w:sz w:val="17"/>
          <w:szCs w:val="17"/>
        </w:rPr>
        <w:t>S</w:t>
      </w:r>
      <w:r w:rsidR="00C91492" w:rsidRPr="00722521">
        <w:rPr>
          <w:sz w:val="17"/>
          <w:szCs w:val="17"/>
        </w:rPr>
        <w:t xml:space="preserve">As fail to act/comply with Union </w:t>
      </w:r>
      <w:r w:rsidR="007F6AEA" w:rsidRPr="00722521">
        <w:rPr>
          <w:sz w:val="17"/>
          <w:szCs w:val="17"/>
        </w:rPr>
        <w:t>l</w:t>
      </w:r>
      <w:r w:rsidR="00C91492" w:rsidRPr="00722521">
        <w:rPr>
          <w:sz w:val="17"/>
          <w:szCs w:val="17"/>
        </w:rPr>
        <w:t xml:space="preserve">aw (Article 17.6 EIOPA Regulation), an </w:t>
      </w:r>
      <w:r w:rsidR="007F6AEA" w:rsidRPr="00722521">
        <w:rPr>
          <w:sz w:val="17"/>
          <w:szCs w:val="17"/>
        </w:rPr>
        <w:t>o</w:t>
      </w:r>
      <w:r w:rsidR="00C91492" w:rsidRPr="00722521">
        <w:rPr>
          <w:sz w:val="17"/>
          <w:szCs w:val="17"/>
        </w:rPr>
        <w:t xml:space="preserve">pinion adopted by EIOPA (Article 18.4 EIOPA Regulation) or an EIOPA decision (Article 19.4 EIOPA Regulation), EIOPA measures might be directly applicable to financial institutions. </w:t>
      </w:r>
      <w:r w:rsidR="00132F6E" w:rsidRPr="00722521">
        <w:rPr>
          <w:sz w:val="17"/>
          <w:szCs w:val="17"/>
        </w:rPr>
        <w:t xml:space="preserve">One important point is that EIOPA’s actions are taken sufficiently early to be effective. </w:t>
      </w:r>
      <w:r>
        <w:rPr>
          <w:sz w:val="17"/>
          <w:szCs w:val="17"/>
        </w:rPr>
        <w:t>VVO</w:t>
      </w:r>
      <w:r w:rsidR="007F6AEA" w:rsidRPr="00722521">
        <w:rPr>
          <w:sz w:val="17"/>
          <w:szCs w:val="17"/>
        </w:rPr>
        <w:t xml:space="preserve"> </w:t>
      </w:r>
      <w:r w:rsidR="00C91492" w:rsidRPr="00722521">
        <w:rPr>
          <w:sz w:val="17"/>
          <w:szCs w:val="17"/>
        </w:rPr>
        <w:t>considers this provision as important. N</w:t>
      </w:r>
      <w:r w:rsidR="007F6AEA" w:rsidRPr="00722521">
        <w:rPr>
          <w:sz w:val="17"/>
          <w:szCs w:val="17"/>
        </w:rPr>
        <w:t>S</w:t>
      </w:r>
      <w:r w:rsidR="00C91492" w:rsidRPr="00722521">
        <w:rPr>
          <w:sz w:val="17"/>
          <w:szCs w:val="17"/>
        </w:rPr>
        <w:t xml:space="preserve">As, which should generally be expected to respect Union </w:t>
      </w:r>
      <w:r w:rsidR="007F6AEA" w:rsidRPr="00722521">
        <w:rPr>
          <w:sz w:val="17"/>
          <w:szCs w:val="17"/>
        </w:rPr>
        <w:t>l</w:t>
      </w:r>
      <w:r w:rsidR="00C91492" w:rsidRPr="00722521">
        <w:rPr>
          <w:sz w:val="17"/>
          <w:szCs w:val="17"/>
        </w:rPr>
        <w:t xml:space="preserve">aw and EIOPA </w:t>
      </w:r>
      <w:r w:rsidR="007F6AEA" w:rsidRPr="00722521">
        <w:rPr>
          <w:sz w:val="17"/>
          <w:szCs w:val="17"/>
        </w:rPr>
        <w:t>o</w:t>
      </w:r>
      <w:r w:rsidR="00C91492" w:rsidRPr="00722521">
        <w:rPr>
          <w:sz w:val="17"/>
          <w:szCs w:val="17"/>
        </w:rPr>
        <w:t xml:space="preserve">pinions and </w:t>
      </w:r>
      <w:r w:rsidR="007F6AEA" w:rsidRPr="00722521">
        <w:rPr>
          <w:sz w:val="17"/>
          <w:szCs w:val="17"/>
        </w:rPr>
        <w:t>d</w:t>
      </w:r>
      <w:r w:rsidR="00C91492" w:rsidRPr="00722521">
        <w:rPr>
          <w:sz w:val="17"/>
          <w:szCs w:val="17"/>
        </w:rPr>
        <w:t>ecisions, are in the position to apply the respective measures in a manner appropriate to the respective situation in its market. Consistent substance should always prevail consistent form in supervisory policy.</w:t>
      </w:r>
    </w:p>
    <w:p w14:paraId="439F3FBC" w14:textId="77777777" w:rsidR="00C91492" w:rsidRPr="00722521" w:rsidRDefault="00C91492" w:rsidP="00C91492">
      <w:pPr>
        <w:mirrorIndents/>
        <w:rPr>
          <w:sz w:val="17"/>
          <w:szCs w:val="17"/>
        </w:rPr>
      </w:pPr>
    </w:p>
    <w:p w14:paraId="4F5CDA13" w14:textId="535DAA07" w:rsidR="00C91492" w:rsidRPr="00722521" w:rsidRDefault="00C91492" w:rsidP="00C91492">
      <w:pPr>
        <w:mirrorIndents/>
        <w:rPr>
          <w:sz w:val="17"/>
          <w:szCs w:val="17"/>
        </w:rPr>
      </w:pPr>
      <w:r w:rsidRPr="00722521">
        <w:rPr>
          <w:sz w:val="17"/>
          <w:szCs w:val="17"/>
        </w:rPr>
        <w:t>Nonetheless, where a</w:t>
      </w:r>
      <w:r w:rsidR="007F6AEA" w:rsidRPr="00722521">
        <w:rPr>
          <w:sz w:val="17"/>
          <w:szCs w:val="17"/>
        </w:rPr>
        <w:t>n</w:t>
      </w:r>
      <w:r w:rsidRPr="00722521">
        <w:rPr>
          <w:sz w:val="17"/>
          <w:szCs w:val="17"/>
        </w:rPr>
        <w:t xml:space="preserve"> N</w:t>
      </w:r>
      <w:r w:rsidR="007F6AEA" w:rsidRPr="00722521">
        <w:rPr>
          <w:sz w:val="17"/>
          <w:szCs w:val="17"/>
        </w:rPr>
        <w:t>S</w:t>
      </w:r>
      <w:r w:rsidRPr="00722521">
        <w:rPr>
          <w:sz w:val="17"/>
          <w:szCs w:val="17"/>
        </w:rPr>
        <w:t xml:space="preserve">A does not ensure compliance with Union </w:t>
      </w:r>
      <w:r w:rsidR="007F6AEA" w:rsidRPr="00722521">
        <w:rPr>
          <w:sz w:val="17"/>
          <w:szCs w:val="17"/>
        </w:rPr>
        <w:t>l</w:t>
      </w:r>
      <w:r w:rsidRPr="00722521">
        <w:rPr>
          <w:sz w:val="17"/>
          <w:szCs w:val="17"/>
        </w:rPr>
        <w:t xml:space="preserve">aw, an EIOPA </w:t>
      </w:r>
      <w:r w:rsidR="007F6AEA" w:rsidRPr="00722521">
        <w:rPr>
          <w:sz w:val="17"/>
          <w:szCs w:val="17"/>
        </w:rPr>
        <w:t>o</w:t>
      </w:r>
      <w:r w:rsidRPr="00722521">
        <w:rPr>
          <w:sz w:val="17"/>
          <w:szCs w:val="17"/>
        </w:rPr>
        <w:t xml:space="preserve">pinion or a </w:t>
      </w:r>
      <w:r w:rsidR="007F6AEA" w:rsidRPr="00722521">
        <w:rPr>
          <w:sz w:val="17"/>
          <w:szCs w:val="17"/>
        </w:rPr>
        <w:t>d</w:t>
      </w:r>
      <w:r w:rsidRPr="00722521">
        <w:rPr>
          <w:sz w:val="17"/>
          <w:szCs w:val="17"/>
        </w:rPr>
        <w:t xml:space="preserve">ecision, </w:t>
      </w:r>
      <w:r w:rsidR="00722521">
        <w:rPr>
          <w:sz w:val="17"/>
          <w:szCs w:val="17"/>
        </w:rPr>
        <w:t>VVO</w:t>
      </w:r>
      <w:r w:rsidRPr="00722521">
        <w:rPr>
          <w:sz w:val="17"/>
          <w:szCs w:val="17"/>
        </w:rPr>
        <w:t xml:space="preserve"> supports the empowerment of EIOPA to overrule the N</w:t>
      </w:r>
      <w:r w:rsidR="007F6AEA" w:rsidRPr="00722521">
        <w:rPr>
          <w:sz w:val="17"/>
          <w:szCs w:val="17"/>
        </w:rPr>
        <w:t>S</w:t>
      </w:r>
      <w:r w:rsidRPr="00722521">
        <w:rPr>
          <w:sz w:val="17"/>
          <w:szCs w:val="17"/>
        </w:rPr>
        <w:t>A. However, it needs to be ensured that the measures are applied consistently and do not constitute a competitive disadvantage for an individual undertaking.</w:t>
      </w:r>
    </w:p>
    <w:p w14:paraId="0D0F4CF8" w14:textId="48495BFD" w:rsidR="00FD3F83" w:rsidRPr="00722521" w:rsidRDefault="00FD3F83" w:rsidP="00A903E6">
      <w:pPr>
        <w:mirrorIndents/>
        <w:rPr>
          <w:sz w:val="17"/>
          <w:szCs w:val="17"/>
        </w:rPr>
      </w:pPr>
    </w:p>
    <w:p w14:paraId="415AC629" w14:textId="1BC4B74A" w:rsidR="00FD3F83" w:rsidRPr="00722521" w:rsidRDefault="00FD3F83" w:rsidP="00A903E6">
      <w:pPr>
        <w:mirrorIndents/>
        <w:rPr>
          <w:sz w:val="17"/>
          <w:szCs w:val="17"/>
        </w:rPr>
      </w:pPr>
    </w:p>
    <w:p w14:paraId="0FA47629" w14:textId="126D021F"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Question 1.10.4 Do you think the respective roles of the ESAs and of the Commission are clearly defined in Article 17, 18 and 19 ESAs Regulations?</w:t>
      </w:r>
    </w:p>
    <w:p w14:paraId="7BF4A6B8" w14:textId="77777777" w:rsidR="00FD3F83" w:rsidRPr="00722521" w:rsidRDefault="00BA160A" w:rsidP="00FD3F83">
      <w:pPr>
        <w:pStyle w:val="CEABullet-Level1"/>
        <w:rPr>
          <w:color w:val="auto"/>
          <w:highlight w:val="lightGray"/>
        </w:rPr>
      </w:pPr>
      <w:r w:rsidRPr="00722521">
        <w:rPr>
          <w:color w:val="auto"/>
          <w:highlight w:val="lightGray"/>
        </w:rPr>
        <w:t xml:space="preserve">Yes </w:t>
      </w:r>
    </w:p>
    <w:p w14:paraId="3355C98E" w14:textId="6A7A96B6" w:rsidR="00BA160A" w:rsidRPr="00722521" w:rsidRDefault="00BA160A" w:rsidP="00FD3F83">
      <w:pPr>
        <w:pStyle w:val="CEABullet-Level1"/>
        <w:rPr>
          <w:color w:val="auto"/>
          <w:highlight w:val="lightGray"/>
        </w:rPr>
      </w:pPr>
      <w:r w:rsidRPr="00722521">
        <w:rPr>
          <w:color w:val="auto"/>
          <w:highlight w:val="lightGray"/>
        </w:rPr>
        <w:t>No</w:t>
      </w:r>
    </w:p>
    <w:p w14:paraId="7D220B13" w14:textId="77777777" w:rsidR="00BA160A" w:rsidRPr="00722521" w:rsidRDefault="00BA160A" w:rsidP="00FD3F83">
      <w:pPr>
        <w:pStyle w:val="CEABullet-Level1"/>
        <w:rPr>
          <w:color w:val="auto"/>
          <w:highlight w:val="lightGray"/>
        </w:rPr>
      </w:pPr>
      <w:r w:rsidRPr="00722521">
        <w:rPr>
          <w:color w:val="auto"/>
          <w:highlight w:val="lightGray"/>
        </w:rPr>
        <w:t>Don’t know / no opinion / not relevant</w:t>
      </w:r>
    </w:p>
    <w:p w14:paraId="1E0FC47A" w14:textId="680DF743" w:rsidR="00BA160A" w:rsidRPr="00722521" w:rsidRDefault="00BA160A" w:rsidP="00A903E6">
      <w:pPr>
        <w:mirrorIndents/>
        <w:rPr>
          <w:sz w:val="17"/>
          <w:szCs w:val="17"/>
        </w:rPr>
      </w:pPr>
    </w:p>
    <w:p w14:paraId="7AD3C40A" w14:textId="6D21D531" w:rsidR="007F6AEA" w:rsidRPr="00722521" w:rsidRDefault="007F6AEA" w:rsidP="00A903E6">
      <w:pPr>
        <w:mirrorIndents/>
        <w:rPr>
          <w:sz w:val="17"/>
          <w:szCs w:val="17"/>
        </w:rPr>
      </w:pPr>
      <w:r w:rsidRPr="00722521">
        <w:rPr>
          <w:sz w:val="17"/>
          <w:szCs w:val="17"/>
        </w:rPr>
        <w:t>Yes</w:t>
      </w:r>
    </w:p>
    <w:p w14:paraId="45FCB1E3" w14:textId="77777777" w:rsidR="007F6AEA" w:rsidRPr="00722521" w:rsidRDefault="007F6AEA" w:rsidP="00A903E6">
      <w:pPr>
        <w:mirrorIndents/>
        <w:rPr>
          <w:sz w:val="17"/>
          <w:szCs w:val="17"/>
        </w:rPr>
      </w:pPr>
    </w:p>
    <w:p w14:paraId="5DF13770" w14:textId="77777777"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1.10.4:</w:t>
      </w:r>
    </w:p>
    <w:p w14:paraId="1625AD53" w14:textId="1DBF7ED1" w:rsidR="00BA160A" w:rsidRPr="00722521" w:rsidRDefault="00BA160A" w:rsidP="00A903E6">
      <w:pPr>
        <w:mirrorIndents/>
        <w:rPr>
          <w:sz w:val="17"/>
          <w:szCs w:val="17"/>
        </w:rPr>
      </w:pPr>
    </w:p>
    <w:p w14:paraId="0D5DCD82" w14:textId="713B9F0E" w:rsidR="007F6AEA" w:rsidRPr="00722521" w:rsidRDefault="00722521" w:rsidP="00C91492">
      <w:pPr>
        <w:mirrorIndents/>
        <w:rPr>
          <w:sz w:val="17"/>
          <w:szCs w:val="17"/>
        </w:rPr>
      </w:pPr>
      <w:r>
        <w:rPr>
          <w:sz w:val="17"/>
          <w:szCs w:val="17"/>
        </w:rPr>
        <w:t>VVO</w:t>
      </w:r>
      <w:r w:rsidR="00C91492" w:rsidRPr="00722521">
        <w:rPr>
          <w:sz w:val="17"/>
          <w:szCs w:val="17"/>
        </w:rPr>
        <w:t xml:space="preserve"> believes that the cascade of </w:t>
      </w:r>
      <w:r w:rsidR="007F6AEA" w:rsidRPr="00722521">
        <w:rPr>
          <w:sz w:val="17"/>
          <w:szCs w:val="17"/>
        </w:rPr>
        <w:t>roles</w:t>
      </w:r>
      <w:r w:rsidR="00C91492" w:rsidRPr="00722521">
        <w:rPr>
          <w:sz w:val="17"/>
          <w:szCs w:val="17"/>
        </w:rPr>
        <w:t xml:space="preserve"> by EIOPA and the European Commission </w:t>
      </w:r>
      <w:r w:rsidR="007F6AEA" w:rsidRPr="00722521">
        <w:rPr>
          <w:sz w:val="17"/>
          <w:szCs w:val="17"/>
        </w:rPr>
        <w:t>is</w:t>
      </w:r>
      <w:r w:rsidR="00C91492" w:rsidRPr="00722521">
        <w:rPr>
          <w:sz w:val="17"/>
          <w:szCs w:val="17"/>
        </w:rPr>
        <w:t xml:space="preserve"> important to ensure the credibility of the regulatory framework. While EIOPA is in the position to assessing the technical nature and impact of potential breaches of Union Law, potential emergency situations and disagreement between N</w:t>
      </w:r>
      <w:r w:rsidR="007F6AEA" w:rsidRPr="00722521">
        <w:rPr>
          <w:sz w:val="17"/>
          <w:szCs w:val="17"/>
        </w:rPr>
        <w:t>S</w:t>
      </w:r>
      <w:r w:rsidR="00C91492" w:rsidRPr="00722521">
        <w:rPr>
          <w:sz w:val="17"/>
          <w:szCs w:val="17"/>
        </w:rPr>
        <w:t xml:space="preserve">As, it is important that the legal, political and strategic nature is assessed at the right level. </w:t>
      </w:r>
      <w:r w:rsidR="00685564" w:rsidRPr="00722521">
        <w:rPr>
          <w:sz w:val="17"/>
          <w:szCs w:val="17"/>
        </w:rPr>
        <w:t xml:space="preserve">EIOPA should not become a quasi-regulator body. </w:t>
      </w:r>
      <w:r w:rsidR="00C91492" w:rsidRPr="00722521">
        <w:rPr>
          <w:sz w:val="17"/>
          <w:szCs w:val="17"/>
        </w:rPr>
        <w:t xml:space="preserve">Therefore, the additional provisions which </w:t>
      </w:r>
      <w:r w:rsidR="00A16D06" w:rsidRPr="00722521">
        <w:rPr>
          <w:sz w:val="17"/>
          <w:szCs w:val="17"/>
        </w:rPr>
        <w:t xml:space="preserve">allow </w:t>
      </w:r>
      <w:r w:rsidR="00C91492" w:rsidRPr="00722521">
        <w:rPr>
          <w:sz w:val="17"/>
          <w:szCs w:val="17"/>
        </w:rPr>
        <w:t xml:space="preserve">the European Commission to adopt an </w:t>
      </w:r>
      <w:r w:rsidR="007F6AEA" w:rsidRPr="00722521">
        <w:rPr>
          <w:sz w:val="17"/>
          <w:szCs w:val="17"/>
        </w:rPr>
        <w:t>o</w:t>
      </w:r>
      <w:r w:rsidR="00C91492" w:rsidRPr="00722521">
        <w:rPr>
          <w:sz w:val="17"/>
          <w:szCs w:val="17"/>
        </w:rPr>
        <w:t xml:space="preserve">pinion which takes the recommendation from EIOPA into account in case of a breach of a Union </w:t>
      </w:r>
      <w:r w:rsidR="007F6AEA" w:rsidRPr="00722521">
        <w:rPr>
          <w:sz w:val="17"/>
          <w:szCs w:val="17"/>
        </w:rPr>
        <w:t>l</w:t>
      </w:r>
      <w:r w:rsidR="00C91492" w:rsidRPr="00722521">
        <w:rPr>
          <w:sz w:val="17"/>
          <w:szCs w:val="17"/>
        </w:rPr>
        <w:t xml:space="preserve">aw </w:t>
      </w:r>
      <w:r w:rsidR="007F6AEA" w:rsidRPr="00722521">
        <w:rPr>
          <w:sz w:val="17"/>
          <w:szCs w:val="17"/>
        </w:rPr>
        <w:t xml:space="preserve">is </w:t>
      </w:r>
      <w:r w:rsidR="00C91492" w:rsidRPr="00722521">
        <w:rPr>
          <w:sz w:val="17"/>
          <w:szCs w:val="17"/>
        </w:rPr>
        <w:t xml:space="preserve">appropriate (Article 17.4 EIOPA Regulation). </w:t>
      </w:r>
    </w:p>
    <w:p w14:paraId="71C4D25E" w14:textId="77777777" w:rsidR="007F6AEA" w:rsidRPr="00722521" w:rsidRDefault="007F6AEA" w:rsidP="00C91492">
      <w:pPr>
        <w:mirrorIndents/>
        <w:rPr>
          <w:sz w:val="17"/>
          <w:szCs w:val="17"/>
        </w:rPr>
      </w:pPr>
    </w:p>
    <w:p w14:paraId="7FFADCFF" w14:textId="379FD589" w:rsidR="00C91492" w:rsidRPr="00722521" w:rsidRDefault="00C91492" w:rsidP="00C91492">
      <w:pPr>
        <w:mirrorIndents/>
        <w:rPr>
          <w:sz w:val="17"/>
          <w:szCs w:val="17"/>
        </w:rPr>
      </w:pPr>
      <w:r w:rsidRPr="00722521">
        <w:rPr>
          <w:sz w:val="17"/>
          <w:szCs w:val="17"/>
        </w:rPr>
        <w:t xml:space="preserve">In the case of an emergency situation, the additional step of a formal </w:t>
      </w:r>
      <w:r w:rsidR="007F6AEA" w:rsidRPr="00722521">
        <w:rPr>
          <w:sz w:val="17"/>
          <w:szCs w:val="17"/>
        </w:rPr>
        <w:t>d</w:t>
      </w:r>
      <w:r w:rsidRPr="00722521">
        <w:rPr>
          <w:sz w:val="17"/>
          <w:szCs w:val="17"/>
        </w:rPr>
        <w:t>ecision (Article 18.2 EIOPA Regulation) is an equally well-balanced safeguard to ensure the integrity of the process. Neither the European Commission nor the Parliament of the Council have a formal role in the process on settling disagreement between N</w:t>
      </w:r>
      <w:r w:rsidR="007F6AEA" w:rsidRPr="00722521">
        <w:rPr>
          <w:sz w:val="17"/>
          <w:szCs w:val="17"/>
        </w:rPr>
        <w:t>S</w:t>
      </w:r>
      <w:r w:rsidRPr="00722521">
        <w:rPr>
          <w:sz w:val="17"/>
          <w:szCs w:val="17"/>
        </w:rPr>
        <w:t xml:space="preserve">As as per Article 19 EIOPA Regulation. However, </w:t>
      </w:r>
      <w:r w:rsidR="00722521">
        <w:rPr>
          <w:sz w:val="17"/>
          <w:szCs w:val="17"/>
        </w:rPr>
        <w:t>VVO</w:t>
      </w:r>
      <w:r w:rsidR="007F6AEA" w:rsidRPr="00722521">
        <w:rPr>
          <w:sz w:val="17"/>
          <w:szCs w:val="17"/>
        </w:rPr>
        <w:t xml:space="preserve"> </w:t>
      </w:r>
      <w:r w:rsidRPr="00722521">
        <w:rPr>
          <w:sz w:val="17"/>
          <w:szCs w:val="17"/>
        </w:rPr>
        <w:t xml:space="preserve">believes that the process is sufficiently balanced. Any interference with Union </w:t>
      </w:r>
      <w:r w:rsidR="007F6AEA" w:rsidRPr="00722521">
        <w:rPr>
          <w:sz w:val="17"/>
          <w:szCs w:val="17"/>
        </w:rPr>
        <w:t>l</w:t>
      </w:r>
      <w:r w:rsidRPr="00722521">
        <w:rPr>
          <w:sz w:val="17"/>
          <w:szCs w:val="17"/>
        </w:rPr>
        <w:t>aw which might either prevail or occur from the disagreement between N</w:t>
      </w:r>
      <w:r w:rsidR="007F6AEA" w:rsidRPr="00722521">
        <w:rPr>
          <w:sz w:val="17"/>
          <w:szCs w:val="17"/>
        </w:rPr>
        <w:t>S</w:t>
      </w:r>
      <w:r w:rsidRPr="00722521">
        <w:rPr>
          <w:sz w:val="17"/>
          <w:szCs w:val="17"/>
        </w:rPr>
        <w:t xml:space="preserve">As can be escalated though the procedures foreseen in Article 17 </w:t>
      </w:r>
      <w:r w:rsidR="007F6AEA" w:rsidRPr="00722521">
        <w:rPr>
          <w:sz w:val="17"/>
          <w:szCs w:val="17"/>
        </w:rPr>
        <w:t xml:space="preserve">of </w:t>
      </w:r>
      <w:r w:rsidRPr="00722521">
        <w:rPr>
          <w:sz w:val="17"/>
          <w:szCs w:val="17"/>
        </w:rPr>
        <w:t>EIOPA Regulation.</w:t>
      </w:r>
    </w:p>
    <w:p w14:paraId="5670DFC8" w14:textId="2043E3C4" w:rsidR="00FD3F83" w:rsidRPr="00722521" w:rsidRDefault="00FD3F83" w:rsidP="00A903E6">
      <w:pPr>
        <w:mirrorIndents/>
        <w:rPr>
          <w:sz w:val="17"/>
          <w:szCs w:val="17"/>
        </w:rPr>
      </w:pPr>
    </w:p>
    <w:p w14:paraId="6785A327" w14:textId="77777777" w:rsidR="00FD3F83" w:rsidRPr="00722521" w:rsidRDefault="00FD3F83" w:rsidP="00A903E6">
      <w:pPr>
        <w:mirrorIndents/>
        <w:rPr>
          <w:sz w:val="17"/>
          <w:szCs w:val="17"/>
        </w:rPr>
      </w:pPr>
    </w:p>
    <w:p w14:paraId="3E7702ED" w14:textId="0EF7705B"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Question 1.10.5 EIOPA: Do you think the use of sanctions laid down in the EU acquis by competent authorities in case of non-compliance of market participants/financial institutions with EU rules is, in practice for EIOPA, sufficiently dissuasive or disproportionate?</w:t>
      </w:r>
    </w:p>
    <w:p w14:paraId="2515D388" w14:textId="77777777" w:rsidR="00FD3F83" w:rsidRPr="00722521" w:rsidRDefault="00BA160A" w:rsidP="00FD3F83">
      <w:pPr>
        <w:pStyle w:val="CEABullet-Level1"/>
        <w:rPr>
          <w:color w:val="auto"/>
          <w:highlight w:val="lightGray"/>
        </w:rPr>
      </w:pPr>
      <w:r w:rsidRPr="00722521">
        <w:rPr>
          <w:color w:val="auto"/>
          <w:highlight w:val="lightGray"/>
        </w:rPr>
        <w:t xml:space="preserve">Sufficiently dissuasive </w:t>
      </w:r>
    </w:p>
    <w:p w14:paraId="0787999B" w14:textId="77777777" w:rsidR="00FD3F83" w:rsidRPr="00722521" w:rsidRDefault="00BA160A" w:rsidP="00FD3F83">
      <w:pPr>
        <w:pStyle w:val="CEABullet-Level1"/>
        <w:rPr>
          <w:color w:val="auto"/>
          <w:highlight w:val="lightGray"/>
        </w:rPr>
      </w:pPr>
      <w:r w:rsidRPr="00722521">
        <w:rPr>
          <w:color w:val="auto"/>
          <w:highlight w:val="lightGray"/>
        </w:rPr>
        <w:t xml:space="preserve">Disproportionate </w:t>
      </w:r>
    </w:p>
    <w:p w14:paraId="76B800F3" w14:textId="5160BEE1" w:rsidR="00BA160A" w:rsidRPr="00722521" w:rsidRDefault="00BA160A" w:rsidP="00FD3F83">
      <w:pPr>
        <w:pStyle w:val="CEABullet-Level1"/>
        <w:rPr>
          <w:color w:val="auto"/>
          <w:highlight w:val="lightGray"/>
        </w:rPr>
      </w:pPr>
      <w:r w:rsidRPr="00722521">
        <w:rPr>
          <w:color w:val="auto"/>
          <w:highlight w:val="lightGray"/>
        </w:rPr>
        <w:t>Other</w:t>
      </w:r>
    </w:p>
    <w:p w14:paraId="0C096384" w14:textId="77777777" w:rsidR="00BA160A" w:rsidRPr="00722521" w:rsidRDefault="00BA160A" w:rsidP="00FD3F83">
      <w:pPr>
        <w:pStyle w:val="CEABullet-Level1"/>
        <w:rPr>
          <w:color w:val="auto"/>
          <w:highlight w:val="lightGray"/>
        </w:rPr>
      </w:pPr>
      <w:r w:rsidRPr="00722521">
        <w:rPr>
          <w:color w:val="auto"/>
          <w:highlight w:val="lightGray"/>
        </w:rPr>
        <w:t>Don’t know / no opinion / not relevant</w:t>
      </w:r>
    </w:p>
    <w:p w14:paraId="5F3B6E88" w14:textId="79D96DD8" w:rsidR="00BA160A" w:rsidRPr="00722521" w:rsidRDefault="00BA160A" w:rsidP="00A903E6">
      <w:pPr>
        <w:mirrorIndents/>
        <w:rPr>
          <w:sz w:val="17"/>
          <w:szCs w:val="17"/>
        </w:rPr>
      </w:pPr>
    </w:p>
    <w:p w14:paraId="2557EBFC" w14:textId="40798CBC" w:rsidR="007F6AEA" w:rsidRPr="00722521" w:rsidRDefault="007F6AEA" w:rsidP="00A903E6">
      <w:pPr>
        <w:mirrorIndents/>
        <w:rPr>
          <w:sz w:val="17"/>
          <w:szCs w:val="17"/>
        </w:rPr>
      </w:pPr>
      <w:r w:rsidRPr="00722521">
        <w:rPr>
          <w:sz w:val="17"/>
          <w:szCs w:val="17"/>
        </w:rPr>
        <w:t>Sufficiently dissuasive</w:t>
      </w:r>
    </w:p>
    <w:p w14:paraId="1218D7E0" w14:textId="77777777" w:rsidR="007F6AEA" w:rsidRPr="00722521" w:rsidRDefault="007F6AEA" w:rsidP="00A903E6">
      <w:pPr>
        <w:mirrorIndents/>
        <w:rPr>
          <w:sz w:val="17"/>
          <w:szCs w:val="17"/>
        </w:rPr>
      </w:pPr>
    </w:p>
    <w:p w14:paraId="060C3E5D" w14:textId="77777777"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Please specify what your mean by ‘other’ in your answer to question 1.10.5 for EIOPA:</w:t>
      </w:r>
    </w:p>
    <w:p w14:paraId="46FB3D51" w14:textId="2B664BA5" w:rsidR="00BA160A" w:rsidRPr="00722521" w:rsidRDefault="00BA160A" w:rsidP="00A903E6">
      <w:pPr>
        <w:mirrorIndents/>
        <w:rPr>
          <w:sz w:val="17"/>
          <w:szCs w:val="17"/>
        </w:rPr>
      </w:pPr>
    </w:p>
    <w:p w14:paraId="0E70CD17" w14:textId="2B0AA431" w:rsidR="00FD3F83" w:rsidRPr="00722521" w:rsidRDefault="00325407" w:rsidP="00A903E6">
      <w:pPr>
        <w:mirrorIndents/>
        <w:rPr>
          <w:sz w:val="17"/>
          <w:szCs w:val="17"/>
        </w:rPr>
      </w:pPr>
      <w:r w:rsidRPr="00722521">
        <w:rPr>
          <w:sz w:val="17"/>
          <w:szCs w:val="17"/>
        </w:rPr>
        <w:t>N/A</w:t>
      </w:r>
    </w:p>
    <w:p w14:paraId="547EEBEF" w14:textId="77777777" w:rsidR="00FD3F83" w:rsidRPr="00722521" w:rsidRDefault="00FD3F83" w:rsidP="00A903E6">
      <w:pPr>
        <w:mirrorIndents/>
        <w:rPr>
          <w:sz w:val="17"/>
          <w:szCs w:val="17"/>
        </w:rPr>
      </w:pPr>
    </w:p>
    <w:p w14:paraId="2F6C15C8" w14:textId="77777777" w:rsidR="00BA160A" w:rsidRPr="00722521" w:rsidRDefault="00BA160A" w:rsidP="005C7947">
      <w:pPr>
        <w:pStyle w:val="Textkrper"/>
        <w:ind w:left="0"/>
        <w:mirrorIndents/>
        <w:rPr>
          <w:rFonts w:ascii="Verdana" w:hAnsi="Verdana"/>
          <w:sz w:val="17"/>
          <w:szCs w:val="17"/>
        </w:rPr>
      </w:pPr>
      <w:r w:rsidRPr="00722521">
        <w:rPr>
          <w:rFonts w:ascii="Verdana" w:hAnsi="Verdana"/>
          <w:sz w:val="17"/>
          <w:szCs w:val="17"/>
          <w:highlight w:val="lightGray"/>
        </w:rPr>
        <w:t>What role could sectoral legislation and EIOPA play in improving the situation? Please substantiate your answer and give examples:</w:t>
      </w:r>
    </w:p>
    <w:p w14:paraId="25A62E52" w14:textId="557DBFF2" w:rsidR="00BA160A" w:rsidRPr="00722521" w:rsidRDefault="00BA160A" w:rsidP="00A903E6">
      <w:pPr>
        <w:mirrorIndents/>
        <w:rPr>
          <w:i/>
          <w:sz w:val="17"/>
          <w:szCs w:val="17"/>
        </w:rPr>
      </w:pPr>
    </w:p>
    <w:p w14:paraId="54399C8D" w14:textId="47103CAE" w:rsidR="00C91492" w:rsidRPr="00722521" w:rsidRDefault="00325407" w:rsidP="00A903E6">
      <w:pPr>
        <w:mirrorIndents/>
        <w:rPr>
          <w:sz w:val="17"/>
          <w:szCs w:val="17"/>
        </w:rPr>
      </w:pPr>
      <w:r w:rsidRPr="00722521">
        <w:rPr>
          <w:sz w:val="17"/>
          <w:szCs w:val="17"/>
        </w:rPr>
        <w:t>N/A</w:t>
      </w:r>
    </w:p>
    <w:p w14:paraId="54F4C2DD" w14:textId="77777777" w:rsidR="00325407" w:rsidRPr="00722521" w:rsidRDefault="00325407" w:rsidP="00A903E6">
      <w:pPr>
        <w:mirrorIndents/>
        <w:rPr>
          <w:sz w:val="17"/>
          <w:szCs w:val="17"/>
        </w:rPr>
      </w:pPr>
    </w:p>
    <w:p w14:paraId="734BD308" w14:textId="77777777" w:rsidR="00BA160A" w:rsidRPr="00722521" w:rsidRDefault="00BA160A" w:rsidP="00A903E6">
      <w:pPr>
        <w:pStyle w:val="berschrift1"/>
        <w:numPr>
          <w:ilvl w:val="0"/>
          <w:numId w:val="6"/>
        </w:numPr>
        <w:tabs>
          <w:tab w:val="left" w:pos="499"/>
        </w:tabs>
        <w:ind w:left="232" w:hanging="383"/>
        <w:mirrorIndents/>
        <w:rPr>
          <w:rFonts w:ascii="Verdana" w:hAnsi="Verdana"/>
          <w:sz w:val="17"/>
          <w:szCs w:val="17"/>
        </w:rPr>
      </w:pPr>
      <w:r w:rsidRPr="00722521">
        <w:rPr>
          <w:rFonts w:ascii="Verdana" w:hAnsi="Verdana"/>
          <w:sz w:val="17"/>
          <w:szCs w:val="17"/>
        </w:rPr>
        <w:t>Governance of the</w:t>
      </w:r>
      <w:r w:rsidRPr="00722521">
        <w:rPr>
          <w:rFonts w:ascii="Verdana" w:hAnsi="Verdana"/>
          <w:spacing w:val="57"/>
          <w:sz w:val="17"/>
          <w:szCs w:val="17"/>
        </w:rPr>
        <w:t xml:space="preserve"> </w:t>
      </w:r>
      <w:r w:rsidRPr="00722521">
        <w:rPr>
          <w:rFonts w:ascii="Verdana" w:hAnsi="Verdana"/>
          <w:sz w:val="17"/>
          <w:szCs w:val="17"/>
        </w:rPr>
        <w:t>ESAs</w:t>
      </w:r>
    </w:p>
    <w:p w14:paraId="3EEBD28B" w14:textId="637F75C1" w:rsidR="00BA160A" w:rsidRPr="00722521" w:rsidRDefault="00BA160A" w:rsidP="00A903E6">
      <w:pPr>
        <w:pStyle w:val="Textkrper"/>
        <w:mirrorIndents/>
        <w:rPr>
          <w:rFonts w:ascii="Verdana" w:hAnsi="Verdana"/>
          <w:sz w:val="17"/>
          <w:szCs w:val="17"/>
        </w:rPr>
      </w:pPr>
    </w:p>
    <w:p w14:paraId="77F8E30D" w14:textId="7B4FB637" w:rsidR="00BA160A" w:rsidRPr="00722521" w:rsidRDefault="00560F5F" w:rsidP="00A903E6">
      <w:pPr>
        <w:pStyle w:val="Listenabsatz"/>
        <w:numPr>
          <w:ilvl w:val="1"/>
          <w:numId w:val="6"/>
        </w:numPr>
        <w:tabs>
          <w:tab w:val="left" w:pos="566"/>
        </w:tabs>
        <w:ind w:left="232" w:hanging="450"/>
        <w:mirrorIndents/>
        <w:rPr>
          <w:rFonts w:ascii="Verdana" w:hAnsi="Verdana"/>
          <w:b/>
          <w:szCs w:val="17"/>
        </w:rPr>
      </w:pPr>
      <w:r w:rsidRPr="00722521">
        <w:rPr>
          <w:rFonts w:ascii="Verdana" w:hAnsi="Verdana"/>
          <w:b/>
          <w:szCs w:val="17"/>
        </w:rPr>
        <w:t xml:space="preserve">General </w:t>
      </w:r>
      <w:r w:rsidR="00BA160A" w:rsidRPr="00722521">
        <w:rPr>
          <w:rFonts w:ascii="Verdana" w:hAnsi="Verdana"/>
          <w:b/>
          <w:szCs w:val="17"/>
        </w:rPr>
        <w:t>governance issues</w:t>
      </w:r>
    </w:p>
    <w:p w14:paraId="222B71A5" w14:textId="77777777" w:rsidR="00BA160A" w:rsidRPr="00722521" w:rsidRDefault="00BA160A" w:rsidP="00A903E6">
      <w:pPr>
        <w:pStyle w:val="Textkrper"/>
        <w:mirrorIndents/>
        <w:rPr>
          <w:rFonts w:ascii="Verdana" w:hAnsi="Verdana"/>
          <w:sz w:val="17"/>
          <w:szCs w:val="17"/>
        </w:rPr>
      </w:pPr>
    </w:p>
    <w:p w14:paraId="77B38D99" w14:textId="2E7C84BC" w:rsidR="00BA160A" w:rsidRPr="00722521" w:rsidRDefault="00BA160A" w:rsidP="00FD3F83">
      <w:pPr>
        <w:pStyle w:val="Textkrper"/>
        <w:ind w:left="0"/>
        <w:mirrorIndents/>
        <w:rPr>
          <w:rFonts w:ascii="Verdana" w:hAnsi="Verdana"/>
          <w:sz w:val="17"/>
          <w:szCs w:val="17"/>
        </w:rPr>
      </w:pPr>
      <w:r w:rsidRPr="00722521">
        <w:rPr>
          <w:rFonts w:ascii="Verdana" w:hAnsi="Verdana"/>
          <w:sz w:val="17"/>
          <w:szCs w:val="17"/>
          <w:highlight w:val="lightGray"/>
        </w:rPr>
        <w:t>Question 2.1.1 Does the ESAs’ governance allow them to ensure objectivity, independence and efficiency in their work/decision making?</w:t>
      </w:r>
    </w:p>
    <w:p w14:paraId="7BD85CF0" w14:textId="77777777" w:rsidR="00FD3F83" w:rsidRPr="00722521" w:rsidRDefault="00BA160A" w:rsidP="00FD3F83">
      <w:pPr>
        <w:pStyle w:val="CEABullet-Level1"/>
        <w:rPr>
          <w:color w:val="auto"/>
          <w:highlight w:val="lightGray"/>
        </w:rPr>
      </w:pPr>
      <w:r w:rsidRPr="00722521">
        <w:rPr>
          <w:color w:val="auto"/>
          <w:highlight w:val="lightGray"/>
        </w:rPr>
        <w:t xml:space="preserve">Yes </w:t>
      </w:r>
    </w:p>
    <w:p w14:paraId="3E4C0B70" w14:textId="4F0B340B" w:rsidR="00BA160A" w:rsidRPr="00722521" w:rsidRDefault="00BA160A" w:rsidP="00FD3F83">
      <w:pPr>
        <w:pStyle w:val="CEABullet-Level1"/>
        <w:rPr>
          <w:color w:val="auto"/>
          <w:highlight w:val="lightGray"/>
        </w:rPr>
      </w:pPr>
      <w:r w:rsidRPr="00722521">
        <w:rPr>
          <w:color w:val="auto"/>
          <w:highlight w:val="lightGray"/>
        </w:rPr>
        <w:t>No</w:t>
      </w:r>
    </w:p>
    <w:p w14:paraId="1AD92B58" w14:textId="77777777" w:rsidR="00BA160A" w:rsidRPr="00722521" w:rsidRDefault="00BA160A" w:rsidP="00FD3F83">
      <w:pPr>
        <w:pStyle w:val="CEABullet-Level1"/>
        <w:rPr>
          <w:color w:val="auto"/>
          <w:highlight w:val="lightGray"/>
        </w:rPr>
      </w:pPr>
      <w:r w:rsidRPr="00722521">
        <w:rPr>
          <w:color w:val="auto"/>
          <w:highlight w:val="lightGray"/>
        </w:rPr>
        <w:t>Don’t know / no opinion / not relevant</w:t>
      </w:r>
    </w:p>
    <w:p w14:paraId="18607F4D" w14:textId="3701D2BA" w:rsidR="00BA160A" w:rsidRPr="00722521" w:rsidRDefault="00BA160A" w:rsidP="00A903E6">
      <w:pPr>
        <w:mirrorIndents/>
        <w:rPr>
          <w:sz w:val="17"/>
          <w:szCs w:val="17"/>
        </w:rPr>
      </w:pPr>
    </w:p>
    <w:p w14:paraId="5BFDEEA7" w14:textId="139DBF67" w:rsidR="00325407" w:rsidRPr="00722521" w:rsidRDefault="00325407" w:rsidP="00A903E6">
      <w:pPr>
        <w:mirrorIndents/>
        <w:rPr>
          <w:sz w:val="17"/>
          <w:szCs w:val="17"/>
        </w:rPr>
      </w:pPr>
      <w:r w:rsidRPr="00722521">
        <w:rPr>
          <w:sz w:val="17"/>
          <w:szCs w:val="17"/>
        </w:rPr>
        <w:t>Yes</w:t>
      </w:r>
    </w:p>
    <w:p w14:paraId="25C497F4" w14:textId="77777777" w:rsidR="00325407" w:rsidRPr="00722521" w:rsidRDefault="00325407" w:rsidP="00A903E6">
      <w:pPr>
        <w:mirrorIndents/>
        <w:rPr>
          <w:sz w:val="17"/>
          <w:szCs w:val="17"/>
        </w:rPr>
      </w:pPr>
    </w:p>
    <w:p w14:paraId="49006684" w14:textId="77777777" w:rsidR="00BA160A" w:rsidRPr="00722521" w:rsidRDefault="00BA160A" w:rsidP="00FD3F83">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2.1.1:</w:t>
      </w:r>
    </w:p>
    <w:p w14:paraId="7C775644" w14:textId="1279DDF9" w:rsidR="00BA160A" w:rsidRPr="00722521" w:rsidRDefault="00BA160A" w:rsidP="00A903E6">
      <w:pPr>
        <w:mirrorIndents/>
        <w:rPr>
          <w:sz w:val="17"/>
          <w:szCs w:val="17"/>
        </w:rPr>
      </w:pPr>
    </w:p>
    <w:p w14:paraId="695A804D" w14:textId="77777777" w:rsidR="00C91492" w:rsidRPr="00722521" w:rsidRDefault="00C91492" w:rsidP="00C91492">
      <w:pPr>
        <w:mirrorIndents/>
        <w:rPr>
          <w:sz w:val="17"/>
          <w:szCs w:val="17"/>
        </w:rPr>
      </w:pPr>
      <w:r w:rsidRPr="00722521">
        <w:rPr>
          <w:sz w:val="17"/>
          <w:szCs w:val="17"/>
        </w:rPr>
        <w:t>The right balance between independence, accountability and control is a key aspect of the regulations to establish the ESAs. The system of governance has been reviewed and new powers for the ESAs and additional checks and balances have been implemented.</w:t>
      </w:r>
    </w:p>
    <w:p w14:paraId="4FF8EF6D" w14:textId="77777777" w:rsidR="00C91492" w:rsidRPr="00722521" w:rsidRDefault="00C91492" w:rsidP="00C91492">
      <w:pPr>
        <w:mirrorIndents/>
        <w:rPr>
          <w:sz w:val="17"/>
          <w:szCs w:val="17"/>
        </w:rPr>
      </w:pPr>
    </w:p>
    <w:p w14:paraId="1C060031" w14:textId="7EDA7556" w:rsidR="00C91492" w:rsidRPr="00722521" w:rsidRDefault="00722521" w:rsidP="00C91492">
      <w:pPr>
        <w:mirrorIndents/>
        <w:rPr>
          <w:sz w:val="17"/>
          <w:szCs w:val="17"/>
        </w:rPr>
      </w:pPr>
      <w:r>
        <w:rPr>
          <w:sz w:val="17"/>
          <w:szCs w:val="17"/>
        </w:rPr>
        <w:t>VVO</w:t>
      </w:r>
      <w:r w:rsidR="00C91492" w:rsidRPr="00722521">
        <w:rPr>
          <w:sz w:val="17"/>
          <w:szCs w:val="17"/>
        </w:rPr>
        <w:t xml:space="preserve"> believes that the current system of governance provides for such a balance. However, the measures to do so, </w:t>
      </w:r>
      <w:proofErr w:type="spellStart"/>
      <w:r w:rsidR="00C91492" w:rsidRPr="00722521">
        <w:rPr>
          <w:sz w:val="17"/>
          <w:szCs w:val="17"/>
        </w:rPr>
        <w:t>ie</w:t>
      </w:r>
      <w:proofErr w:type="spellEnd"/>
      <w:r w:rsidR="00C91492" w:rsidRPr="00722521">
        <w:rPr>
          <w:sz w:val="17"/>
          <w:szCs w:val="17"/>
        </w:rPr>
        <w:t xml:space="preserve"> budgetary control, are used sufficiently. In addition, the consideration of the </w:t>
      </w:r>
      <w:proofErr w:type="spellStart"/>
      <w:r w:rsidR="00C91492" w:rsidRPr="00722521">
        <w:rPr>
          <w:sz w:val="17"/>
          <w:szCs w:val="17"/>
        </w:rPr>
        <w:t>BoS</w:t>
      </w:r>
      <w:proofErr w:type="spellEnd"/>
      <w:r w:rsidR="00C91492" w:rsidRPr="00722521">
        <w:rPr>
          <w:sz w:val="17"/>
          <w:szCs w:val="17"/>
        </w:rPr>
        <w:t xml:space="preserve"> as major decision-making body is an important prerequisite for the effective and efficient operation of the ESAs.</w:t>
      </w:r>
    </w:p>
    <w:p w14:paraId="2D42183E" w14:textId="77777777" w:rsidR="00C91492" w:rsidRPr="00722521" w:rsidRDefault="00C91492" w:rsidP="00C91492">
      <w:pPr>
        <w:mirrorIndents/>
        <w:rPr>
          <w:sz w:val="17"/>
          <w:szCs w:val="17"/>
        </w:rPr>
      </w:pPr>
    </w:p>
    <w:p w14:paraId="5BA8BE17" w14:textId="785A985E" w:rsidR="00C91492" w:rsidRPr="00722521" w:rsidRDefault="00C91492" w:rsidP="00C91492">
      <w:pPr>
        <w:mirrorIndents/>
        <w:rPr>
          <w:sz w:val="17"/>
          <w:szCs w:val="17"/>
        </w:rPr>
      </w:pPr>
      <w:r w:rsidRPr="00722521">
        <w:rPr>
          <w:sz w:val="17"/>
          <w:szCs w:val="17"/>
        </w:rPr>
        <w:t xml:space="preserve">New voting regimes in the </w:t>
      </w:r>
      <w:proofErr w:type="spellStart"/>
      <w:r w:rsidRPr="00722521">
        <w:rPr>
          <w:sz w:val="17"/>
          <w:szCs w:val="17"/>
        </w:rPr>
        <w:t>BoS</w:t>
      </w:r>
      <w:proofErr w:type="spellEnd"/>
      <w:r w:rsidRPr="00722521">
        <w:rPr>
          <w:sz w:val="17"/>
          <w:szCs w:val="17"/>
        </w:rPr>
        <w:t xml:space="preserve"> (</w:t>
      </w:r>
      <w:proofErr w:type="spellStart"/>
      <w:r w:rsidRPr="00722521">
        <w:rPr>
          <w:sz w:val="17"/>
          <w:szCs w:val="17"/>
        </w:rPr>
        <w:t>eg</w:t>
      </w:r>
      <w:proofErr w:type="spellEnd"/>
      <w:r w:rsidRPr="00722521">
        <w:rPr>
          <w:sz w:val="17"/>
          <w:szCs w:val="17"/>
        </w:rPr>
        <w:t xml:space="preserve"> the written non-objection procedure or the exclusion of </w:t>
      </w:r>
      <w:proofErr w:type="spellStart"/>
      <w:r w:rsidRPr="00722521">
        <w:rPr>
          <w:sz w:val="17"/>
          <w:szCs w:val="17"/>
        </w:rPr>
        <w:t>BoS</w:t>
      </w:r>
      <w:proofErr w:type="spellEnd"/>
      <w:r w:rsidRPr="00722521">
        <w:rPr>
          <w:sz w:val="17"/>
          <w:szCs w:val="17"/>
        </w:rPr>
        <w:t xml:space="preserve"> members for decisions of vested interests) improved the system of governance of the body. </w:t>
      </w:r>
      <w:r w:rsidR="00306E9D" w:rsidRPr="00722521">
        <w:rPr>
          <w:sz w:val="17"/>
          <w:szCs w:val="17"/>
        </w:rPr>
        <w:t>While p</w:t>
      </w:r>
      <w:r w:rsidRPr="00722521">
        <w:rPr>
          <w:sz w:val="17"/>
          <w:szCs w:val="17"/>
        </w:rPr>
        <w:t>otential national interests influencing the decision-making within EIOPA can have a negative impact in this respect</w:t>
      </w:r>
      <w:r w:rsidR="00306E9D" w:rsidRPr="00722521">
        <w:rPr>
          <w:sz w:val="17"/>
          <w:szCs w:val="17"/>
        </w:rPr>
        <w:t xml:space="preserve">, </w:t>
      </w:r>
      <w:r w:rsidR="00722521">
        <w:rPr>
          <w:sz w:val="17"/>
          <w:szCs w:val="17"/>
        </w:rPr>
        <w:t>VVO</w:t>
      </w:r>
      <w:r w:rsidRPr="00722521">
        <w:rPr>
          <w:sz w:val="17"/>
          <w:szCs w:val="17"/>
        </w:rPr>
        <w:t xml:space="preserve"> believes that national interests are not only present in EIOPA’s top-level decision-making, but throughout the process. Nonetheless, the agreement to EIOPA measures by N</w:t>
      </w:r>
      <w:r w:rsidR="00306E9D" w:rsidRPr="00722521">
        <w:rPr>
          <w:sz w:val="17"/>
          <w:szCs w:val="17"/>
        </w:rPr>
        <w:t>S</w:t>
      </w:r>
      <w:r w:rsidRPr="00722521">
        <w:rPr>
          <w:sz w:val="17"/>
          <w:szCs w:val="17"/>
        </w:rPr>
        <w:t>As (either by qualified or simple majority) ensures responsibility for the majority of N</w:t>
      </w:r>
      <w:r w:rsidR="00306E9D" w:rsidRPr="00722521">
        <w:rPr>
          <w:sz w:val="17"/>
          <w:szCs w:val="17"/>
        </w:rPr>
        <w:t>S</w:t>
      </w:r>
      <w:r w:rsidRPr="00722521">
        <w:rPr>
          <w:sz w:val="17"/>
          <w:szCs w:val="17"/>
        </w:rPr>
        <w:t xml:space="preserve">As for EIOPA decisions. </w:t>
      </w:r>
    </w:p>
    <w:p w14:paraId="739161B4" w14:textId="77777777" w:rsidR="00C91492" w:rsidRPr="00722521" w:rsidRDefault="00C91492" w:rsidP="00C91492">
      <w:pPr>
        <w:mirrorIndents/>
        <w:rPr>
          <w:sz w:val="17"/>
          <w:szCs w:val="17"/>
        </w:rPr>
      </w:pPr>
    </w:p>
    <w:p w14:paraId="2B5E1F11" w14:textId="130E7116" w:rsidR="00C91492" w:rsidRPr="00722521" w:rsidRDefault="00C91492" w:rsidP="00C91492">
      <w:pPr>
        <w:mirrorIndents/>
        <w:rPr>
          <w:sz w:val="17"/>
          <w:szCs w:val="17"/>
        </w:rPr>
      </w:pPr>
      <w:r w:rsidRPr="00722521">
        <w:rPr>
          <w:sz w:val="17"/>
          <w:szCs w:val="17"/>
        </w:rPr>
        <w:t xml:space="preserve">The newly implemented Single Programming Document which provides a clearer link between multi-work program and resource planning increased the transparency of the organisation. </w:t>
      </w:r>
      <w:r w:rsidR="00306E9D" w:rsidRPr="00722521">
        <w:rPr>
          <w:sz w:val="17"/>
          <w:szCs w:val="17"/>
        </w:rPr>
        <w:t>S</w:t>
      </w:r>
      <w:r w:rsidRPr="00722521">
        <w:rPr>
          <w:sz w:val="17"/>
          <w:szCs w:val="17"/>
        </w:rPr>
        <w:t>uch an increased transparency facilitates the use of the measures of greater independence by the Management Board and the EIOPA Chair to act</w:t>
      </w:r>
      <w:r w:rsidR="00306E9D" w:rsidRPr="00722521">
        <w:rPr>
          <w:sz w:val="17"/>
          <w:szCs w:val="17"/>
        </w:rPr>
        <w:t>.</w:t>
      </w:r>
    </w:p>
    <w:p w14:paraId="6845460A" w14:textId="7132A19C" w:rsidR="00FD3F83" w:rsidRPr="00722521" w:rsidRDefault="00FD3F83" w:rsidP="00A903E6">
      <w:pPr>
        <w:mirrorIndents/>
        <w:rPr>
          <w:sz w:val="17"/>
          <w:szCs w:val="17"/>
        </w:rPr>
      </w:pPr>
    </w:p>
    <w:p w14:paraId="3E6EE0DF" w14:textId="77777777" w:rsidR="00FD3F83" w:rsidRPr="00722521" w:rsidRDefault="00FD3F83" w:rsidP="00A903E6">
      <w:pPr>
        <w:mirrorIndents/>
        <w:rPr>
          <w:sz w:val="17"/>
          <w:szCs w:val="17"/>
        </w:rPr>
      </w:pPr>
    </w:p>
    <w:p w14:paraId="0935767A" w14:textId="77777777" w:rsidR="00BA160A" w:rsidRPr="00722521" w:rsidRDefault="00BA160A" w:rsidP="00FD3F83">
      <w:pPr>
        <w:pStyle w:val="Textkrper"/>
        <w:ind w:left="0"/>
        <w:mirrorIndents/>
        <w:rPr>
          <w:rFonts w:ascii="Verdana" w:hAnsi="Verdana"/>
          <w:sz w:val="17"/>
          <w:szCs w:val="17"/>
        </w:rPr>
      </w:pPr>
      <w:r w:rsidRPr="00722521">
        <w:rPr>
          <w:rFonts w:ascii="Verdana" w:hAnsi="Verdana"/>
          <w:sz w:val="17"/>
          <w:szCs w:val="17"/>
          <w:highlight w:val="lightGray"/>
        </w:rPr>
        <w:t>Question 2.1.1.1 If you consider that there should be differences in governance between different types of tasks, please explain:</w:t>
      </w:r>
    </w:p>
    <w:p w14:paraId="59314A9C" w14:textId="0CEC894D" w:rsidR="00BA160A" w:rsidRPr="00722521" w:rsidRDefault="00BA160A" w:rsidP="00A903E6">
      <w:pPr>
        <w:mirrorIndents/>
        <w:rPr>
          <w:sz w:val="17"/>
          <w:szCs w:val="17"/>
        </w:rPr>
      </w:pPr>
    </w:p>
    <w:p w14:paraId="1FC94DCB" w14:textId="4104D63C" w:rsidR="00C91492" w:rsidRPr="00722521" w:rsidRDefault="00722521" w:rsidP="00C91492">
      <w:pPr>
        <w:mirrorIndents/>
        <w:rPr>
          <w:sz w:val="17"/>
          <w:szCs w:val="17"/>
        </w:rPr>
      </w:pPr>
      <w:r>
        <w:rPr>
          <w:sz w:val="17"/>
          <w:szCs w:val="17"/>
        </w:rPr>
        <w:t>VVO</w:t>
      </w:r>
      <w:r w:rsidR="00306E9D" w:rsidRPr="00722521">
        <w:rPr>
          <w:sz w:val="17"/>
          <w:szCs w:val="17"/>
        </w:rPr>
        <w:t xml:space="preserve"> </w:t>
      </w:r>
      <w:r w:rsidR="00C91492" w:rsidRPr="00722521">
        <w:rPr>
          <w:sz w:val="17"/>
          <w:szCs w:val="17"/>
        </w:rPr>
        <w:t>believes that the measures foreseen by the 2019 ESA</w:t>
      </w:r>
      <w:r w:rsidR="00306E9D" w:rsidRPr="00722521">
        <w:rPr>
          <w:sz w:val="17"/>
          <w:szCs w:val="17"/>
        </w:rPr>
        <w:t>s r</w:t>
      </w:r>
      <w:r w:rsidR="00C91492" w:rsidRPr="00722521">
        <w:rPr>
          <w:sz w:val="17"/>
          <w:szCs w:val="17"/>
        </w:rPr>
        <w:t>eview, particularly on peer reviews, voting rights in case of vested interests and the introduction of the written non-objection procedure, improved the governance of EIOPA.</w:t>
      </w:r>
    </w:p>
    <w:p w14:paraId="08BA366C" w14:textId="77777777" w:rsidR="00C91492" w:rsidRPr="00722521" w:rsidRDefault="00C91492" w:rsidP="00C91492">
      <w:pPr>
        <w:mirrorIndents/>
        <w:rPr>
          <w:sz w:val="17"/>
          <w:szCs w:val="17"/>
        </w:rPr>
      </w:pPr>
    </w:p>
    <w:p w14:paraId="6AC68042" w14:textId="73156506" w:rsidR="00C91492" w:rsidRPr="00722521" w:rsidRDefault="00306E9D" w:rsidP="00C91492">
      <w:pPr>
        <w:mirrorIndents/>
        <w:rPr>
          <w:sz w:val="17"/>
          <w:szCs w:val="17"/>
        </w:rPr>
      </w:pPr>
      <w:r w:rsidRPr="00722521">
        <w:rPr>
          <w:sz w:val="17"/>
          <w:szCs w:val="17"/>
        </w:rPr>
        <w:t>T</w:t>
      </w:r>
      <w:r w:rsidR="00C91492" w:rsidRPr="00722521">
        <w:rPr>
          <w:sz w:val="17"/>
          <w:szCs w:val="17"/>
        </w:rPr>
        <w:t xml:space="preserve">he balance between independence of the management and control by its own bodies has </w:t>
      </w:r>
      <w:r w:rsidRPr="00722521">
        <w:rPr>
          <w:sz w:val="17"/>
          <w:szCs w:val="17"/>
        </w:rPr>
        <w:t xml:space="preserve">also </w:t>
      </w:r>
      <w:r w:rsidR="00C91492" w:rsidRPr="00722521">
        <w:rPr>
          <w:sz w:val="17"/>
          <w:szCs w:val="17"/>
        </w:rPr>
        <w:t>been improved.</w:t>
      </w:r>
    </w:p>
    <w:p w14:paraId="5C335890" w14:textId="77777777" w:rsidR="00C91492" w:rsidRPr="00722521" w:rsidRDefault="00C91492" w:rsidP="00C91492">
      <w:pPr>
        <w:mirrorIndents/>
        <w:rPr>
          <w:sz w:val="17"/>
          <w:szCs w:val="17"/>
        </w:rPr>
      </w:pPr>
    </w:p>
    <w:p w14:paraId="38D97E6E" w14:textId="792CFB5B" w:rsidR="00C91492" w:rsidRPr="00722521" w:rsidRDefault="00722521" w:rsidP="00C91492">
      <w:pPr>
        <w:mirrorIndents/>
        <w:rPr>
          <w:sz w:val="17"/>
          <w:szCs w:val="17"/>
        </w:rPr>
      </w:pPr>
      <w:r>
        <w:rPr>
          <w:sz w:val="17"/>
          <w:szCs w:val="17"/>
        </w:rPr>
        <w:t>VVO</w:t>
      </w:r>
      <w:r w:rsidR="00306E9D" w:rsidRPr="00722521">
        <w:rPr>
          <w:sz w:val="17"/>
          <w:szCs w:val="17"/>
        </w:rPr>
        <w:t xml:space="preserve"> </w:t>
      </w:r>
      <w:r w:rsidR="00C91492" w:rsidRPr="00722521">
        <w:rPr>
          <w:sz w:val="17"/>
          <w:szCs w:val="17"/>
        </w:rPr>
        <w:t>does not consider any additional differentiation of the system of governance in relation to specific tasks necessary.</w:t>
      </w:r>
    </w:p>
    <w:p w14:paraId="695C0CB6" w14:textId="73830B9F" w:rsidR="00FD3F83" w:rsidRPr="00722521" w:rsidRDefault="00FD3F83" w:rsidP="00A903E6">
      <w:pPr>
        <w:mirrorIndents/>
        <w:rPr>
          <w:sz w:val="17"/>
          <w:szCs w:val="17"/>
        </w:rPr>
      </w:pPr>
    </w:p>
    <w:p w14:paraId="0561D524" w14:textId="77777777" w:rsidR="00FD3F83" w:rsidRPr="00722521" w:rsidRDefault="00FD3F83" w:rsidP="00A903E6">
      <w:pPr>
        <w:mirrorIndents/>
        <w:rPr>
          <w:sz w:val="17"/>
          <w:szCs w:val="17"/>
        </w:rPr>
      </w:pPr>
    </w:p>
    <w:p w14:paraId="53082A5F" w14:textId="39FD24CC" w:rsidR="00BA160A" w:rsidRPr="00722521" w:rsidRDefault="00BA160A" w:rsidP="00FD3F83">
      <w:pPr>
        <w:pStyle w:val="Textkrper"/>
        <w:ind w:left="0"/>
        <w:mirrorIndents/>
        <w:rPr>
          <w:rFonts w:ascii="Verdana" w:hAnsi="Verdana"/>
          <w:sz w:val="17"/>
          <w:szCs w:val="17"/>
        </w:rPr>
      </w:pPr>
      <w:r w:rsidRPr="00722521">
        <w:rPr>
          <w:rFonts w:ascii="Verdana" w:hAnsi="Verdana"/>
          <w:sz w:val="17"/>
          <w:szCs w:val="17"/>
          <w:highlight w:val="lightGray"/>
        </w:rPr>
        <w:t>Question 2.1.2 In the framework of 2019 ESAs’ review, in your view, has the new provision in Article 42 of the ESAs’ Regulations according to which the Board of Supervisors members must abstain from participating in the discussion and voting in relation to any items of the agenda for which they have an interest that might be considered prejudicial to their independence, improved the decision making process?</w:t>
      </w:r>
    </w:p>
    <w:p w14:paraId="23AB5121" w14:textId="7397B5BC" w:rsidR="00FD3F83" w:rsidRPr="00722521" w:rsidRDefault="00BA160A" w:rsidP="00FD3F83">
      <w:pPr>
        <w:pStyle w:val="CEABullet-Level1"/>
        <w:rPr>
          <w:color w:val="auto"/>
          <w:highlight w:val="lightGray"/>
        </w:rPr>
      </w:pPr>
      <w:r w:rsidRPr="00722521">
        <w:rPr>
          <w:color w:val="auto"/>
          <w:highlight w:val="lightGray"/>
        </w:rPr>
        <w:t xml:space="preserve">Yes </w:t>
      </w:r>
    </w:p>
    <w:p w14:paraId="7B4E6755" w14:textId="3321684E" w:rsidR="00BA160A" w:rsidRPr="00722521" w:rsidRDefault="00BA160A" w:rsidP="00FD3F83">
      <w:pPr>
        <w:pStyle w:val="CEABullet-Level1"/>
        <w:rPr>
          <w:color w:val="auto"/>
          <w:highlight w:val="lightGray"/>
        </w:rPr>
      </w:pPr>
      <w:r w:rsidRPr="00722521">
        <w:rPr>
          <w:color w:val="auto"/>
          <w:highlight w:val="lightGray"/>
        </w:rPr>
        <w:t>No</w:t>
      </w:r>
    </w:p>
    <w:p w14:paraId="09DF2C81" w14:textId="77777777" w:rsidR="00BA160A" w:rsidRPr="00722521" w:rsidRDefault="00BA160A" w:rsidP="00FD3F83">
      <w:pPr>
        <w:pStyle w:val="CEABullet-Level1"/>
        <w:rPr>
          <w:color w:val="auto"/>
          <w:highlight w:val="lightGray"/>
        </w:rPr>
      </w:pPr>
      <w:r w:rsidRPr="00722521">
        <w:rPr>
          <w:color w:val="auto"/>
          <w:highlight w:val="lightGray"/>
        </w:rPr>
        <w:t>Don’t know / no opinion / not relevant</w:t>
      </w:r>
    </w:p>
    <w:p w14:paraId="51BB17D2" w14:textId="1EB609B6" w:rsidR="00BA160A" w:rsidRPr="00722521" w:rsidRDefault="00BA160A" w:rsidP="00A903E6">
      <w:pPr>
        <w:mirrorIndents/>
        <w:rPr>
          <w:sz w:val="17"/>
          <w:szCs w:val="17"/>
        </w:rPr>
      </w:pPr>
    </w:p>
    <w:p w14:paraId="489F5393" w14:textId="4AC1099D" w:rsidR="00306E9D" w:rsidRPr="00722521" w:rsidRDefault="00306E9D" w:rsidP="00A903E6">
      <w:pPr>
        <w:mirrorIndents/>
        <w:rPr>
          <w:sz w:val="17"/>
          <w:szCs w:val="17"/>
        </w:rPr>
      </w:pPr>
      <w:r w:rsidRPr="00722521">
        <w:rPr>
          <w:sz w:val="17"/>
          <w:szCs w:val="17"/>
        </w:rPr>
        <w:t>Yes</w:t>
      </w:r>
    </w:p>
    <w:p w14:paraId="6A9AA160" w14:textId="77777777" w:rsidR="00306E9D" w:rsidRPr="00722521" w:rsidRDefault="00306E9D" w:rsidP="00A903E6">
      <w:pPr>
        <w:mirrorIndents/>
        <w:rPr>
          <w:sz w:val="17"/>
          <w:szCs w:val="17"/>
        </w:rPr>
      </w:pPr>
    </w:p>
    <w:p w14:paraId="118DADA8" w14:textId="77777777" w:rsidR="00BA160A" w:rsidRPr="00722521" w:rsidRDefault="00BA160A" w:rsidP="00FD3F83">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1.2.2:</w:t>
      </w:r>
    </w:p>
    <w:p w14:paraId="320DDC88" w14:textId="77777777" w:rsidR="00BE7D61" w:rsidRPr="00722521" w:rsidRDefault="00BE7D61" w:rsidP="00FD3F83">
      <w:pPr>
        <w:mirrorIndents/>
        <w:rPr>
          <w:sz w:val="17"/>
          <w:szCs w:val="17"/>
        </w:rPr>
      </w:pPr>
    </w:p>
    <w:p w14:paraId="73E98046" w14:textId="07E956D4" w:rsidR="00C91492" w:rsidRPr="00722521" w:rsidRDefault="00722521" w:rsidP="00C91492">
      <w:pPr>
        <w:mirrorIndents/>
        <w:rPr>
          <w:sz w:val="17"/>
          <w:szCs w:val="17"/>
        </w:rPr>
      </w:pPr>
      <w:r>
        <w:rPr>
          <w:sz w:val="17"/>
          <w:szCs w:val="17"/>
        </w:rPr>
        <w:t>VVO</w:t>
      </w:r>
      <w:r w:rsidR="00C91492" w:rsidRPr="00722521">
        <w:rPr>
          <w:sz w:val="17"/>
          <w:szCs w:val="17"/>
        </w:rPr>
        <w:t xml:space="preserve"> believes that the amendment excluding </w:t>
      </w:r>
      <w:proofErr w:type="spellStart"/>
      <w:r w:rsidR="00C91492" w:rsidRPr="00722521">
        <w:rPr>
          <w:sz w:val="17"/>
          <w:szCs w:val="17"/>
        </w:rPr>
        <w:t>BoS</w:t>
      </w:r>
      <w:proofErr w:type="spellEnd"/>
      <w:r w:rsidR="00C91492" w:rsidRPr="00722521">
        <w:rPr>
          <w:sz w:val="17"/>
          <w:szCs w:val="17"/>
        </w:rPr>
        <w:t xml:space="preserve"> members from discussions and decisions in relation to any items of the agenda for which they have an interest that might be considered prejudicial to their independence as important. The amendment fixed a flaw of the regulations establishing the ESAs. The practical impact of the provision cannot be easily assessed. However, it is an important prerequisite for the credibility of the Authorities that </w:t>
      </w:r>
      <w:proofErr w:type="spellStart"/>
      <w:r w:rsidR="00C91492" w:rsidRPr="00722521">
        <w:rPr>
          <w:sz w:val="17"/>
          <w:szCs w:val="17"/>
        </w:rPr>
        <w:t>BoS</w:t>
      </w:r>
      <w:proofErr w:type="spellEnd"/>
      <w:r w:rsidR="00C91492" w:rsidRPr="00722521">
        <w:rPr>
          <w:sz w:val="17"/>
          <w:szCs w:val="17"/>
        </w:rPr>
        <w:t xml:space="preserve"> members with potential conflicting interests abstain from discussions and decisions.</w:t>
      </w:r>
    </w:p>
    <w:p w14:paraId="09EB07A4" w14:textId="77777777" w:rsidR="001E5FA7" w:rsidRPr="00722521" w:rsidRDefault="001E5FA7" w:rsidP="00FD3F83">
      <w:pPr>
        <w:mirrorIndents/>
        <w:rPr>
          <w:sz w:val="17"/>
          <w:szCs w:val="17"/>
        </w:rPr>
      </w:pPr>
    </w:p>
    <w:p w14:paraId="70ACE837" w14:textId="00EE62CC" w:rsidR="00BA160A" w:rsidRPr="00722521" w:rsidRDefault="00BA160A" w:rsidP="00FD3F83">
      <w:pPr>
        <w:mirrorIndents/>
        <w:rPr>
          <w:b/>
          <w:bCs/>
          <w:sz w:val="17"/>
          <w:szCs w:val="17"/>
        </w:rPr>
      </w:pPr>
      <w:r w:rsidRPr="00722521">
        <w:rPr>
          <w:b/>
          <w:sz w:val="17"/>
          <w:szCs w:val="17"/>
          <w:highlight w:val="lightGray"/>
        </w:rPr>
        <w:t>Question 2.1.3 In the framework of 2019 ESAs’ review, do you think the requirements in Articles 3 and 43a of the ESAs’ Regulations are sufficient to ensure accountability and transparency?</w:t>
      </w:r>
    </w:p>
    <w:p w14:paraId="10DB5E78" w14:textId="4D2AE05E" w:rsidR="00BE7D61" w:rsidRPr="00722521" w:rsidRDefault="00BA160A" w:rsidP="00BE7D61">
      <w:pPr>
        <w:pStyle w:val="CEABullet-Level1"/>
        <w:rPr>
          <w:color w:val="auto"/>
          <w:highlight w:val="lightGray"/>
        </w:rPr>
      </w:pPr>
      <w:r w:rsidRPr="00722521">
        <w:rPr>
          <w:color w:val="auto"/>
          <w:highlight w:val="lightGray"/>
        </w:rPr>
        <w:t xml:space="preserve">Yes </w:t>
      </w:r>
    </w:p>
    <w:p w14:paraId="34556939" w14:textId="353A18EF" w:rsidR="00BA160A" w:rsidRPr="00722521" w:rsidRDefault="00BA160A" w:rsidP="00BE7D61">
      <w:pPr>
        <w:pStyle w:val="CEABullet-Level1"/>
        <w:rPr>
          <w:color w:val="auto"/>
          <w:highlight w:val="lightGray"/>
        </w:rPr>
      </w:pPr>
      <w:r w:rsidRPr="00722521">
        <w:rPr>
          <w:color w:val="auto"/>
          <w:highlight w:val="lightGray"/>
        </w:rPr>
        <w:t>No</w:t>
      </w:r>
    </w:p>
    <w:p w14:paraId="4BB28CD8" w14:textId="77777777" w:rsidR="00BA160A" w:rsidRPr="00722521" w:rsidRDefault="00BA160A" w:rsidP="00BE7D61">
      <w:pPr>
        <w:pStyle w:val="CEABullet-Level1"/>
        <w:rPr>
          <w:color w:val="auto"/>
          <w:highlight w:val="lightGray"/>
        </w:rPr>
      </w:pPr>
      <w:r w:rsidRPr="00722521">
        <w:rPr>
          <w:color w:val="auto"/>
          <w:highlight w:val="lightGray"/>
        </w:rPr>
        <w:t>Don’t know / no opinion / not relevant</w:t>
      </w:r>
    </w:p>
    <w:p w14:paraId="1BD20BD8" w14:textId="6765DB03" w:rsidR="00BA160A" w:rsidRPr="00722521" w:rsidRDefault="00BA160A" w:rsidP="00A903E6">
      <w:pPr>
        <w:mirrorIndents/>
        <w:rPr>
          <w:sz w:val="17"/>
          <w:szCs w:val="17"/>
        </w:rPr>
      </w:pPr>
    </w:p>
    <w:p w14:paraId="498FFEFF" w14:textId="2F511E9D" w:rsidR="00306E9D" w:rsidRPr="00722521" w:rsidRDefault="00557C45" w:rsidP="00A903E6">
      <w:pPr>
        <w:mirrorIndents/>
        <w:rPr>
          <w:sz w:val="17"/>
          <w:szCs w:val="17"/>
        </w:rPr>
      </w:pPr>
      <w:r w:rsidRPr="00722521">
        <w:rPr>
          <w:sz w:val="17"/>
          <w:szCs w:val="17"/>
        </w:rPr>
        <w:t>No</w:t>
      </w:r>
    </w:p>
    <w:p w14:paraId="7C1676C8" w14:textId="77777777" w:rsidR="00306E9D" w:rsidRPr="00722521" w:rsidRDefault="00306E9D" w:rsidP="00A903E6">
      <w:pPr>
        <w:mirrorIndents/>
        <w:rPr>
          <w:sz w:val="17"/>
          <w:szCs w:val="17"/>
        </w:rPr>
      </w:pPr>
    </w:p>
    <w:p w14:paraId="641D1AFC" w14:textId="77777777" w:rsidR="00BA160A" w:rsidRPr="00722521" w:rsidRDefault="00BA160A" w:rsidP="00BE7D61">
      <w:pPr>
        <w:pStyle w:val="Textkrper"/>
        <w:ind w:left="0"/>
        <w:mirrorIndents/>
        <w:rPr>
          <w:rFonts w:ascii="Verdana" w:hAnsi="Verdana"/>
          <w:sz w:val="17"/>
          <w:szCs w:val="17"/>
        </w:rPr>
      </w:pPr>
      <w:r w:rsidRPr="00722521">
        <w:rPr>
          <w:rFonts w:ascii="Verdana" w:hAnsi="Verdana"/>
          <w:sz w:val="17"/>
          <w:szCs w:val="17"/>
          <w:highlight w:val="lightGray"/>
        </w:rPr>
        <w:t>If you identify areas for improvement, please explain:</w:t>
      </w:r>
    </w:p>
    <w:p w14:paraId="09639B80" w14:textId="1EF87B05" w:rsidR="00BA160A" w:rsidRPr="00722521" w:rsidRDefault="00BA160A" w:rsidP="00A903E6">
      <w:pPr>
        <w:mirrorIndents/>
        <w:rPr>
          <w:sz w:val="17"/>
          <w:szCs w:val="17"/>
        </w:rPr>
      </w:pPr>
    </w:p>
    <w:p w14:paraId="3D944210" w14:textId="561048AC" w:rsidR="00BE7D61" w:rsidRPr="00722521" w:rsidRDefault="00557C45" w:rsidP="00A903E6">
      <w:pPr>
        <w:mirrorIndents/>
        <w:rPr>
          <w:sz w:val="17"/>
          <w:szCs w:val="17"/>
        </w:rPr>
      </w:pPr>
      <w:r w:rsidRPr="00722521">
        <w:rPr>
          <w:sz w:val="17"/>
          <w:szCs w:val="17"/>
        </w:rPr>
        <w:t xml:space="preserve">The transparency decisions adopted by the Board of Supervisors could be enhanced if the record according to Art. 43a would also disclose the vote of each member on every decision made by the </w:t>
      </w:r>
      <w:proofErr w:type="spellStart"/>
      <w:r w:rsidRPr="00722521">
        <w:rPr>
          <w:sz w:val="17"/>
          <w:szCs w:val="17"/>
        </w:rPr>
        <w:t>BoS</w:t>
      </w:r>
      <w:proofErr w:type="spellEnd"/>
      <w:r w:rsidRPr="00722521">
        <w:rPr>
          <w:sz w:val="17"/>
          <w:szCs w:val="17"/>
        </w:rPr>
        <w:t>.</w:t>
      </w:r>
    </w:p>
    <w:p w14:paraId="1088EB69" w14:textId="1EAC7A86" w:rsidR="001A1012" w:rsidRPr="00722521" w:rsidRDefault="001A1012" w:rsidP="00A903E6">
      <w:pPr>
        <w:mirrorIndents/>
        <w:rPr>
          <w:sz w:val="17"/>
          <w:szCs w:val="17"/>
        </w:rPr>
      </w:pPr>
    </w:p>
    <w:p w14:paraId="09E0CE3C" w14:textId="286D62DD" w:rsidR="00315D35" w:rsidRPr="00722521" w:rsidRDefault="00A16D06" w:rsidP="00315D35">
      <w:pPr>
        <w:mirrorIndents/>
        <w:rPr>
          <w:sz w:val="17"/>
          <w:szCs w:val="17"/>
        </w:rPr>
      </w:pPr>
      <w:r w:rsidRPr="00722521">
        <w:rPr>
          <w:sz w:val="17"/>
          <w:szCs w:val="17"/>
        </w:rPr>
        <w:t>Moreover, a</w:t>
      </w:r>
      <w:r w:rsidR="00315D35" w:rsidRPr="00722521">
        <w:rPr>
          <w:sz w:val="17"/>
          <w:szCs w:val="17"/>
        </w:rPr>
        <w:t xml:space="preserve">s highlighted in the responses to questions 1.9.1 and 1.9.3, the accountability of EIOPA with respect to its engagement at the IAIS level on international standard setting should be significantly improved.  </w:t>
      </w:r>
    </w:p>
    <w:p w14:paraId="10547871" w14:textId="77777777" w:rsidR="00315D35" w:rsidRPr="00722521" w:rsidRDefault="00315D35" w:rsidP="00315D35">
      <w:pPr>
        <w:mirrorIndents/>
        <w:rPr>
          <w:sz w:val="17"/>
          <w:szCs w:val="17"/>
        </w:rPr>
      </w:pPr>
    </w:p>
    <w:p w14:paraId="139D33B6" w14:textId="77777777" w:rsidR="00315D35" w:rsidRPr="00722521" w:rsidRDefault="00315D35" w:rsidP="00315D35">
      <w:pPr>
        <w:mirrorIndents/>
        <w:rPr>
          <w:sz w:val="17"/>
          <w:szCs w:val="17"/>
        </w:rPr>
      </w:pPr>
      <w:r w:rsidRPr="00722521">
        <w:rPr>
          <w:sz w:val="17"/>
          <w:szCs w:val="17"/>
        </w:rPr>
        <w:t xml:space="preserve">Article 6 of the EIOPA Regulation sets out the objective of EIOPA to protect the public interest by contributing to the effectiveness of the financial system for the Union economy, its citizens and businesses. EIOPA in its activities takes a very narrow interpretation of its remit, essentially trying to deliver its contribution to the effectiveness of the EU insurance industry in a narrow way, limited to supervisory objectives. EIOPA’s </w:t>
      </w:r>
      <w:r w:rsidRPr="00722521">
        <w:rPr>
          <w:sz w:val="17"/>
          <w:szCs w:val="17"/>
        </w:rPr>
        <w:lastRenderedPageBreak/>
        <w:t>governance needs to be amended such that its activities also encompass the broader objectives of the European Union as already recognised in the EIOPA Regulation. EIOPA should be held responsible to demonstrate how their regulation, guideline, statement, opinion objectively contributes to deliver the priorities of the EU on a holistic basis. This is a matter of governance and accountability of EIOPA action before the EU Co-Legislators, the stakeholders and the wider public.</w:t>
      </w:r>
    </w:p>
    <w:p w14:paraId="006C739B" w14:textId="77777777" w:rsidR="001A1012" w:rsidRPr="00722521" w:rsidRDefault="001A1012" w:rsidP="00A903E6">
      <w:pPr>
        <w:mirrorIndents/>
        <w:rPr>
          <w:sz w:val="17"/>
          <w:szCs w:val="17"/>
        </w:rPr>
      </w:pPr>
    </w:p>
    <w:p w14:paraId="4D513DDD" w14:textId="4C9AA5B0" w:rsidR="00BA160A" w:rsidRPr="00722521" w:rsidRDefault="00BA160A" w:rsidP="00BE7D61">
      <w:pPr>
        <w:pStyle w:val="Textkrper"/>
        <w:ind w:left="0"/>
        <w:mirrorIndents/>
        <w:rPr>
          <w:rFonts w:ascii="Verdana" w:hAnsi="Verdana"/>
          <w:sz w:val="17"/>
          <w:szCs w:val="17"/>
        </w:rPr>
      </w:pPr>
      <w:r w:rsidRPr="00722521">
        <w:rPr>
          <w:rFonts w:ascii="Verdana" w:hAnsi="Verdana"/>
          <w:sz w:val="17"/>
          <w:szCs w:val="17"/>
          <w:highlight w:val="lightGray"/>
        </w:rPr>
        <w:t xml:space="preserve">Question 2.1.4 In the framework of 2019 ESAs’ review, to what extent the recent enhancements in the role of Chairperson improve the </w:t>
      </w:r>
      <w:proofErr w:type="gramStart"/>
      <w:r w:rsidRPr="00722521">
        <w:rPr>
          <w:rFonts w:ascii="Verdana" w:hAnsi="Verdana"/>
          <w:sz w:val="17"/>
          <w:szCs w:val="17"/>
          <w:highlight w:val="lightGray"/>
        </w:rPr>
        <w:t>decision making</w:t>
      </w:r>
      <w:proofErr w:type="gramEnd"/>
      <w:r w:rsidRPr="00722521">
        <w:rPr>
          <w:rFonts w:ascii="Verdana" w:hAnsi="Verdana"/>
          <w:sz w:val="17"/>
          <w:szCs w:val="17"/>
          <w:highlight w:val="lightGray"/>
        </w:rPr>
        <w:t xml:space="preserve"> process?</w:t>
      </w:r>
    </w:p>
    <w:tbl>
      <w:tblPr>
        <w:tblW w:w="0" w:type="auto"/>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2285"/>
        <w:gridCol w:w="1224"/>
        <w:gridCol w:w="1250"/>
        <w:gridCol w:w="1012"/>
        <w:gridCol w:w="1264"/>
        <w:gridCol w:w="1240"/>
        <w:gridCol w:w="1236"/>
      </w:tblGrid>
      <w:tr w:rsidR="00BA160A" w:rsidRPr="00722521" w14:paraId="798E05BF" w14:textId="77777777" w:rsidTr="00BE7D61">
        <w:trPr>
          <w:trHeight w:hRule="exact" w:val="1958"/>
        </w:trPr>
        <w:tc>
          <w:tcPr>
            <w:tcW w:w="0" w:type="auto"/>
            <w:tcBorders>
              <w:top w:val="single" w:sz="8" w:space="0" w:color="BABABA"/>
              <w:left w:val="single" w:sz="8" w:space="0" w:color="BABABA"/>
              <w:bottom w:val="single" w:sz="8" w:space="0" w:color="BABABA"/>
              <w:right w:val="single" w:sz="8" w:space="0" w:color="BABABA"/>
            </w:tcBorders>
          </w:tcPr>
          <w:p w14:paraId="40BF2240" w14:textId="77777777" w:rsidR="00BA160A" w:rsidRPr="00722521" w:rsidRDefault="00BA160A" w:rsidP="00A903E6">
            <w:pPr>
              <w:mirrorIndents/>
              <w:rPr>
                <w:sz w:val="17"/>
                <w:szCs w:val="17"/>
              </w:rPr>
            </w:pPr>
          </w:p>
        </w:tc>
        <w:tc>
          <w:tcPr>
            <w:tcW w:w="0" w:type="auto"/>
            <w:tcBorders>
              <w:top w:val="single" w:sz="8" w:space="0" w:color="BABABA"/>
              <w:left w:val="single" w:sz="8" w:space="0" w:color="BABABA"/>
              <w:bottom w:val="single" w:sz="8" w:space="0" w:color="BABABA"/>
              <w:right w:val="single" w:sz="8" w:space="0" w:color="BABABA"/>
            </w:tcBorders>
            <w:hideMark/>
          </w:tcPr>
          <w:p w14:paraId="7F91B85A" w14:textId="77777777" w:rsidR="00BA160A" w:rsidRPr="00722521" w:rsidRDefault="00BA160A" w:rsidP="00A903E6">
            <w:pPr>
              <w:pStyle w:val="TableParagraph"/>
              <w:mirrorIndents/>
              <w:rPr>
                <w:szCs w:val="17"/>
              </w:rPr>
            </w:pPr>
            <w:r w:rsidRPr="00722521">
              <w:rPr>
                <w:w w:val="99"/>
                <w:szCs w:val="17"/>
              </w:rPr>
              <w:t>1</w:t>
            </w:r>
          </w:p>
          <w:p w14:paraId="145A635D" w14:textId="77777777" w:rsidR="00BA160A" w:rsidRPr="00722521" w:rsidRDefault="00BA160A" w:rsidP="00A903E6">
            <w:pPr>
              <w:pStyle w:val="TableParagraph"/>
              <w:ind w:hanging="1"/>
              <w:mirrorIndents/>
              <w:rPr>
                <w:szCs w:val="17"/>
              </w:rPr>
            </w:pPr>
            <w:r w:rsidRPr="00722521">
              <w:rPr>
                <w:szCs w:val="17"/>
              </w:rPr>
              <w:t>(less 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6AA29444" w14:textId="77777777" w:rsidR="00BA160A" w:rsidRPr="00722521" w:rsidRDefault="00BA160A" w:rsidP="00A903E6">
            <w:pPr>
              <w:pStyle w:val="TableParagraph"/>
              <w:mirrorIndents/>
              <w:rPr>
                <w:szCs w:val="17"/>
              </w:rPr>
            </w:pPr>
            <w:r w:rsidRPr="00722521">
              <w:rPr>
                <w:w w:val="99"/>
                <w:szCs w:val="17"/>
              </w:rPr>
              <w:t>2</w:t>
            </w:r>
          </w:p>
          <w:p w14:paraId="7A1ED85B" w14:textId="77777777" w:rsidR="00BA160A" w:rsidRPr="00722521" w:rsidRDefault="00BA160A" w:rsidP="00A903E6">
            <w:pPr>
              <w:pStyle w:val="TableParagraph"/>
              <w:ind w:hanging="1"/>
              <w:mirrorIndents/>
              <w:rPr>
                <w:szCs w:val="17"/>
              </w:rPr>
            </w:pPr>
            <w:r w:rsidRPr="00722521">
              <w:rPr>
                <w:szCs w:val="17"/>
              </w:rPr>
              <w:t>(not so 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0C5F0B3B" w14:textId="77777777" w:rsidR="00BA160A" w:rsidRPr="00722521" w:rsidRDefault="00BA160A" w:rsidP="00A903E6">
            <w:pPr>
              <w:pStyle w:val="TableParagraph"/>
              <w:mirrorIndents/>
              <w:rPr>
                <w:szCs w:val="17"/>
              </w:rPr>
            </w:pPr>
            <w:r w:rsidRPr="00722521">
              <w:rPr>
                <w:w w:val="99"/>
                <w:szCs w:val="17"/>
              </w:rPr>
              <w:t>3</w:t>
            </w:r>
          </w:p>
          <w:p w14:paraId="353E86C3" w14:textId="77777777" w:rsidR="00BA160A" w:rsidRPr="00722521" w:rsidRDefault="00BA160A" w:rsidP="00A903E6">
            <w:pPr>
              <w:pStyle w:val="TableParagraph"/>
              <w:mirrorIndents/>
              <w:rPr>
                <w:szCs w:val="17"/>
              </w:rPr>
            </w:pPr>
            <w:r w:rsidRPr="00722521">
              <w:rPr>
                <w:szCs w:val="17"/>
              </w:rPr>
              <w:t>(neutral)</w:t>
            </w:r>
          </w:p>
        </w:tc>
        <w:tc>
          <w:tcPr>
            <w:tcW w:w="0" w:type="auto"/>
            <w:tcBorders>
              <w:top w:val="single" w:sz="8" w:space="0" w:color="BABABA"/>
              <w:left w:val="single" w:sz="8" w:space="0" w:color="BABABA"/>
              <w:bottom w:val="single" w:sz="8" w:space="0" w:color="BABABA"/>
              <w:right w:val="single" w:sz="8" w:space="0" w:color="BABABA"/>
            </w:tcBorders>
            <w:hideMark/>
          </w:tcPr>
          <w:p w14:paraId="3AC4C6C0" w14:textId="77777777" w:rsidR="00BA160A" w:rsidRPr="00722521" w:rsidRDefault="00BA160A" w:rsidP="00A903E6">
            <w:pPr>
              <w:pStyle w:val="TableParagraph"/>
              <w:mirrorIndents/>
              <w:rPr>
                <w:szCs w:val="17"/>
              </w:rPr>
            </w:pPr>
            <w:r w:rsidRPr="00722521">
              <w:rPr>
                <w:w w:val="99"/>
                <w:szCs w:val="17"/>
              </w:rPr>
              <w:t>4</w:t>
            </w:r>
          </w:p>
          <w:p w14:paraId="2A097A69" w14:textId="77777777" w:rsidR="00BA160A" w:rsidRPr="00722521" w:rsidRDefault="00BA160A" w:rsidP="00A903E6">
            <w:pPr>
              <w:pStyle w:val="TableParagraph"/>
              <w:mirrorIndents/>
              <w:rPr>
                <w:szCs w:val="17"/>
              </w:rPr>
            </w:pPr>
            <w:r w:rsidRPr="00722521">
              <w:rPr>
                <w:szCs w:val="17"/>
              </w:rPr>
              <w:t>(significant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48A9CCA2" w14:textId="77777777" w:rsidR="00BA160A" w:rsidRPr="00722521" w:rsidRDefault="00BA160A" w:rsidP="00A903E6">
            <w:pPr>
              <w:pStyle w:val="TableParagraph"/>
              <w:mirrorIndents/>
              <w:rPr>
                <w:szCs w:val="17"/>
              </w:rPr>
            </w:pPr>
            <w:r w:rsidRPr="00722521">
              <w:rPr>
                <w:w w:val="99"/>
                <w:szCs w:val="17"/>
              </w:rPr>
              <w:t>5</w:t>
            </w:r>
          </w:p>
          <w:p w14:paraId="351C4F6C" w14:textId="77777777" w:rsidR="00BA160A" w:rsidRPr="00722521" w:rsidRDefault="00BA160A" w:rsidP="00A903E6">
            <w:pPr>
              <w:pStyle w:val="TableParagraph"/>
              <w:mirrorIndents/>
              <w:rPr>
                <w:szCs w:val="17"/>
              </w:rPr>
            </w:pPr>
            <w:r w:rsidRPr="00722521">
              <w:rPr>
                <w:szCs w:val="17"/>
              </w:rPr>
              <w:t>(most 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1A1FC3A5"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4FA14983" w14:textId="77777777" w:rsidR="00BA160A" w:rsidRPr="00722521" w:rsidRDefault="00BA160A" w:rsidP="00A903E6">
            <w:pPr>
              <w:pStyle w:val="TableParagraph"/>
              <w:ind w:hanging="1"/>
              <w:mirrorIndents/>
              <w:rPr>
                <w:szCs w:val="17"/>
              </w:rPr>
            </w:pPr>
            <w:r w:rsidRPr="00722521">
              <w:rPr>
                <w:szCs w:val="17"/>
              </w:rPr>
              <w:t>Not applicable</w:t>
            </w:r>
          </w:p>
        </w:tc>
      </w:tr>
      <w:tr w:rsidR="00BA160A" w:rsidRPr="00722521" w14:paraId="77973554" w14:textId="77777777" w:rsidTr="008A6CD1">
        <w:trPr>
          <w:trHeight w:hRule="exact" w:val="1162"/>
        </w:trPr>
        <w:tc>
          <w:tcPr>
            <w:tcW w:w="0" w:type="auto"/>
            <w:tcBorders>
              <w:top w:val="single" w:sz="8" w:space="0" w:color="BABABA"/>
              <w:left w:val="single" w:sz="8" w:space="0" w:color="BABABA"/>
              <w:bottom w:val="single" w:sz="8" w:space="0" w:color="BABABA"/>
              <w:right w:val="single" w:sz="8" w:space="0" w:color="BABABA"/>
            </w:tcBorders>
            <w:hideMark/>
          </w:tcPr>
          <w:p w14:paraId="587F6473" w14:textId="77777777" w:rsidR="00BA160A" w:rsidRPr="00722521" w:rsidRDefault="00BA160A" w:rsidP="00A903E6">
            <w:pPr>
              <w:pStyle w:val="TableParagraph"/>
              <w:mirrorIndents/>
              <w:rPr>
                <w:szCs w:val="17"/>
              </w:rPr>
            </w:pPr>
            <w:r w:rsidRPr="00722521">
              <w:rPr>
                <w:w w:val="105"/>
                <w:szCs w:val="17"/>
              </w:rPr>
              <w:t>Request to the Board to establish internal committees for specific tasks</w:t>
            </w:r>
          </w:p>
        </w:tc>
        <w:tc>
          <w:tcPr>
            <w:tcW w:w="0" w:type="auto"/>
            <w:tcBorders>
              <w:top w:val="single" w:sz="8" w:space="0" w:color="BABABA"/>
              <w:left w:val="single" w:sz="8" w:space="0" w:color="BABABA"/>
              <w:bottom w:val="single" w:sz="8" w:space="0" w:color="BABABA"/>
              <w:right w:val="single" w:sz="8" w:space="0" w:color="BABABA"/>
            </w:tcBorders>
          </w:tcPr>
          <w:p w14:paraId="4ABA6ED2"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744B0A23"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85BAF5D"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7EFE019A" w14:textId="63ED251B" w:rsidR="00BA160A" w:rsidRPr="00722521" w:rsidRDefault="00C91492" w:rsidP="00A903E6">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589BED14"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3B60472C" w14:textId="77777777" w:rsidR="00BA160A" w:rsidRPr="00722521" w:rsidRDefault="00BA160A" w:rsidP="00A903E6">
            <w:pPr>
              <w:pStyle w:val="TableParagraph"/>
              <w:mirrorIndents/>
              <w:rPr>
                <w:b/>
                <w:szCs w:val="17"/>
              </w:rPr>
            </w:pPr>
          </w:p>
        </w:tc>
      </w:tr>
      <w:tr w:rsidR="00BA160A" w:rsidRPr="00722521" w14:paraId="225762FD" w14:textId="77777777" w:rsidTr="008A6CD1">
        <w:trPr>
          <w:trHeight w:hRule="exact" w:val="994"/>
        </w:trPr>
        <w:tc>
          <w:tcPr>
            <w:tcW w:w="0" w:type="auto"/>
            <w:tcBorders>
              <w:top w:val="single" w:sz="8" w:space="0" w:color="BABABA"/>
              <w:left w:val="single" w:sz="8" w:space="0" w:color="BABABA"/>
              <w:bottom w:val="single" w:sz="8" w:space="0" w:color="BABABA"/>
              <w:right w:val="single" w:sz="8" w:space="0" w:color="BABABA"/>
            </w:tcBorders>
            <w:hideMark/>
          </w:tcPr>
          <w:p w14:paraId="7EE5C941" w14:textId="77777777" w:rsidR="00BA160A" w:rsidRPr="00722521" w:rsidRDefault="00BA160A" w:rsidP="00A903E6">
            <w:pPr>
              <w:pStyle w:val="TableParagraph"/>
              <w:mirrorIndents/>
              <w:rPr>
                <w:szCs w:val="17"/>
              </w:rPr>
            </w:pPr>
            <w:r w:rsidRPr="00722521">
              <w:rPr>
                <w:w w:val="105"/>
                <w:szCs w:val="17"/>
              </w:rPr>
              <w:t>Set the agenda to be adopted by the Board and table items for decision</w:t>
            </w:r>
          </w:p>
        </w:tc>
        <w:tc>
          <w:tcPr>
            <w:tcW w:w="0" w:type="auto"/>
            <w:tcBorders>
              <w:top w:val="single" w:sz="8" w:space="0" w:color="BABABA"/>
              <w:left w:val="single" w:sz="8" w:space="0" w:color="BABABA"/>
              <w:bottom w:val="single" w:sz="8" w:space="0" w:color="BABABA"/>
              <w:right w:val="single" w:sz="8" w:space="0" w:color="BABABA"/>
            </w:tcBorders>
          </w:tcPr>
          <w:p w14:paraId="07972213"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5F9AAB19"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1A70FFF6" w14:textId="00C6A1F6" w:rsidR="00BA160A" w:rsidRPr="00722521" w:rsidRDefault="00C91492" w:rsidP="00A903E6">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7F9B9EBA"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448AE9F6"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15D187E7" w14:textId="77777777" w:rsidR="00BA160A" w:rsidRPr="00722521" w:rsidRDefault="00BA160A" w:rsidP="00A903E6">
            <w:pPr>
              <w:pStyle w:val="TableParagraph"/>
              <w:mirrorIndents/>
              <w:rPr>
                <w:b/>
                <w:szCs w:val="17"/>
              </w:rPr>
            </w:pPr>
          </w:p>
        </w:tc>
      </w:tr>
      <w:tr w:rsidR="00BA160A" w:rsidRPr="00722521" w14:paraId="0DB8351E" w14:textId="77777777" w:rsidTr="008A6CD1">
        <w:trPr>
          <w:trHeight w:hRule="exact" w:val="711"/>
        </w:trPr>
        <w:tc>
          <w:tcPr>
            <w:tcW w:w="0" w:type="auto"/>
            <w:tcBorders>
              <w:top w:val="single" w:sz="8" w:space="0" w:color="BABABA"/>
              <w:left w:val="single" w:sz="8" w:space="0" w:color="BABABA"/>
              <w:bottom w:val="single" w:sz="8" w:space="0" w:color="BABABA"/>
              <w:right w:val="single" w:sz="8" w:space="0" w:color="BABABA"/>
            </w:tcBorders>
            <w:hideMark/>
          </w:tcPr>
          <w:p w14:paraId="0D7D54FC" w14:textId="77777777" w:rsidR="00BA160A" w:rsidRPr="00722521" w:rsidRDefault="00BA160A" w:rsidP="00A903E6">
            <w:pPr>
              <w:pStyle w:val="TableParagraph"/>
              <w:mirrorIndents/>
              <w:rPr>
                <w:szCs w:val="17"/>
              </w:rPr>
            </w:pPr>
            <w:r w:rsidRPr="00722521">
              <w:rPr>
                <w:szCs w:val="17"/>
              </w:rPr>
              <w:t>Call a vote at any time</w:t>
            </w:r>
          </w:p>
        </w:tc>
        <w:tc>
          <w:tcPr>
            <w:tcW w:w="0" w:type="auto"/>
            <w:tcBorders>
              <w:top w:val="single" w:sz="8" w:space="0" w:color="BABABA"/>
              <w:left w:val="single" w:sz="8" w:space="0" w:color="BABABA"/>
              <w:bottom w:val="single" w:sz="8" w:space="0" w:color="BABABA"/>
              <w:right w:val="single" w:sz="8" w:space="0" w:color="BABABA"/>
            </w:tcBorders>
          </w:tcPr>
          <w:p w14:paraId="4E3D68A0"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4D815DEC"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7CAA7F3" w14:textId="421AF390" w:rsidR="00BA160A" w:rsidRPr="00722521" w:rsidRDefault="00C91492" w:rsidP="00A903E6">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028F568F"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1A6B45F6"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56C2E42B" w14:textId="77777777" w:rsidR="00BA160A" w:rsidRPr="00722521" w:rsidRDefault="00BA160A" w:rsidP="00A903E6">
            <w:pPr>
              <w:pStyle w:val="TableParagraph"/>
              <w:mirrorIndents/>
              <w:rPr>
                <w:b/>
                <w:szCs w:val="17"/>
              </w:rPr>
            </w:pPr>
          </w:p>
        </w:tc>
      </w:tr>
      <w:tr w:rsidR="00BA160A" w:rsidRPr="00722521" w14:paraId="35140F19" w14:textId="77777777" w:rsidTr="00BE7D61">
        <w:trPr>
          <w:trHeight w:hRule="exact" w:val="1266"/>
        </w:trPr>
        <w:tc>
          <w:tcPr>
            <w:tcW w:w="0" w:type="auto"/>
            <w:tcBorders>
              <w:top w:val="single" w:sz="8" w:space="0" w:color="BABABA"/>
              <w:left w:val="single" w:sz="8" w:space="0" w:color="BABABA"/>
              <w:bottom w:val="nil"/>
              <w:right w:val="single" w:sz="8" w:space="0" w:color="BABABA"/>
            </w:tcBorders>
            <w:hideMark/>
          </w:tcPr>
          <w:p w14:paraId="6EDA7E29" w14:textId="2EFF0FEB" w:rsidR="00BA160A" w:rsidRPr="00722521" w:rsidRDefault="00BA160A" w:rsidP="00A903E6">
            <w:pPr>
              <w:pStyle w:val="TableParagraph"/>
              <w:mirrorIndents/>
              <w:rPr>
                <w:szCs w:val="17"/>
              </w:rPr>
            </w:pPr>
            <w:r w:rsidRPr="00722521">
              <w:rPr>
                <w:w w:val="105"/>
                <w:szCs w:val="17"/>
              </w:rPr>
              <w:t>Propose</w:t>
            </w:r>
            <w:r w:rsidRPr="00722521">
              <w:rPr>
                <w:spacing w:val="-22"/>
                <w:w w:val="105"/>
                <w:szCs w:val="17"/>
              </w:rPr>
              <w:t xml:space="preserve"> </w:t>
            </w:r>
            <w:r w:rsidRPr="00722521">
              <w:rPr>
                <w:w w:val="105"/>
                <w:szCs w:val="17"/>
              </w:rPr>
              <w:t>the</w:t>
            </w:r>
            <w:r w:rsidRPr="00722521">
              <w:rPr>
                <w:w w:val="102"/>
                <w:szCs w:val="17"/>
              </w:rPr>
              <w:t xml:space="preserve"> </w:t>
            </w:r>
            <w:r w:rsidRPr="00722521">
              <w:rPr>
                <w:szCs w:val="17"/>
              </w:rPr>
              <w:t xml:space="preserve">composition </w:t>
            </w:r>
            <w:r w:rsidRPr="00722521">
              <w:rPr>
                <w:w w:val="105"/>
                <w:szCs w:val="17"/>
              </w:rPr>
              <w:t>of</w:t>
            </w:r>
            <w:r w:rsidR="00BE7D61" w:rsidRPr="00722521">
              <w:rPr>
                <w:w w:val="105"/>
                <w:szCs w:val="17"/>
              </w:rPr>
              <w:t xml:space="preserve"> </w:t>
            </w:r>
            <w:r w:rsidR="00BE7D61" w:rsidRPr="00722521">
              <w:rPr>
                <w:szCs w:val="17"/>
              </w:rPr>
              <w:t>independent panels for breach of Union law investigations and dispute settlements</w:t>
            </w:r>
          </w:p>
        </w:tc>
        <w:tc>
          <w:tcPr>
            <w:tcW w:w="0" w:type="auto"/>
            <w:tcBorders>
              <w:top w:val="single" w:sz="8" w:space="0" w:color="BABABA"/>
              <w:left w:val="single" w:sz="8" w:space="0" w:color="BABABA"/>
              <w:bottom w:val="nil"/>
              <w:right w:val="single" w:sz="8" w:space="0" w:color="BABABA"/>
            </w:tcBorders>
          </w:tcPr>
          <w:p w14:paraId="4F26E8EC" w14:textId="77777777" w:rsidR="00BA160A" w:rsidRPr="00722521" w:rsidRDefault="00BA160A"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22C293A8" w14:textId="77777777" w:rsidR="00BA160A" w:rsidRPr="00722521" w:rsidRDefault="00BA160A"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1DA7596B" w14:textId="77777777" w:rsidR="00BA160A" w:rsidRPr="00722521" w:rsidRDefault="00BA160A"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381E18FE" w14:textId="38CA8344" w:rsidR="00BA160A" w:rsidRPr="00722521" w:rsidRDefault="00C91492" w:rsidP="00C91492">
            <w:pPr>
              <w:pStyle w:val="TableParagraph"/>
              <w:mirrorIndents/>
              <w:rPr>
                <w:szCs w:val="17"/>
              </w:rPr>
            </w:pPr>
            <w:r w:rsidRPr="00722521">
              <w:rPr>
                <w:b/>
                <w:szCs w:val="17"/>
              </w:rPr>
              <w:t>x</w:t>
            </w:r>
          </w:p>
        </w:tc>
        <w:tc>
          <w:tcPr>
            <w:tcW w:w="0" w:type="auto"/>
            <w:tcBorders>
              <w:top w:val="single" w:sz="8" w:space="0" w:color="BABABA"/>
              <w:left w:val="single" w:sz="8" w:space="0" w:color="BABABA"/>
              <w:bottom w:val="nil"/>
              <w:right w:val="single" w:sz="8" w:space="0" w:color="BABABA"/>
            </w:tcBorders>
          </w:tcPr>
          <w:p w14:paraId="75B187CF" w14:textId="77777777" w:rsidR="00BA160A" w:rsidRPr="00722521" w:rsidRDefault="00BA160A"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36B4119A" w14:textId="77777777" w:rsidR="00BA160A" w:rsidRPr="00722521" w:rsidRDefault="00BA160A" w:rsidP="00A903E6">
            <w:pPr>
              <w:mirrorIndents/>
              <w:rPr>
                <w:sz w:val="17"/>
                <w:szCs w:val="17"/>
              </w:rPr>
            </w:pPr>
          </w:p>
        </w:tc>
      </w:tr>
      <w:tr w:rsidR="00BE7D61" w:rsidRPr="00722521" w14:paraId="5AC5758D" w14:textId="77777777" w:rsidTr="00BE7D61">
        <w:trPr>
          <w:trHeight w:hRule="exact" w:val="1266"/>
        </w:trPr>
        <w:tc>
          <w:tcPr>
            <w:tcW w:w="0" w:type="auto"/>
            <w:tcBorders>
              <w:top w:val="single" w:sz="8" w:space="0" w:color="BABABA"/>
              <w:left w:val="single" w:sz="8" w:space="0" w:color="BABABA"/>
              <w:bottom w:val="nil"/>
              <w:right w:val="single" w:sz="8" w:space="0" w:color="BABABA"/>
            </w:tcBorders>
          </w:tcPr>
          <w:p w14:paraId="0725630C" w14:textId="59006DCC" w:rsidR="00BE7D61" w:rsidRPr="00722521" w:rsidRDefault="00BE7D61" w:rsidP="00A903E6">
            <w:pPr>
              <w:pStyle w:val="TableParagraph"/>
              <w:mirrorIndents/>
              <w:rPr>
                <w:w w:val="105"/>
                <w:szCs w:val="17"/>
              </w:rPr>
            </w:pPr>
            <w:r w:rsidRPr="00722521">
              <w:rPr>
                <w:w w:val="105"/>
                <w:szCs w:val="17"/>
              </w:rPr>
              <w:t>Propose the</w:t>
            </w:r>
            <w:r w:rsidRPr="00722521">
              <w:rPr>
                <w:w w:val="102"/>
                <w:szCs w:val="17"/>
              </w:rPr>
              <w:t xml:space="preserve"> </w:t>
            </w:r>
            <w:r w:rsidRPr="00722521">
              <w:rPr>
                <w:szCs w:val="17"/>
              </w:rPr>
              <w:t xml:space="preserve">composition </w:t>
            </w:r>
            <w:r w:rsidRPr="00722521">
              <w:rPr>
                <w:w w:val="105"/>
                <w:szCs w:val="17"/>
              </w:rPr>
              <w:t>of peer review committees for peer reviews</w:t>
            </w:r>
          </w:p>
        </w:tc>
        <w:tc>
          <w:tcPr>
            <w:tcW w:w="0" w:type="auto"/>
            <w:tcBorders>
              <w:top w:val="single" w:sz="8" w:space="0" w:color="BABABA"/>
              <w:left w:val="single" w:sz="8" w:space="0" w:color="BABABA"/>
              <w:bottom w:val="nil"/>
              <w:right w:val="single" w:sz="8" w:space="0" w:color="BABABA"/>
            </w:tcBorders>
          </w:tcPr>
          <w:p w14:paraId="4055703E"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28BFCCCC"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61207284"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34D62BF0" w14:textId="4E3DEBE0" w:rsidR="00BE7D61" w:rsidRPr="00722521" w:rsidRDefault="00C91492" w:rsidP="00C91492">
            <w:pPr>
              <w:pStyle w:val="TableParagraph"/>
              <w:mirrorIndents/>
              <w:rPr>
                <w:szCs w:val="17"/>
              </w:rPr>
            </w:pPr>
            <w:r w:rsidRPr="00722521">
              <w:rPr>
                <w:b/>
                <w:szCs w:val="17"/>
              </w:rPr>
              <w:t>x</w:t>
            </w:r>
          </w:p>
        </w:tc>
        <w:tc>
          <w:tcPr>
            <w:tcW w:w="0" w:type="auto"/>
            <w:tcBorders>
              <w:top w:val="single" w:sz="8" w:space="0" w:color="BABABA"/>
              <w:left w:val="single" w:sz="8" w:space="0" w:color="BABABA"/>
              <w:bottom w:val="nil"/>
              <w:right w:val="single" w:sz="8" w:space="0" w:color="BABABA"/>
            </w:tcBorders>
          </w:tcPr>
          <w:p w14:paraId="176064F1"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680D215A" w14:textId="77777777" w:rsidR="00BE7D61" w:rsidRPr="00722521" w:rsidRDefault="00BE7D61" w:rsidP="00A903E6">
            <w:pPr>
              <w:mirrorIndents/>
              <w:rPr>
                <w:sz w:val="17"/>
                <w:szCs w:val="17"/>
              </w:rPr>
            </w:pPr>
          </w:p>
        </w:tc>
      </w:tr>
      <w:tr w:rsidR="00BE7D61" w:rsidRPr="00722521" w14:paraId="582182D7" w14:textId="77777777" w:rsidTr="00BE7D61">
        <w:trPr>
          <w:trHeight w:hRule="exact" w:val="1266"/>
        </w:trPr>
        <w:tc>
          <w:tcPr>
            <w:tcW w:w="0" w:type="auto"/>
            <w:tcBorders>
              <w:top w:val="single" w:sz="8" w:space="0" w:color="BABABA"/>
              <w:left w:val="single" w:sz="8" w:space="0" w:color="BABABA"/>
              <w:bottom w:val="nil"/>
              <w:right w:val="single" w:sz="8" w:space="0" w:color="BABABA"/>
            </w:tcBorders>
          </w:tcPr>
          <w:p w14:paraId="060D2486" w14:textId="77777777" w:rsidR="00BE7D61" w:rsidRPr="00722521" w:rsidRDefault="00BE7D61" w:rsidP="00BE7D61">
            <w:pPr>
              <w:pStyle w:val="TableParagraph"/>
              <w:mirrorIndents/>
              <w:rPr>
                <w:szCs w:val="17"/>
              </w:rPr>
            </w:pPr>
            <w:r w:rsidRPr="00722521">
              <w:rPr>
                <w:w w:val="105"/>
                <w:szCs w:val="17"/>
              </w:rPr>
              <w:t xml:space="preserve">Propose a decision to launch an inquiry and convene an </w:t>
            </w:r>
            <w:r w:rsidRPr="00722521">
              <w:rPr>
                <w:szCs w:val="17"/>
              </w:rPr>
              <w:t xml:space="preserve">independent </w:t>
            </w:r>
            <w:r w:rsidRPr="00722521">
              <w:rPr>
                <w:w w:val="105"/>
                <w:szCs w:val="17"/>
              </w:rPr>
              <w:t>panel for the purposes of Article 22 (4) ESAs</w:t>
            </w:r>
          </w:p>
          <w:p w14:paraId="6792843F" w14:textId="413ECE38" w:rsidR="00BE7D61" w:rsidRPr="00722521" w:rsidRDefault="00BE7D61" w:rsidP="00BE7D61">
            <w:pPr>
              <w:pStyle w:val="TableParagraph"/>
              <w:mirrorIndents/>
              <w:rPr>
                <w:w w:val="105"/>
                <w:szCs w:val="17"/>
              </w:rPr>
            </w:pPr>
            <w:r w:rsidRPr="00722521">
              <w:rPr>
                <w:szCs w:val="17"/>
              </w:rPr>
              <w:t>Regulation</w:t>
            </w:r>
          </w:p>
        </w:tc>
        <w:tc>
          <w:tcPr>
            <w:tcW w:w="0" w:type="auto"/>
            <w:tcBorders>
              <w:top w:val="single" w:sz="8" w:space="0" w:color="BABABA"/>
              <w:left w:val="single" w:sz="8" w:space="0" w:color="BABABA"/>
              <w:bottom w:val="nil"/>
              <w:right w:val="single" w:sz="8" w:space="0" w:color="BABABA"/>
            </w:tcBorders>
          </w:tcPr>
          <w:p w14:paraId="7AE84FBB"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3D47B9E3"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03B3042C" w14:textId="5C76994D" w:rsidR="00BE7D61" w:rsidRPr="00722521" w:rsidRDefault="00C91492" w:rsidP="00C91492">
            <w:pPr>
              <w:pStyle w:val="TableParagraph"/>
              <w:mirrorIndents/>
              <w:rPr>
                <w:szCs w:val="17"/>
              </w:rPr>
            </w:pPr>
            <w:r w:rsidRPr="00722521">
              <w:rPr>
                <w:b/>
                <w:szCs w:val="17"/>
              </w:rPr>
              <w:t>x</w:t>
            </w:r>
          </w:p>
        </w:tc>
        <w:tc>
          <w:tcPr>
            <w:tcW w:w="0" w:type="auto"/>
            <w:tcBorders>
              <w:top w:val="single" w:sz="8" w:space="0" w:color="BABABA"/>
              <w:left w:val="single" w:sz="8" w:space="0" w:color="BABABA"/>
              <w:bottom w:val="nil"/>
              <w:right w:val="single" w:sz="8" w:space="0" w:color="BABABA"/>
            </w:tcBorders>
          </w:tcPr>
          <w:p w14:paraId="05B3C323"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5C51BD33"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46D4432A" w14:textId="77777777" w:rsidR="00BE7D61" w:rsidRPr="00722521" w:rsidRDefault="00BE7D61" w:rsidP="00A903E6">
            <w:pPr>
              <w:mirrorIndents/>
              <w:rPr>
                <w:sz w:val="17"/>
                <w:szCs w:val="17"/>
              </w:rPr>
            </w:pPr>
          </w:p>
        </w:tc>
      </w:tr>
      <w:tr w:rsidR="00BE7D61" w:rsidRPr="00722521" w14:paraId="37E5849A" w14:textId="77777777" w:rsidTr="00BE7D61">
        <w:trPr>
          <w:trHeight w:hRule="exact" w:val="1266"/>
        </w:trPr>
        <w:tc>
          <w:tcPr>
            <w:tcW w:w="0" w:type="auto"/>
            <w:tcBorders>
              <w:top w:val="single" w:sz="8" w:space="0" w:color="BABABA"/>
              <w:left w:val="single" w:sz="8" w:space="0" w:color="BABABA"/>
              <w:bottom w:val="nil"/>
              <w:right w:val="single" w:sz="8" w:space="0" w:color="BABABA"/>
            </w:tcBorders>
          </w:tcPr>
          <w:p w14:paraId="3B922887" w14:textId="23B46CB0" w:rsidR="00BE7D61" w:rsidRPr="00722521" w:rsidRDefault="00BE7D61" w:rsidP="00BE7D61">
            <w:pPr>
              <w:pStyle w:val="TableParagraph"/>
              <w:mirrorIndents/>
              <w:rPr>
                <w:w w:val="105"/>
                <w:szCs w:val="17"/>
              </w:rPr>
            </w:pPr>
            <w:r w:rsidRPr="00722521">
              <w:rPr>
                <w:w w:val="105"/>
                <w:szCs w:val="17"/>
              </w:rPr>
              <w:t xml:space="preserve">Vote in the Board of </w:t>
            </w:r>
            <w:r w:rsidRPr="00722521">
              <w:rPr>
                <w:szCs w:val="17"/>
              </w:rPr>
              <w:t xml:space="preserve">Supervisors </w:t>
            </w:r>
            <w:r w:rsidRPr="00722521">
              <w:rPr>
                <w:w w:val="105"/>
                <w:szCs w:val="17"/>
              </w:rPr>
              <w:t>(except on matters that</w:t>
            </w:r>
            <w:r w:rsidRPr="00722521">
              <w:rPr>
                <w:w w:val="102"/>
                <w:szCs w:val="17"/>
              </w:rPr>
              <w:t xml:space="preserve"> </w:t>
            </w:r>
            <w:r w:rsidRPr="00722521">
              <w:rPr>
                <w:w w:val="105"/>
                <w:szCs w:val="17"/>
              </w:rPr>
              <w:t>are decided</w:t>
            </w:r>
            <w:r w:rsidR="008A6CD1" w:rsidRPr="00722521">
              <w:rPr>
                <w:w w:val="105"/>
                <w:szCs w:val="17"/>
              </w:rPr>
              <w:t xml:space="preserve"> </w:t>
            </w:r>
            <w:r w:rsidR="008A6CD1" w:rsidRPr="00722521">
              <w:rPr>
                <w:szCs w:val="17"/>
              </w:rPr>
              <w:t>on the basis of qualified majority voting)</w:t>
            </w:r>
          </w:p>
        </w:tc>
        <w:tc>
          <w:tcPr>
            <w:tcW w:w="0" w:type="auto"/>
            <w:tcBorders>
              <w:top w:val="single" w:sz="8" w:space="0" w:color="BABABA"/>
              <w:left w:val="single" w:sz="8" w:space="0" w:color="BABABA"/>
              <w:bottom w:val="nil"/>
              <w:right w:val="single" w:sz="8" w:space="0" w:color="BABABA"/>
            </w:tcBorders>
          </w:tcPr>
          <w:p w14:paraId="71298B32" w14:textId="5E85FBAD" w:rsidR="00BE7D61" w:rsidRPr="00722521" w:rsidRDefault="00C91492" w:rsidP="00C91492">
            <w:pPr>
              <w:pStyle w:val="TableParagraph"/>
              <w:mirrorIndents/>
              <w:rPr>
                <w:b/>
                <w:szCs w:val="17"/>
              </w:rPr>
            </w:pPr>
            <w:r w:rsidRPr="00722521">
              <w:rPr>
                <w:b/>
                <w:szCs w:val="17"/>
              </w:rPr>
              <w:t>x</w:t>
            </w:r>
          </w:p>
        </w:tc>
        <w:tc>
          <w:tcPr>
            <w:tcW w:w="0" w:type="auto"/>
            <w:tcBorders>
              <w:top w:val="single" w:sz="8" w:space="0" w:color="BABABA"/>
              <w:left w:val="single" w:sz="8" w:space="0" w:color="BABABA"/>
              <w:bottom w:val="nil"/>
              <w:right w:val="single" w:sz="8" w:space="0" w:color="BABABA"/>
            </w:tcBorders>
          </w:tcPr>
          <w:p w14:paraId="61CDFA4B"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3607F646"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6A7FABE7"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3EF299E8" w14:textId="77777777" w:rsidR="00BE7D61" w:rsidRPr="00722521" w:rsidRDefault="00BE7D61" w:rsidP="00A903E6">
            <w:pPr>
              <w:mirrorIndents/>
              <w:rPr>
                <w:sz w:val="17"/>
                <w:szCs w:val="17"/>
              </w:rPr>
            </w:pPr>
          </w:p>
        </w:tc>
        <w:tc>
          <w:tcPr>
            <w:tcW w:w="0" w:type="auto"/>
            <w:tcBorders>
              <w:top w:val="single" w:sz="8" w:space="0" w:color="BABABA"/>
              <w:left w:val="single" w:sz="8" w:space="0" w:color="BABABA"/>
              <w:bottom w:val="nil"/>
              <w:right w:val="single" w:sz="8" w:space="0" w:color="BABABA"/>
            </w:tcBorders>
          </w:tcPr>
          <w:p w14:paraId="7C071CB7" w14:textId="77777777" w:rsidR="00BE7D61" w:rsidRPr="00722521" w:rsidRDefault="00BE7D61" w:rsidP="00A903E6">
            <w:pPr>
              <w:mirrorIndents/>
              <w:rPr>
                <w:sz w:val="17"/>
                <w:szCs w:val="17"/>
              </w:rPr>
            </w:pPr>
          </w:p>
        </w:tc>
      </w:tr>
      <w:tr w:rsidR="008A6CD1" w:rsidRPr="00722521" w14:paraId="1435F115" w14:textId="77777777" w:rsidTr="00BE7D61">
        <w:trPr>
          <w:trHeight w:hRule="exact" w:val="633"/>
        </w:trPr>
        <w:tc>
          <w:tcPr>
            <w:tcW w:w="0" w:type="auto"/>
            <w:tcBorders>
              <w:top w:val="single" w:sz="8" w:space="0" w:color="BABABA"/>
              <w:left w:val="single" w:sz="8" w:space="0" w:color="BABABA"/>
              <w:bottom w:val="single" w:sz="8" w:space="0" w:color="BABABA"/>
              <w:right w:val="single" w:sz="8" w:space="0" w:color="BABABA"/>
            </w:tcBorders>
            <w:hideMark/>
          </w:tcPr>
          <w:p w14:paraId="67168E05" w14:textId="77777777" w:rsidR="00BA160A" w:rsidRPr="00722521" w:rsidRDefault="00BA160A" w:rsidP="00A903E6">
            <w:pPr>
              <w:pStyle w:val="TableParagraph"/>
              <w:mirrorIndents/>
              <w:rPr>
                <w:szCs w:val="17"/>
              </w:rPr>
            </w:pPr>
            <w:r w:rsidRPr="00722521">
              <w:rPr>
                <w:w w:val="105"/>
                <w:szCs w:val="17"/>
              </w:rPr>
              <w:t>Other</w:t>
            </w:r>
          </w:p>
        </w:tc>
        <w:tc>
          <w:tcPr>
            <w:tcW w:w="0" w:type="auto"/>
            <w:tcBorders>
              <w:top w:val="single" w:sz="8" w:space="0" w:color="BABABA"/>
              <w:left w:val="single" w:sz="8" w:space="0" w:color="BABABA"/>
              <w:bottom w:val="single" w:sz="8" w:space="0" w:color="BABABA"/>
              <w:right w:val="single" w:sz="8" w:space="0" w:color="BABABA"/>
            </w:tcBorders>
          </w:tcPr>
          <w:p w14:paraId="305BC20E"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3C9FE03"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3A84CD06"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369A813"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39EB1F6B"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5AAC0483" w14:textId="47F0CFA8" w:rsidR="00BA160A" w:rsidRPr="00722521" w:rsidRDefault="00C91492" w:rsidP="00A903E6">
            <w:pPr>
              <w:pStyle w:val="TableParagraph"/>
              <w:mirrorIndents/>
              <w:rPr>
                <w:b/>
                <w:szCs w:val="17"/>
              </w:rPr>
            </w:pPr>
            <w:r w:rsidRPr="00722521">
              <w:rPr>
                <w:b/>
                <w:szCs w:val="17"/>
              </w:rPr>
              <w:t>x</w:t>
            </w:r>
          </w:p>
        </w:tc>
      </w:tr>
    </w:tbl>
    <w:p w14:paraId="62248A08" w14:textId="77777777" w:rsidR="00BE7D61" w:rsidRPr="00722521" w:rsidRDefault="00BE7D61" w:rsidP="00BE7D61">
      <w:pPr>
        <w:pStyle w:val="Textkrper"/>
        <w:ind w:left="0"/>
        <w:mirrorIndents/>
        <w:rPr>
          <w:rFonts w:ascii="Verdana" w:hAnsi="Verdana"/>
          <w:sz w:val="17"/>
          <w:szCs w:val="17"/>
        </w:rPr>
      </w:pPr>
    </w:p>
    <w:p w14:paraId="4910D9D6" w14:textId="14537E64" w:rsidR="00BA160A" w:rsidRPr="00722521" w:rsidRDefault="00BA160A" w:rsidP="00BE7D61">
      <w:pPr>
        <w:pStyle w:val="Textkrper"/>
        <w:ind w:left="0"/>
        <w:mirrorIndents/>
        <w:rPr>
          <w:rFonts w:ascii="Verdana" w:hAnsi="Verdana"/>
          <w:sz w:val="17"/>
          <w:szCs w:val="17"/>
        </w:rPr>
      </w:pPr>
      <w:r w:rsidRPr="00722521">
        <w:rPr>
          <w:rFonts w:ascii="Verdana" w:hAnsi="Verdana"/>
          <w:sz w:val="17"/>
          <w:szCs w:val="17"/>
          <w:highlight w:val="lightGray"/>
        </w:rPr>
        <w:t>Please specify what your mean by ‘other’ in your answer to question 2.1.4:</w:t>
      </w:r>
    </w:p>
    <w:p w14:paraId="00F38FAD" w14:textId="14F897DC" w:rsidR="00BA160A" w:rsidRPr="00722521" w:rsidRDefault="00BA160A" w:rsidP="00A903E6">
      <w:pPr>
        <w:mirrorIndents/>
        <w:rPr>
          <w:sz w:val="17"/>
          <w:szCs w:val="17"/>
        </w:rPr>
      </w:pPr>
    </w:p>
    <w:p w14:paraId="1FE69BD4" w14:textId="28682C18" w:rsidR="00BE7D61" w:rsidRPr="00722521" w:rsidRDefault="002471DF" w:rsidP="00A903E6">
      <w:pPr>
        <w:mirrorIndents/>
        <w:rPr>
          <w:sz w:val="17"/>
          <w:szCs w:val="17"/>
        </w:rPr>
      </w:pPr>
      <w:r w:rsidRPr="00722521">
        <w:rPr>
          <w:sz w:val="17"/>
          <w:szCs w:val="17"/>
        </w:rPr>
        <w:lastRenderedPageBreak/>
        <w:t>N/A</w:t>
      </w:r>
    </w:p>
    <w:p w14:paraId="630E8D5F" w14:textId="77777777" w:rsidR="00BE7D61" w:rsidRPr="00722521" w:rsidRDefault="00BE7D61" w:rsidP="00A903E6">
      <w:pPr>
        <w:mirrorIndents/>
        <w:rPr>
          <w:sz w:val="17"/>
          <w:szCs w:val="17"/>
        </w:rPr>
      </w:pPr>
    </w:p>
    <w:p w14:paraId="1ADB9D97" w14:textId="77777777" w:rsidR="00BA160A" w:rsidRPr="00722521" w:rsidRDefault="00BA160A" w:rsidP="00BE7D61">
      <w:pPr>
        <w:pStyle w:val="Textkrper"/>
        <w:ind w:left="0"/>
        <w:mirrorIndents/>
        <w:rPr>
          <w:rFonts w:ascii="Verdana" w:hAnsi="Verdana"/>
          <w:sz w:val="17"/>
          <w:szCs w:val="17"/>
        </w:rPr>
      </w:pPr>
      <w:r w:rsidRPr="00722521">
        <w:rPr>
          <w:rFonts w:ascii="Verdana" w:hAnsi="Verdana"/>
          <w:sz w:val="17"/>
          <w:szCs w:val="17"/>
          <w:highlight w:val="lightGray"/>
        </w:rPr>
        <w:t>Please explain your answers to question 2.1.4:</w:t>
      </w:r>
    </w:p>
    <w:p w14:paraId="7E891C2F" w14:textId="6CF4EFA5" w:rsidR="00BA160A" w:rsidRPr="00722521" w:rsidRDefault="00BA160A" w:rsidP="00A903E6">
      <w:pPr>
        <w:mirrorIndents/>
        <w:rPr>
          <w:sz w:val="17"/>
          <w:szCs w:val="17"/>
        </w:rPr>
      </w:pPr>
    </w:p>
    <w:p w14:paraId="136AC637" w14:textId="3BA110BA" w:rsidR="00C91492" w:rsidRPr="00722521" w:rsidRDefault="00C91492" w:rsidP="00C91492">
      <w:pPr>
        <w:mirrorIndents/>
        <w:rPr>
          <w:sz w:val="17"/>
          <w:szCs w:val="17"/>
        </w:rPr>
      </w:pPr>
      <w:r w:rsidRPr="00722521">
        <w:rPr>
          <w:sz w:val="17"/>
          <w:szCs w:val="17"/>
        </w:rPr>
        <w:t xml:space="preserve">Among the new empowerments, </w:t>
      </w:r>
      <w:r w:rsidR="00722521">
        <w:rPr>
          <w:sz w:val="17"/>
          <w:szCs w:val="17"/>
        </w:rPr>
        <w:t>VVO</w:t>
      </w:r>
      <w:r w:rsidR="002471DF" w:rsidRPr="00722521">
        <w:rPr>
          <w:sz w:val="17"/>
          <w:szCs w:val="17"/>
        </w:rPr>
        <w:t xml:space="preserve"> </w:t>
      </w:r>
      <w:r w:rsidRPr="00722521">
        <w:rPr>
          <w:sz w:val="17"/>
          <w:szCs w:val="17"/>
        </w:rPr>
        <w:t>considers the ability to propose the composition of independent panels for breach of Union law investigations and dispute settlements and to propose the composition of independent panels for breach of Union law investigations and dispute settlements as most valuable.</w:t>
      </w:r>
    </w:p>
    <w:p w14:paraId="0242EE99" w14:textId="77777777" w:rsidR="00C91492" w:rsidRPr="00722521" w:rsidRDefault="00C91492" w:rsidP="00C91492">
      <w:pPr>
        <w:mirrorIndents/>
        <w:rPr>
          <w:sz w:val="17"/>
          <w:szCs w:val="17"/>
        </w:rPr>
      </w:pPr>
    </w:p>
    <w:p w14:paraId="5CC8030D" w14:textId="3D427672" w:rsidR="00C91492" w:rsidRPr="00722521" w:rsidRDefault="00C91492" w:rsidP="00C91492">
      <w:pPr>
        <w:mirrorIndents/>
        <w:rPr>
          <w:sz w:val="17"/>
          <w:szCs w:val="17"/>
        </w:rPr>
      </w:pPr>
      <w:r w:rsidRPr="00722521">
        <w:rPr>
          <w:sz w:val="17"/>
          <w:szCs w:val="17"/>
        </w:rPr>
        <w:t>In contrary, the powers for the Chair with regards to activities targeted at a specific financial institution as per Article 22.4 ESA Regulations should be carried-out in conjunction with the group of N</w:t>
      </w:r>
      <w:r w:rsidR="002471DF" w:rsidRPr="00722521">
        <w:rPr>
          <w:sz w:val="17"/>
          <w:szCs w:val="17"/>
        </w:rPr>
        <w:t>S</w:t>
      </w:r>
      <w:r w:rsidRPr="00722521">
        <w:rPr>
          <w:sz w:val="17"/>
          <w:szCs w:val="17"/>
        </w:rPr>
        <w:t>As.</w:t>
      </w:r>
    </w:p>
    <w:p w14:paraId="39C6D7F8" w14:textId="74A4A391" w:rsidR="002471DF" w:rsidRPr="00722521" w:rsidRDefault="002471DF" w:rsidP="00C91492">
      <w:pPr>
        <w:mirrorIndents/>
        <w:rPr>
          <w:sz w:val="17"/>
          <w:szCs w:val="17"/>
        </w:rPr>
      </w:pPr>
    </w:p>
    <w:p w14:paraId="6B23FAF1" w14:textId="2D8C7F5D" w:rsidR="002471DF" w:rsidRPr="00722521" w:rsidRDefault="00722521" w:rsidP="00C91492">
      <w:pPr>
        <w:mirrorIndents/>
        <w:rPr>
          <w:sz w:val="17"/>
          <w:szCs w:val="17"/>
        </w:rPr>
      </w:pPr>
      <w:r>
        <w:rPr>
          <w:sz w:val="17"/>
          <w:szCs w:val="17"/>
        </w:rPr>
        <w:t>VVO</w:t>
      </w:r>
      <w:r w:rsidR="002471DF" w:rsidRPr="00722521">
        <w:rPr>
          <w:sz w:val="17"/>
          <w:szCs w:val="17"/>
        </w:rPr>
        <w:t xml:space="preserve"> highlights that the main decision body is and should remain the </w:t>
      </w:r>
      <w:proofErr w:type="spellStart"/>
      <w:r w:rsidR="002471DF" w:rsidRPr="00722521">
        <w:rPr>
          <w:sz w:val="17"/>
          <w:szCs w:val="17"/>
        </w:rPr>
        <w:t>BoS</w:t>
      </w:r>
      <w:proofErr w:type="spellEnd"/>
      <w:r w:rsidR="002471DF" w:rsidRPr="00722521">
        <w:rPr>
          <w:sz w:val="17"/>
          <w:szCs w:val="17"/>
        </w:rPr>
        <w:t>, and concentration of powers in the hands of the chairperson needs to be avoided.</w:t>
      </w:r>
    </w:p>
    <w:p w14:paraId="0B9A8102" w14:textId="37F18E5E" w:rsidR="00BE7D61" w:rsidRPr="00722521" w:rsidRDefault="00BE7D61" w:rsidP="00A903E6">
      <w:pPr>
        <w:mirrorIndents/>
        <w:rPr>
          <w:sz w:val="17"/>
          <w:szCs w:val="17"/>
        </w:rPr>
      </w:pPr>
    </w:p>
    <w:p w14:paraId="48EF7355" w14:textId="77777777" w:rsidR="00BE7D61" w:rsidRPr="00722521" w:rsidRDefault="00BE7D61" w:rsidP="00A903E6">
      <w:pPr>
        <w:mirrorIndents/>
        <w:rPr>
          <w:sz w:val="17"/>
          <w:szCs w:val="17"/>
        </w:rPr>
      </w:pPr>
    </w:p>
    <w:p w14:paraId="6D0B2A29" w14:textId="43B7C592" w:rsidR="00BA160A" w:rsidRPr="00722521" w:rsidRDefault="00BA160A" w:rsidP="00BE7D61">
      <w:pPr>
        <w:pStyle w:val="Textkrper"/>
        <w:ind w:left="0"/>
        <w:mirrorIndents/>
        <w:rPr>
          <w:rFonts w:ascii="Verdana" w:hAnsi="Verdana"/>
          <w:sz w:val="17"/>
          <w:szCs w:val="17"/>
        </w:rPr>
      </w:pPr>
      <w:r w:rsidRPr="00722521">
        <w:rPr>
          <w:rFonts w:ascii="Verdana" w:hAnsi="Verdana"/>
          <w:sz w:val="17"/>
          <w:szCs w:val="17"/>
          <w:highlight w:val="lightGray"/>
        </w:rPr>
        <w:t>Question 2.1.5 Should the role of the Chairperson be strengthened in other areas?</w:t>
      </w:r>
    </w:p>
    <w:p w14:paraId="0E78025F" w14:textId="7C2359F6" w:rsidR="00BE7D61" w:rsidRPr="00722521" w:rsidRDefault="00BA160A" w:rsidP="00BE7D61">
      <w:pPr>
        <w:pStyle w:val="CEABullet-Level1"/>
        <w:rPr>
          <w:color w:val="auto"/>
          <w:highlight w:val="lightGray"/>
        </w:rPr>
      </w:pPr>
      <w:r w:rsidRPr="00722521">
        <w:rPr>
          <w:color w:val="auto"/>
          <w:highlight w:val="lightGray"/>
        </w:rPr>
        <w:t xml:space="preserve">Yes </w:t>
      </w:r>
    </w:p>
    <w:p w14:paraId="605D6718" w14:textId="79D57F0D" w:rsidR="00BA160A" w:rsidRPr="00722521" w:rsidRDefault="00BA160A" w:rsidP="00BE7D61">
      <w:pPr>
        <w:pStyle w:val="CEABullet-Level1"/>
        <w:rPr>
          <w:color w:val="auto"/>
          <w:highlight w:val="lightGray"/>
        </w:rPr>
      </w:pPr>
      <w:r w:rsidRPr="00722521">
        <w:rPr>
          <w:color w:val="auto"/>
          <w:highlight w:val="lightGray"/>
        </w:rPr>
        <w:t>No</w:t>
      </w:r>
    </w:p>
    <w:p w14:paraId="7A48FBD3" w14:textId="77777777" w:rsidR="00BA160A" w:rsidRPr="00722521" w:rsidRDefault="00BA160A" w:rsidP="00BE7D61">
      <w:pPr>
        <w:pStyle w:val="CEABullet-Level1"/>
        <w:rPr>
          <w:color w:val="auto"/>
          <w:highlight w:val="lightGray"/>
        </w:rPr>
      </w:pPr>
      <w:r w:rsidRPr="00722521">
        <w:rPr>
          <w:color w:val="auto"/>
          <w:highlight w:val="lightGray"/>
        </w:rPr>
        <w:t>Don’t know / no opinion / not relevant</w:t>
      </w:r>
    </w:p>
    <w:p w14:paraId="5CF1D45F" w14:textId="6205495B" w:rsidR="00BA160A" w:rsidRPr="00722521" w:rsidRDefault="00BA160A" w:rsidP="00A903E6">
      <w:pPr>
        <w:mirrorIndents/>
        <w:rPr>
          <w:sz w:val="17"/>
          <w:szCs w:val="17"/>
        </w:rPr>
      </w:pPr>
    </w:p>
    <w:p w14:paraId="7FDC0F3B" w14:textId="54DD2448" w:rsidR="002471DF" w:rsidRPr="00722521" w:rsidRDefault="002471DF" w:rsidP="00A903E6">
      <w:pPr>
        <w:mirrorIndents/>
        <w:rPr>
          <w:sz w:val="17"/>
          <w:szCs w:val="17"/>
        </w:rPr>
      </w:pPr>
      <w:r w:rsidRPr="00722521">
        <w:rPr>
          <w:sz w:val="17"/>
          <w:szCs w:val="17"/>
        </w:rPr>
        <w:t>No</w:t>
      </w:r>
    </w:p>
    <w:p w14:paraId="42C5B333" w14:textId="77777777" w:rsidR="002471DF" w:rsidRPr="00722521" w:rsidRDefault="002471DF" w:rsidP="00A903E6">
      <w:pPr>
        <w:mirrorIndents/>
        <w:rPr>
          <w:sz w:val="17"/>
          <w:szCs w:val="17"/>
        </w:rPr>
      </w:pPr>
    </w:p>
    <w:p w14:paraId="446D3121" w14:textId="77777777" w:rsidR="00BA160A" w:rsidRPr="00722521" w:rsidRDefault="00BA160A" w:rsidP="00BE7D61">
      <w:pPr>
        <w:pStyle w:val="Textkrper"/>
        <w:ind w:left="0"/>
        <w:mirrorIndents/>
        <w:rPr>
          <w:rFonts w:ascii="Verdana" w:hAnsi="Verdana"/>
          <w:sz w:val="17"/>
          <w:szCs w:val="17"/>
        </w:rPr>
      </w:pPr>
      <w:r w:rsidRPr="00722521">
        <w:rPr>
          <w:rFonts w:ascii="Verdana" w:hAnsi="Verdana"/>
          <w:sz w:val="17"/>
          <w:szCs w:val="17"/>
          <w:highlight w:val="lightGray"/>
        </w:rPr>
        <w:t>Please specify in which area(s) the role of the Chairperson should be strengthened:</w:t>
      </w:r>
    </w:p>
    <w:p w14:paraId="43B24D00" w14:textId="5F29C88F" w:rsidR="00BA160A" w:rsidRPr="00722521" w:rsidRDefault="00BA160A" w:rsidP="00A903E6">
      <w:pPr>
        <w:mirrorIndents/>
        <w:rPr>
          <w:sz w:val="17"/>
          <w:szCs w:val="17"/>
        </w:rPr>
      </w:pPr>
    </w:p>
    <w:p w14:paraId="50F71562" w14:textId="28618EFC" w:rsidR="002471DF" w:rsidRPr="00722521" w:rsidRDefault="00722521" w:rsidP="002471DF">
      <w:pPr>
        <w:mirrorIndents/>
        <w:rPr>
          <w:sz w:val="17"/>
          <w:szCs w:val="17"/>
        </w:rPr>
      </w:pPr>
      <w:r>
        <w:rPr>
          <w:sz w:val="17"/>
          <w:szCs w:val="17"/>
        </w:rPr>
        <w:t>VVO</w:t>
      </w:r>
      <w:r w:rsidR="002471DF" w:rsidRPr="00722521">
        <w:rPr>
          <w:sz w:val="17"/>
          <w:szCs w:val="17"/>
        </w:rPr>
        <w:t xml:space="preserve"> highlights that the main decision body is and should remain the </w:t>
      </w:r>
      <w:proofErr w:type="spellStart"/>
      <w:r w:rsidR="002471DF" w:rsidRPr="00722521">
        <w:rPr>
          <w:sz w:val="17"/>
          <w:szCs w:val="17"/>
        </w:rPr>
        <w:t>BoS</w:t>
      </w:r>
      <w:proofErr w:type="spellEnd"/>
      <w:r w:rsidR="002471DF" w:rsidRPr="00722521">
        <w:rPr>
          <w:sz w:val="17"/>
          <w:szCs w:val="17"/>
        </w:rPr>
        <w:t xml:space="preserve">, and concentration of powers in the hands of the chairperson </w:t>
      </w:r>
      <w:r w:rsidR="004F1640" w:rsidRPr="00722521">
        <w:rPr>
          <w:sz w:val="17"/>
          <w:szCs w:val="17"/>
        </w:rPr>
        <w:t xml:space="preserve">or EIOPA staff </w:t>
      </w:r>
      <w:r w:rsidR="002471DF" w:rsidRPr="00722521">
        <w:rPr>
          <w:sz w:val="17"/>
          <w:szCs w:val="17"/>
        </w:rPr>
        <w:t>needs to be avoided.</w:t>
      </w:r>
    </w:p>
    <w:p w14:paraId="3DF8BF0E" w14:textId="77777777" w:rsidR="00BE7D61" w:rsidRPr="00722521" w:rsidRDefault="00BE7D61" w:rsidP="00A903E6">
      <w:pPr>
        <w:mirrorIndents/>
        <w:rPr>
          <w:sz w:val="17"/>
          <w:szCs w:val="17"/>
        </w:rPr>
      </w:pPr>
    </w:p>
    <w:p w14:paraId="2A40C85A" w14:textId="77777777" w:rsidR="00BA160A" w:rsidRPr="00722521" w:rsidRDefault="00BA160A" w:rsidP="00A903E6">
      <w:pPr>
        <w:pStyle w:val="Listenabsatz"/>
        <w:numPr>
          <w:ilvl w:val="1"/>
          <w:numId w:val="6"/>
        </w:numPr>
        <w:tabs>
          <w:tab w:val="left" w:pos="566"/>
        </w:tabs>
        <w:ind w:left="232" w:hanging="450"/>
        <w:mirrorIndents/>
        <w:rPr>
          <w:rFonts w:ascii="Verdana" w:hAnsi="Verdana"/>
          <w:b/>
          <w:szCs w:val="17"/>
        </w:rPr>
      </w:pPr>
      <w:r w:rsidRPr="00722521">
        <w:rPr>
          <w:rFonts w:ascii="Verdana" w:hAnsi="Verdana"/>
          <w:b/>
          <w:szCs w:val="17"/>
        </w:rPr>
        <w:t>Decision-making bodies and preparatory bodies</w:t>
      </w:r>
    </w:p>
    <w:p w14:paraId="1252E5E3" w14:textId="77777777" w:rsidR="00BA160A" w:rsidRPr="00722521" w:rsidRDefault="00BA160A" w:rsidP="00A903E6">
      <w:pPr>
        <w:pStyle w:val="Textkrper"/>
        <w:mirrorIndents/>
        <w:rPr>
          <w:rFonts w:ascii="Verdana" w:hAnsi="Verdana"/>
          <w:sz w:val="17"/>
          <w:szCs w:val="17"/>
        </w:rPr>
      </w:pPr>
    </w:p>
    <w:p w14:paraId="1149E9FE" w14:textId="1A7BBA77" w:rsidR="00BA160A" w:rsidRPr="00722521" w:rsidRDefault="00BA160A" w:rsidP="00BE7D61">
      <w:pPr>
        <w:pStyle w:val="Textkrper"/>
        <w:ind w:left="0"/>
        <w:mirrorIndents/>
        <w:rPr>
          <w:rFonts w:ascii="Verdana" w:hAnsi="Verdana"/>
          <w:sz w:val="17"/>
          <w:szCs w:val="17"/>
        </w:rPr>
      </w:pPr>
      <w:r w:rsidRPr="00722521">
        <w:rPr>
          <w:rFonts w:ascii="Verdana" w:hAnsi="Verdana"/>
          <w:sz w:val="17"/>
          <w:szCs w:val="17"/>
          <w:highlight w:val="lightGray"/>
        </w:rPr>
        <w:t>Question 2.2.1 Does the current composition of the Board of Supervisors (</w:t>
      </w:r>
      <w:proofErr w:type="spellStart"/>
      <w:r w:rsidRPr="00722521">
        <w:rPr>
          <w:rFonts w:ascii="Verdana" w:hAnsi="Verdana"/>
          <w:sz w:val="17"/>
          <w:szCs w:val="17"/>
          <w:highlight w:val="lightGray"/>
        </w:rPr>
        <w:t>BoS</w:t>
      </w:r>
      <w:proofErr w:type="spellEnd"/>
      <w:r w:rsidRPr="00722521">
        <w:rPr>
          <w:rFonts w:ascii="Verdana" w:hAnsi="Verdana"/>
          <w:sz w:val="17"/>
          <w:szCs w:val="17"/>
          <w:highlight w:val="lightGray"/>
        </w:rPr>
        <w:t>) and of the Management Board (MB) ensure that decisions are taken efficiently and independently?</w:t>
      </w:r>
    </w:p>
    <w:p w14:paraId="0093E814" w14:textId="453AE756" w:rsidR="00BE7D61" w:rsidRPr="00722521" w:rsidRDefault="00BA160A" w:rsidP="00BE7D61">
      <w:pPr>
        <w:pStyle w:val="CEABullet-Level1"/>
        <w:rPr>
          <w:color w:val="auto"/>
          <w:highlight w:val="lightGray"/>
        </w:rPr>
      </w:pPr>
      <w:r w:rsidRPr="00722521">
        <w:rPr>
          <w:color w:val="auto"/>
          <w:highlight w:val="lightGray"/>
        </w:rPr>
        <w:t>Yes</w:t>
      </w:r>
    </w:p>
    <w:p w14:paraId="636A7325" w14:textId="1DB33F66" w:rsidR="00BA160A" w:rsidRPr="00722521" w:rsidRDefault="00BA160A" w:rsidP="00BE7D61">
      <w:pPr>
        <w:pStyle w:val="CEABullet-Level1"/>
        <w:rPr>
          <w:color w:val="auto"/>
          <w:highlight w:val="lightGray"/>
        </w:rPr>
      </w:pPr>
      <w:r w:rsidRPr="00722521">
        <w:rPr>
          <w:color w:val="auto"/>
          <w:highlight w:val="lightGray"/>
        </w:rPr>
        <w:t>No</w:t>
      </w:r>
    </w:p>
    <w:p w14:paraId="05D039A0" w14:textId="7FC99E30" w:rsidR="00BA160A" w:rsidRPr="00722521" w:rsidRDefault="00BA160A" w:rsidP="00BE7D61">
      <w:pPr>
        <w:pStyle w:val="CEABullet-Level1"/>
        <w:rPr>
          <w:color w:val="auto"/>
          <w:highlight w:val="lightGray"/>
        </w:rPr>
      </w:pPr>
      <w:r w:rsidRPr="00722521">
        <w:rPr>
          <w:color w:val="auto"/>
          <w:highlight w:val="lightGray"/>
        </w:rPr>
        <w:t>Don’t know / no opinion / not relevant</w:t>
      </w:r>
    </w:p>
    <w:p w14:paraId="203F57D0" w14:textId="401AD372" w:rsidR="00BA160A" w:rsidRPr="00722521" w:rsidRDefault="00BA160A" w:rsidP="00A903E6">
      <w:pPr>
        <w:mirrorIndents/>
        <w:rPr>
          <w:sz w:val="17"/>
          <w:szCs w:val="17"/>
        </w:rPr>
      </w:pPr>
    </w:p>
    <w:p w14:paraId="602EA1CA" w14:textId="424AB658" w:rsidR="002471DF" w:rsidRPr="00722521" w:rsidRDefault="002471DF" w:rsidP="00A903E6">
      <w:pPr>
        <w:mirrorIndents/>
        <w:rPr>
          <w:sz w:val="17"/>
          <w:szCs w:val="17"/>
        </w:rPr>
      </w:pPr>
      <w:r w:rsidRPr="00722521">
        <w:rPr>
          <w:sz w:val="17"/>
          <w:szCs w:val="17"/>
        </w:rPr>
        <w:t>Yes</w:t>
      </w:r>
    </w:p>
    <w:p w14:paraId="4742275C" w14:textId="77777777" w:rsidR="002471DF" w:rsidRPr="00722521" w:rsidRDefault="002471DF" w:rsidP="00A903E6">
      <w:pPr>
        <w:mirrorIndents/>
        <w:rPr>
          <w:sz w:val="17"/>
          <w:szCs w:val="17"/>
        </w:rPr>
      </w:pPr>
    </w:p>
    <w:p w14:paraId="3918923E" w14:textId="77777777" w:rsidR="00BA160A" w:rsidRPr="00722521" w:rsidRDefault="00BA160A" w:rsidP="00BE7D61">
      <w:pPr>
        <w:pStyle w:val="Textkrper"/>
        <w:ind w:left="0"/>
        <w:mirrorIndents/>
        <w:rPr>
          <w:rFonts w:ascii="Verdana" w:hAnsi="Verdana"/>
          <w:sz w:val="17"/>
          <w:szCs w:val="17"/>
        </w:rPr>
      </w:pPr>
      <w:r w:rsidRPr="00722521">
        <w:rPr>
          <w:rFonts w:ascii="Verdana" w:hAnsi="Verdana"/>
          <w:sz w:val="17"/>
          <w:szCs w:val="17"/>
          <w:highlight w:val="lightGray"/>
        </w:rPr>
        <w:t>If you identify areas for improvement, please explain:</w:t>
      </w:r>
    </w:p>
    <w:p w14:paraId="4A869F4A" w14:textId="3E5BDF6B" w:rsidR="00BA160A" w:rsidRPr="00722521" w:rsidRDefault="00BA160A" w:rsidP="00A903E6">
      <w:pPr>
        <w:mirrorIndents/>
        <w:rPr>
          <w:sz w:val="17"/>
          <w:szCs w:val="17"/>
        </w:rPr>
      </w:pPr>
    </w:p>
    <w:p w14:paraId="6596CFE7" w14:textId="52D8BD26" w:rsidR="00BE7D61" w:rsidRPr="00722521" w:rsidRDefault="00BE7D61" w:rsidP="00A903E6">
      <w:pPr>
        <w:mirrorIndents/>
        <w:rPr>
          <w:sz w:val="17"/>
          <w:szCs w:val="17"/>
        </w:rPr>
      </w:pPr>
    </w:p>
    <w:p w14:paraId="5FDD41E8" w14:textId="77777777" w:rsidR="00BE7D61" w:rsidRPr="00722521" w:rsidRDefault="00BE7D61" w:rsidP="00A903E6">
      <w:pPr>
        <w:mirrorIndents/>
        <w:rPr>
          <w:sz w:val="17"/>
          <w:szCs w:val="17"/>
        </w:rPr>
      </w:pPr>
    </w:p>
    <w:p w14:paraId="2999B30D" w14:textId="4BA92033" w:rsidR="00BA160A" w:rsidRPr="00722521" w:rsidRDefault="00BA160A" w:rsidP="00BE7D61">
      <w:pPr>
        <w:pStyle w:val="Textkrper"/>
        <w:ind w:left="0"/>
        <w:mirrorIndents/>
        <w:rPr>
          <w:rFonts w:ascii="Verdana" w:hAnsi="Verdana"/>
          <w:sz w:val="17"/>
          <w:szCs w:val="17"/>
        </w:rPr>
      </w:pPr>
      <w:r w:rsidRPr="00722521">
        <w:rPr>
          <w:rFonts w:ascii="Verdana" w:hAnsi="Verdana"/>
          <w:sz w:val="17"/>
          <w:szCs w:val="17"/>
          <w:highlight w:val="lightGray"/>
        </w:rPr>
        <w:t xml:space="preserve">Question 2.2.2 Do the current voting modalities (e.g. simple majority, qualified majority…) of the </w:t>
      </w:r>
      <w:proofErr w:type="spellStart"/>
      <w:r w:rsidRPr="00722521">
        <w:rPr>
          <w:rFonts w:ascii="Verdana" w:hAnsi="Verdana"/>
          <w:sz w:val="17"/>
          <w:szCs w:val="17"/>
          <w:highlight w:val="lightGray"/>
        </w:rPr>
        <w:t>BoS</w:t>
      </w:r>
      <w:proofErr w:type="spellEnd"/>
      <w:r w:rsidRPr="00722521">
        <w:rPr>
          <w:rFonts w:ascii="Verdana" w:hAnsi="Verdana"/>
          <w:sz w:val="17"/>
          <w:szCs w:val="17"/>
          <w:highlight w:val="lightGray"/>
        </w:rPr>
        <w:t xml:space="preserve"> ensure efficient decision making?</w:t>
      </w:r>
    </w:p>
    <w:p w14:paraId="707978E0" w14:textId="7D2BFA68" w:rsidR="00BE7D61" w:rsidRPr="00722521" w:rsidRDefault="00BA160A" w:rsidP="00BE7D61">
      <w:pPr>
        <w:pStyle w:val="CEABullet-Level1"/>
        <w:rPr>
          <w:color w:val="auto"/>
          <w:highlight w:val="lightGray"/>
        </w:rPr>
      </w:pPr>
      <w:r w:rsidRPr="00722521">
        <w:rPr>
          <w:color w:val="auto"/>
          <w:highlight w:val="lightGray"/>
        </w:rPr>
        <w:t xml:space="preserve">Yes </w:t>
      </w:r>
    </w:p>
    <w:p w14:paraId="0876B30C" w14:textId="0ADD8D11" w:rsidR="00BA160A" w:rsidRPr="00722521" w:rsidRDefault="00BA160A" w:rsidP="00BE7D61">
      <w:pPr>
        <w:pStyle w:val="CEABullet-Level1"/>
        <w:rPr>
          <w:color w:val="auto"/>
          <w:highlight w:val="lightGray"/>
        </w:rPr>
      </w:pPr>
      <w:r w:rsidRPr="00722521">
        <w:rPr>
          <w:color w:val="auto"/>
          <w:highlight w:val="lightGray"/>
        </w:rPr>
        <w:t>No</w:t>
      </w:r>
    </w:p>
    <w:p w14:paraId="4CBF851C" w14:textId="77777777" w:rsidR="00BA160A" w:rsidRPr="00722521" w:rsidRDefault="00BA160A" w:rsidP="00BE7D61">
      <w:pPr>
        <w:pStyle w:val="CEABullet-Level1"/>
        <w:rPr>
          <w:color w:val="auto"/>
          <w:highlight w:val="lightGray"/>
        </w:rPr>
      </w:pPr>
      <w:r w:rsidRPr="00722521">
        <w:rPr>
          <w:color w:val="auto"/>
          <w:highlight w:val="lightGray"/>
        </w:rPr>
        <w:t>Don’t know / no opinion / not relevant</w:t>
      </w:r>
    </w:p>
    <w:p w14:paraId="6A627463" w14:textId="0CF60B7C" w:rsidR="00BA160A" w:rsidRPr="00722521" w:rsidRDefault="00BA160A" w:rsidP="00A903E6">
      <w:pPr>
        <w:mirrorIndents/>
        <w:rPr>
          <w:sz w:val="17"/>
          <w:szCs w:val="17"/>
        </w:rPr>
      </w:pPr>
    </w:p>
    <w:p w14:paraId="56234234" w14:textId="0D3E995E" w:rsidR="002471DF" w:rsidRPr="00722521" w:rsidRDefault="002471DF" w:rsidP="00A903E6">
      <w:pPr>
        <w:mirrorIndents/>
        <w:rPr>
          <w:sz w:val="17"/>
          <w:szCs w:val="17"/>
        </w:rPr>
      </w:pPr>
      <w:r w:rsidRPr="00722521">
        <w:rPr>
          <w:sz w:val="17"/>
          <w:szCs w:val="17"/>
        </w:rPr>
        <w:t>Yes</w:t>
      </w:r>
    </w:p>
    <w:p w14:paraId="358E6FDC" w14:textId="77777777" w:rsidR="002471DF" w:rsidRPr="00722521" w:rsidRDefault="002471DF" w:rsidP="00A903E6">
      <w:pPr>
        <w:mirrorIndents/>
        <w:rPr>
          <w:sz w:val="17"/>
          <w:szCs w:val="17"/>
        </w:rPr>
      </w:pPr>
    </w:p>
    <w:p w14:paraId="5E17E569" w14:textId="77777777" w:rsidR="00BA160A" w:rsidRPr="00722521" w:rsidRDefault="00BA160A" w:rsidP="00BE7D61">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2.2.2:</w:t>
      </w:r>
    </w:p>
    <w:p w14:paraId="50B50204" w14:textId="77777777" w:rsidR="002615EA" w:rsidRPr="00722521" w:rsidRDefault="002615EA" w:rsidP="00A903E6">
      <w:pPr>
        <w:mirrorIndents/>
        <w:rPr>
          <w:sz w:val="17"/>
          <w:szCs w:val="17"/>
        </w:rPr>
      </w:pPr>
    </w:p>
    <w:p w14:paraId="4E65CF97" w14:textId="77777777" w:rsidR="00BA160A" w:rsidRPr="00722521" w:rsidRDefault="00BA160A" w:rsidP="002615EA">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2.2.2 and indicate how voting modalities could be streamlined:</w:t>
      </w:r>
    </w:p>
    <w:p w14:paraId="38A4DC3C" w14:textId="77777777" w:rsidR="00BA160A" w:rsidRPr="00722521" w:rsidRDefault="00BA160A" w:rsidP="00A903E6">
      <w:pPr>
        <w:mirrorIndents/>
        <w:rPr>
          <w:sz w:val="17"/>
          <w:szCs w:val="17"/>
        </w:rPr>
      </w:pPr>
    </w:p>
    <w:p w14:paraId="02A1C3FD" w14:textId="65849C6B" w:rsidR="00BA160A" w:rsidRPr="00722521" w:rsidRDefault="002471DF" w:rsidP="00A903E6">
      <w:pPr>
        <w:mirrorIndents/>
        <w:rPr>
          <w:sz w:val="17"/>
          <w:szCs w:val="17"/>
        </w:rPr>
      </w:pPr>
      <w:r w:rsidRPr="00722521">
        <w:rPr>
          <w:sz w:val="17"/>
          <w:szCs w:val="17"/>
        </w:rPr>
        <w:lastRenderedPageBreak/>
        <w:t>N/A</w:t>
      </w:r>
    </w:p>
    <w:p w14:paraId="3B3B6315" w14:textId="77777777" w:rsidR="002615EA" w:rsidRPr="00722521" w:rsidRDefault="002615EA" w:rsidP="00A903E6">
      <w:pPr>
        <w:mirrorIndents/>
        <w:rPr>
          <w:sz w:val="17"/>
          <w:szCs w:val="17"/>
        </w:rPr>
      </w:pPr>
    </w:p>
    <w:p w14:paraId="12E868C6" w14:textId="59768D58" w:rsidR="00BA160A" w:rsidRPr="00722521" w:rsidRDefault="00BA160A" w:rsidP="008A6CD1">
      <w:pPr>
        <w:pStyle w:val="Textkrper"/>
        <w:ind w:left="0"/>
        <w:mirrorIndents/>
        <w:rPr>
          <w:rFonts w:ascii="Verdana" w:hAnsi="Verdana"/>
          <w:sz w:val="17"/>
          <w:szCs w:val="17"/>
        </w:rPr>
      </w:pPr>
      <w:r w:rsidRPr="00722521">
        <w:rPr>
          <w:rFonts w:ascii="Verdana" w:hAnsi="Verdana"/>
          <w:sz w:val="17"/>
          <w:szCs w:val="17"/>
          <w:highlight w:val="lightGray"/>
        </w:rPr>
        <w:t xml:space="preserve">Question 2.2.3 Does the current allocation of tasks between the </w:t>
      </w:r>
      <w:proofErr w:type="spellStart"/>
      <w:r w:rsidRPr="00722521">
        <w:rPr>
          <w:rFonts w:ascii="Verdana" w:hAnsi="Verdana"/>
          <w:sz w:val="17"/>
          <w:szCs w:val="17"/>
          <w:highlight w:val="lightGray"/>
        </w:rPr>
        <w:t>BoS</w:t>
      </w:r>
      <w:proofErr w:type="spellEnd"/>
      <w:r w:rsidRPr="00722521">
        <w:rPr>
          <w:rFonts w:ascii="Verdana" w:hAnsi="Verdana"/>
          <w:sz w:val="17"/>
          <w:szCs w:val="17"/>
          <w:highlight w:val="lightGray"/>
        </w:rPr>
        <w:t xml:space="preserve"> and the MB ensure that the ESAs are run effectively and perform the tasks conferred on them?</w:t>
      </w:r>
    </w:p>
    <w:p w14:paraId="443707E4" w14:textId="77777777" w:rsidR="002615EA" w:rsidRPr="00722521" w:rsidRDefault="00BA160A" w:rsidP="002615EA">
      <w:pPr>
        <w:pStyle w:val="CEABullet-Level1"/>
        <w:rPr>
          <w:color w:val="auto"/>
          <w:highlight w:val="lightGray"/>
        </w:rPr>
      </w:pPr>
      <w:r w:rsidRPr="00722521">
        <w:rPr>
          <w:color w:val="auto"/>
          <w:highlight w:val="lightGray"/>
        </w:rPr>
        <w:t xml:space="preserve">Yes </w:t>
      </w:r>
    </w:p>
    <w:p w14:paraId="79083FAE" w14:textId="063BEE71" w:rsidR="00BA160A" w:rsidRPr="00722521" w:rsidRDefault="00BA160A" w:rsidP="002615EA">
      <w:pPr>
        <w:pStyle w:val="CEABullet-Level1"/>
        <w:rPr>
          <w:color w:val="auto"/>
          <w:highlight w:val="lightGray"/>
        </w:rPr>
      </w:pPr>
      <w:r w:rsidRPr="00722521">
        <w:rPr>
          <w:color w:val="auto"/>
          <w:highlight w:val="lightGray"/>
        </w:rPr>
        <w:t>No</w:t>
      </w:r>
    </w:p>
    <w:p w14:paraId="4C7FFF8E" w14:textId="77777777" w:rsidR="00BA160A" w:rsidRPr="00722521" w:rsidRDefault="00BA160A" w:rsidP="002615EA">
      <w:pPr>
        <w:pStyle w:val="CEABullet-Level1"/>
        <w:rPr>
          <w:color w:val="auto"/>
          <w:highlight w:val="lightGray"/>
        </w:rPr>
      </w:pPr>
      <w:r w:rsidRPr="00722521">
        <w:rPr>
          <w:color w:val="auto"/>
          <w:highlight w:val="lightGray"/>
        </w:rPr>
        <w:t>Don’t know / no opinion / not relevant</w:t>
      </w:r>
    </w:p>
    <w:p w14:paraId="657BC27A" w14:textId="2B71A80A" w:rsidR="00BA160A" w:rsidRPr="00722521" w:rsidRDefault="00BA160A" w:rsidP="00A903E6">
      <w:pPr>
        <w:mirrorIndents/>
        <w:rPr>
          <w:sz w:val="17"/>
          <w:szCs w:val="17"/>
        </w:rPr>
      </w:pPr>
    </w:p>
    <w:p w14:paraId="42484214" w14:textId="10FD5C59" w:rsidR="002471DF" w:rsidRPr="00722521" w:rsidRDefault="002471DF" w:rsidP="00A903E6">
      <w:pPr>
        <w:mirrorIndents/>
        <w:rPr>
          <w:sz w:val="17"/>
          <w:szCs w:val="17"/>
        </w:rPr>
      </w:pPr>
      <w:r w:rsidRPr="00722521">
        <w:rPr>
          <w:sz w:val="17"/>
          <w:szCs w:val="17"/>
        </w:rPr>
        <w:t>Yes</w:t>
      </w:r>
    </w:p>
    <w:p w14:paraId="62CC7C8D" w14:textId="77777777" w:rsidR="002471DF" w:rsidRPr="00722521" w:rsidRDefault="002471DF" w:rsidP="00A903E6">
      <w:pPr>
        <w:mirrorIndents/>
        <w:rPr>
          <w:sz w:val="17"/>
          <w:szCs w:val="17"/>
        </w:rPr>
      </w:pPr>
    </w:p>
    <w:p w14:paraId="57E09EA1" w14:textId="77777777" w:rsidR="00BA160A" w:rsidRPr="00722521" w:rsidRDefault="00BA160A" w:rsidP="008A6CD1">
      <w:pPr>
        <w:pStyle w:val="Textkrper"/>
        <w:ind w:left="0"/>
        <w:mirrorIndents/>
        <w:rPr>
          <w:rFonts w:ascii="Verdana" w:hAnsi="Verdana"/>
          <w:sz w:val="17"/>
          <w:szCs w:val="17"/>
        </w:rPr>
      </w:pPr>
      <w:r w:rsidRPr="00722521">
        <w:rPr>
          <w:rFonts w:ascii="Verdana" w:hAnsi="Verdana"/>
          <w:sz w:val="17"/>
          <w:szCs w:val="17"/>
          <w:highlight w:val="lightGray"/>
        </w:rPr>
        <w:t>If you identify areas for improvement, please explain:</w:t>
      </w:r>
    </w:p>
    <w:p w14:paraId="6E6922CA" w14:textId="77777777" w:rsidR="008A6CD1" w:rsidRPr="00722521" w:rsidRDefault="008A6CD1" w:rsidP="002615EA">
      <w:pPr>
        <w:mirrorIndents/>
        <w:rPr>
          <w:sz w:val="17"/>
          <w:szCs w:val="17"/>
        </w:rPr>
      </w:pPr>
    </w:p>
    <w:p w14:paraId="169640B4" w14:textId="2992044B" w:rsidR="002471DF" w:rsidRPr="00722521" w:rsidRDefault="00722521" w:rsidP="002471DF">
      <w:pPr>
        <w:mirrorIndents/>
        <w:rPr>
          <w:sz w:val="17"/>
          <w:szCs w:val="17"/>
        </w:rPr>
      </w:pPr>
      <w:r>
        <w:rPr>
          <w:sz w:val="17"/>
          <w:szCs w:val="17"/>
        </w:rPr>
        <w:t>VVO</w:t>
      </w:r>
      <w:r w:rsidR="002471DF" w:rsidRPr="00722521">
        <w:rPr>
          <w:sz w:val="17"/>
          <w:szCs w:val="17"/>
        </w:rPr>
        <w:t xml:space="preserve"> reiterates that the main decision body is and should remain the </w:t>
      </w:r>
      <w:proofErr w:type="spellStart"/>
      <w:r w:rsidR="002471DF" w:rsidRPr="00722521">
        <w:rPr>
          <w:sz w:val="17"/>
          <w:szCs w:val="17"/>
        </w:rPr>
        <w:t>BoS</w:t>
      </w:r>
      <w:proofErr w:type="spellEnd"/>
      <w:r w:rsidR="002471DF" w:rsidRPr="00722521">
        <w:rPr>
          <w:sz w:val="17"/>
          <w:szCs w:val="17"/>
        </w:rPr>
        <w:t>.</w:t>
      </w:r>
    </w:p>
    <w:p w14:paraId="29E5D608" w14:textId="77777777" w:rsidR="008A6CD1" w:rsidRPr="00722521" w:rsidRDefault="008A6CD1" w:rsidP="002615EA">
      <w:pPr>
        <w:mirrorIndents/>
        <w:rPr>
          <w:sz w:val="17"/>
          <w:szCs w:val="17"/>
        </w:rPr>
      </w:pPr>
    </w:p>
    <w:p w14:paraId="09E40E5A" w14:textId="4C8F20B0" w:rsidR="00BA160A" w:rsidRPr="00722521" w:rsidRDefault="00BA160A" w:rsidP="002615EA">
      <w:pPr>
        <w:mirrorIndents/>
        <w:rPr>
          <w:b/>
          <w:bCs/>
          <w:sz w:val="17"/>
          <w:szCs w:val="17"/>
        </w:rPr>
      </w:pPr>
      <w:r w:rsidRPr="00722521">
        <w:rPr>
          <w:b/>
          <w:sz w:val="17"/>
          <w:szCs w:val="17"/>
          <w:highlight w:val="lightGray"/>
        </w:rPr>
        <w:t xml:space="preserve">Question 2.2.4 In the framework of 2019 ESAs’ review, to what extent the enhanced role of the Management Board has improved the </w:t>
      </w:r>
      <w:proofErr w:type="gramStart"/>
      <w:r w:rsidRPr="00722521">
        <w:rPr>
          <w:b/>
          <w:sz w:val="17"/>
          <w:szCs w:val="17"/>
          <w:highlight w:val="lightGray"/>
        </w:rPr>
        <w:t>decision making</w:t>
      </w:r>
      <w:proofErr w:type="gramEnd"/>
      <w:r w:rsidRPr="00722521">
        <w:rPr>
          <w:b/>
          <w:sz w:val="17"/>
          <w:szCs w:val="17"/>
          <w:highlight w:val="lightGray"/>
        </w:rPr>
        <w:t xml:space="preserve"> process?</w:t>
      </w:r>
    </w:p>
    <w:tbl>
      <w:tblPr>
        <w:tblW w:w="0" w:type="auto"/>
        <w:tblInd w:w="10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2076"/>
        <w:gridCol w:w="1243"/>
        <w:gridCol w:w="1275"/>
        <w:gridCol w:w="1012"/>
        <w:gridCol w:w="1277"/>
        <w:gridCol w:w="1263"/>
        <w:gridCol w:w="1260"/>
      </w:tblGrid>
      <w:tr w:rsidR="00BA160A" w:rsidRPr="00722521" w14:paraId="475F7A64" w14:textId="77777777" w:rsidTr="008A6CD1">
        <w:trPr>
          <w:trHeight w:hRule="exact" w:val="1958"/>
        </w:trPr>
        <w:tc>
          <w:tcPr>
            <w:tcW w:w="0" w:type="auto"/>
            <w:tcBorders>
              <w:top w:val="single" w:sz="8" w:space="0" w:color="BABABA"/>
              <w:left w:val="single" w:sz="8" w:space="0" w:color="BABABA"/>
              <w:bottom w:val="single" w:sz="8" w:space="0" w:color="BABABA"/>
              <w:right w:val="single" w:sz="8" w:space="0" w:color="BABABA"/>
            </w:tcBorders>
          </w:tcPr>
          <w:p w14:paraId="0D0742E1" w14:textId="77777777" w:rsidR="00BA160A" w:rsidRPr="00722521" w:rsidRDefault="00BA160A" w:rsidP="00A903E6">
            <w:pPr>
              <w:mirrorIndents/>
              <w:rPr>
                <w:sz w:val="17"/>
                <w:szCs w:val="17"/>
              </w:rPr>
            </w:pPr>
          </w:p>
        </w:tc>
        <w:tc>
          <w:tcPr>
            <w:tcW w:w="0" w:type="auto"/>
            <w:tcBorders>
              <w:top w:val="single" w:sz="8" w:space="0" w:color="BABABA"/>
              <w:left w:val="single" w:sz="8" w:space="0" w:color="BABABA"/>
              <w:bottom w:val="single" w:sz="8" w:space="0" w:color="BABABA"/>
              <w:right w:val="single" w:sz="8" w:space="0" w:color="BABABA"/>
            </w:tcBorders>
            <w:hideMark/>
          </w:tcPr>
          <w:p w14:paraId="6A9D5D58" w14:textId="77777777" w:rsidR="00BA160A" w:rsidRPr="00722521" w:rsidRDefault="00BA160A" w:rsidP="00A903E6">
            <w:pPr>
              <w:pStyle w:val="TableParagraph"/>
              <w:mirrorIndents/>
              <w:rPr>
                <w:szCs w:val="17"/>
              </w:rPr>
            </w:pPr>
            <w:r w:rsidRPr="00722521">
              <w:rPr>
                <w:w w:val="99"/>
                <w:szCs w:val="17"/>
              </w:rPr>
              <w:t>1</w:t>
            </w:r>
          </w:p>
          <w:p w14:paraId="3212EE3C" w14:textId="77777777" w:rsidR="00BA160A" w:rsidRPr="00722521" w:rsidRDefault="00BA160A" w:rsidP="00A903E6">
            <w:pPr>
              <w:pStyle w:val="TableParagraph"/>
              <w:ind w:hanging="1"/>
              <w:mirrorIndents/>
              <w:rPr>
                <w:szCs w:val="17"/>
              </w:rPr>
            </w:pPr>
            <w:r w:rsidRPr="00722521">
              <w:rPr>
                <w:szCs w:val="17"/>
              </w:rPr>
              <w:t>(less 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1B4A318A" w14:textId="77777777" w:rsidR="00BA160A" w:rsidRPr="00722521" w:rsidRDefault="00BA160A" w:rsidP="00A903E6">
            <w:pPr>
              <w:pStyle w:val="TableParagraph"/>
              <w:mirrorIndents/>
              <w:rPr>
                <w:szCs w:val="17"/>
              </w:rPr>
            </w:pPr>
            <w:r w:rsidRPr="00722521">
              <w:rPr>
                <w:w w:val="99"/>
                <w:szCs w:val="17"/>
              </w:rPr>
              <w:t>2</w:t>
            </w:r>
          </w:p>
          <w:p w14:paraId="085B4863" w14:textId="77777777" w:rsidR="00BA160A" w:rsidRPr="00722521" w:rsidRDefault="00BA160A" w:rsidP="00A903E6">
            <w:pPr>
              <w:pStyle w:val="TableParagraph"/>
              <w:ind w:hanging="1"/>
              <w:mirrorIndents/>
              <w:rPr>
                <w:szCs w:val="17"/>
              </w:rPr>
            </w:pPr>
            <w:r w:rsidRPr="00722521">
              <w:rPr>
                <w:szCs w:val="17"/>
              </w:rPr>
              <w:t>(not so 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30F4BBDB" w14:textId="77777777" w:rsidR="00BA160A" w:rsidRPr="00722521" w:rsidRDefault="00BA160A" w:rsidP="00A903E6">
            <w:pPr>
              <w:pStyle w:val="TableParagraph"/>
              <w:mirrorIndents/>
              <w:rPr>
                <w:szCs w:val="17"/>
              </w:rPr>
            </w:pPr>
            <w:r w:rsidRPr="00722521">
              <w:rPr>
                <w:w w:val="99"/>
                <w:szCs w:val="17"/>
              </w:rPr>
              <w:t>3</w:t>
            </w:r>
          </w:p>
          <w:p w14:paraId="37D79BBF" w14:textId="77777777" w:rsidR="00BA160A" w:rsidRPr="00722521" w:rsidRDefault="00BA160A" w:rsidP="00A903E6">
            <w:pPr>
              <w:pStyle w:val="TableParagraph"/>
              <w:mirrorIndents/>
              <w:rPr>
                <w:szCs w:val="17"/>
              </w:rPr>
            </w:pPr>
            <w:r w:rsidRPr="00722521">
              <w:rPr>
                <w:szCs w:val="17"/>
              </w:rPr>
              <w:t>(neutral)</w:t>
            </w:r>
          </w:p>
        </w:tc>
        <w:tc>
          <w:tcPr>
            <w:tcW w:w="0" w:type="auto"/>
            <w:tcBorders>
              <w:top w:val="single" w:sz="8" w:space="0" w:color="BABABA"/>
              <w:left w:val="single" w:sz="8" w:space="0" w:color="BABABA"/>
              <w:bottom w:val="single" w:sz="8" w:space="0" w:color="BABABA"/>
              <w:right w:val="single" w:sz="8" w:space="0" w:color="BABABA"/>
            </w:tcBorders>
            <w:hideMark/>
          </w:tcPr>
          <w:p w14:paraId="657ECA66" w14:textId="77777777" w:rsidR="00BA160A" w:rsidRPr="00722521" w:rsidRDefault="00BA160A" w:rsidP="00A903E6">
            <w:pPr>
              <w:pStyle w:val="TableParagraph"/>
              <w:mirrorIndents/>
              <w:rPr>
                <w:szCs w:val="17"/>
              </w:rPr>
            </w:pPr>
            <w:r w:rsidRPr="00722521">
              <w:rPr>
                <w:w w:val="99"/>
                <w:szCs w:val="17"/>
              </w:rPr>
              <w:t>4</w:t>
            </w:r>
          </w:p>
          <w:p w14:paraId="4C2786FE" w14:textId="77777777" w:rsidR="00BA160A" w:rsidRPr="00722521" w:rsidRDefault="00BA160A" w:rsidP="00A903E6">
            <w:pPr>
              <w:pStyle w:val="TableParagraph"/>
              <w:mirrorIndents/>
              <w:rPr>
                <w:szCs w:val="17"/>
              </w:rPr>
            </w:pPr>
            <w:r w:rsidRPr="00722521">
              <w:rPr>
                <w:szCs w:val="17"/>
              </w:rPr>
              <w:t>(significant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2372933F" w14:textId="77777777" w:rsidR="00BA160A" w:rsidRPr="00722521" w:rsidRDefault="00BA160A" w:rsidP="00A903E6">
            <w:pPr>
              <w:pStyle w:val="TableParagraph"/>
              <w:mirrorIndents/>
              <w:rPr>
                <w:szCs w:val="17"/>
              </w:rPr>
            </w:pPr>
            <w:r w:rsidRPr="00722521">
              <w:rPr>
                <w:w w:val="99"/>
                <w:szCs w:val="17"/>
              </w:rPr>
              <w:t>5</w:t>
            </w:r>
          </w:p>
          <w:p w14:paraId="7D878A9C" w14:textId="77777777" w:rsidR="00BA160A" w:rsidRPr="00722521" w:rsidRDefault="00BA160A" w:rsidP="00A903E6">
            <w:pPr>
              <w:pStyle w:val="TableParagraph"/>
              <w:mirrorIndents/>
              <w:rPr>
                <w:szCs w:val="17"/>
              </w:rPr>
            </w:pPr>
            <w:r w:rsidRPr="00722521">
              <w:rPr>
                <w:szCs w:val="17"/>
              </w:rPr>
              <w:t>(most significant impact)</w:t>
            </w:r>
          </w:p>
        </w:tc>
        <w:tc>
          <w:tcPr>
            <w:tcW w:w="0" w:type="auto"/>
            <w:tcBorders>
              <w:top w:val="single" w:sz="8" w:space="0" w:color="BABABA"/>
              <w:left w:val="single" w:sz="8" w:space="0" w:color="BABABA"/>
              <w:bottom w:val="single" w:sz="8" w:space="0" w:color="BABABA"/>
              <w:right w:val="single" w:sz="8" w:space="0" w:color="BABABA"/>
            </w:tcBorders>
            <w:hideMark/>
          </w:tcPr>
          <w:p w14:paraId="53DD81C0"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73C77EFC" w14:textId="77777777" w:rsidR="00BA160A" w:rsidRPr="00722521" w:rsidRDefault="00BA160A" w:rsidP="00A903E6">
            <w:pPr>
              <w:pStyle w:val="TableParagraph"/>
              <w:ind w:hanging="1"/>
              <w:mirrorIndents/>
              <w:rPr>
                <w:szCs w:val="17"/>
              </w:rPr>
            </w:pPr>
            <w:r w:rsidRPr="00722521">
              <w:rPr>
                <w:szCs w:val="17"/>
              </w:rPr>
              <w:t>Not applicable</w:t>
            </w:r>
          </w:p>
        </w:tc>
      </w:tr>
      <w:tr w:rsidR="00BA160A" w:rsidRPr="00722521" w14:paraId="6426769E" w14:textId="77777777" w:rsidTr="008A6CD1">
        <w:trPr>
          <w:trHeight w:hRule="exact" w:val="1131"/>
        </w:trPr>
        <w:tc>
          <w:tcPr>
            <w:tcW w:w="0" w:type="auto"/>
            <w:tcBorders>
              <w:top w:val="single" w:sz="8" w:space="0" w:color="BABABA"/>
              <w:left w:val="single" w:sz="8" w:space="0" w:color="BABABA"/>
              <w:bottom w:val="single" w:sz="8" w:space="0" w:color="BABABA"/>
              <w:right w:val="single" w:sz="8" w:space="0" w:color="BABABA"/>
            </w:tcBorders>
            <w:hideMark/>
          </w:tcPr>
          <w:p w14:paraId="34E71716" w14:textId="2C079AF4" w:rsidR="00BA160A" w:rsidRPr="00722521" w:rsidRDefault="00BA160A" w:rsidP="00A903E6">
            <w:pPr>
              <w:pStyle w:val="TableParagraph"/>
              <w:mirrorIndents/>
              <w:rPr>
                <w:szCs w:val="17"/>
              </w:rPr>
            </w:pPr>
            <w:r w:rsidRPr="00722521">
              <w:rPr>
                <w:szCs w:val="17"/>
              </w:rPr>
              <w:t>The MB can give opinions on all matters to be decided by the Board of Supervisors</w:t>
            </w:r>
          </w:p>
        </w:tc>
        <w:tc>
          <w:tcPr>
            <w:tcW w:w="0" w:type="auto"/>
            <w:tcBorders>
              <w:top w:val="single" w:sz="8" w:space="0" w:color="BABABA"/>
              <w:left w:val="single" w:sz="8" w:space="0" w:color="BABABA"/>
              <w:bottom w:val="single" w:sz="8" w:space="0" w:color="BABABA"/>
              <w:right w:val="single" w:sz="8" w:space="0" w:color="BABABA"/>
            </w:tcBorders>
          </w:tcPr>
          <w:p w14:paraId="34ECB63B"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2447326D"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0DD63EE7"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4F76625C" w14:textId="4A035282" w:rsidR="00BA160A" w:rsidRPr="00722521" w:rsidRDefault="008D69CB" w:rsidP="00A903E6">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548C71DD"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6FAD3DBD" w14:textId="77777777" w:rsidR="00BA160A" w:rsidRPr="00722521" w:rsidRDefault="00BA160A" w:rsidP="00A903E6">
            <w:pPr>
              <w:pStyle w:val="TableParagraph"/>
              <w:mirrorIndents/>
              <w:rPr>
                <w:b/>
                <w:szCs w:val="17"/>
              </w:rPr>
            </w:pPr>
          </w:p>
        </w:tc>
      </w:tr>
      <w:tr w:rsidR="00BA160A" w:rsidRPr="00722521" w14:paraId="0B30287D" w14:textId="77777777" w:rsidTr="008A6CD1">
        <w:trPr>
          <w:trHeight w:hRule="exact" w:val="1275"/>
        </w:trPr>
        <w:tc>
          <w:tcPr>
            <w:tcW w:w="0" w:type="auto"/>
            <w:tcBorders>
              <w:top w:val="single" w:sz="8" w:space="0" w:color="BABABA"/>
              <w:left w:val="single" w:sz="8" w:space="0" w:color="BABABA"/>
              <w:bottom w:val="single" w:sz="8" w:space="0" w:color="BABABA"/>
              <w:right w:val="single" w:sz="8" w:space="0" w:color="BABABA"/>
            </w:tcBorders>
            <w:hideMark/>
          </w:tcPr>
          <w:p w14:paraId="32A17F04" w14:textId="77777777" w:rsidR="00BA160A" w:rsidRPr="00722521" w:rsidRDefault="00BA160A" w:rsidP="00A903E6">
            <w:pPr>
              <w:pStyle w:val="TableParagraph"/>
              <w:mirrorIndents/>
              <w:rPr>
                <w:szCs w:val="17"/>
              </w:rPr>
            </w:pPr>
            <w:r w:rsidRPr="00722521">
              <w:rPr>
                <w:w w:val="105"/>
                <w:szCs w:val="17"/>
              </w:rPr>
              <w:t xml:space="preserve">The MB ensures the consistent use of a </w:t>
            </w:r>
            <w:r w:rsidRPr="00722521">
              <w:rPr>
                <w:szCs w:val="17"/>
              </w:rPr>
              <w:t xml:space="preserve">methodology </w:t>
            </w:r>
            <w:r w:rsidRPr="00722521">
              <w:rPr>
                <w:w w:val="105"/>
                <w:szCs w:val="17"/>
              </w:rPr>
              <w:t>for all peer reviews conducted</w:t>
            </w:r>
          </w:p>
        </w:tc>
        <w:tc>
          <w:tcPr>
            <w:tcW w:w="0" w:type="auto"/>
            <w:tcBorders>
              <w:top w:val="single" w:sz="8" w:space="0" w:color="BABABA"/>
              <w:left w:val="single" w:sz="8" w:space="0" w:color="BABABA"/>
              <w:bottom w:val="single" w:sz="8" w:space="0" w:color="BABABA"/>
              <w:right w:val="single" w:sz="8" w:space="0" w:color="BABABA"/>
            </w:tcBorders>
          </w:tcPr>
          <w:p w14:paraId="4980571B"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2D745297"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12C08083"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2EEA1AC2" w14:textId="6D5809F1" w:rsidR="00BA160A" w:rsidRPr="00722521" w:rsidRDefault="008D69CB" w:rsidP="00A903E6">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52D8769A"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03D48648" w14:textId="77777777" w:rsidR="00BA160A" w:rsidRPr="00722521" w:rsidRDefault="00BA160A" w:rsidP="00A903E6">
            <w:pPr>
              <w:pStyle w:val="TableParagraph"/>
              <w:mirrorIndents/>
              <w:rPr>
                <w:b/>
                <w:szCs w:val="17"/>
              </w:rPr>
            </w:pPr>
          </w:p>
        </w:tc>
      </w:tr>
      <w:tr w:rsidR="00BA160A" w:rsidRPr="00722521" w14:paraId="597C6279" w14:textId="77777777" w:rsidTr="008A6CD1">
        <w:trPr>
          <w:trHeight w:hRule="exact" w:val="853"/>
        </w:trPr>
        <w:tc>
          <w:tcPr>
            <w:tcW w:w="0" w:type="auto"/>
            <w:tcBorders>
              <w:top w:val="single" w:sz="8" w:space="0" w:color="BABABA"/>
              <w:left w:val="single" w:sz="8" w:space="0" w:color="BABABA"/>
              <w:bottom w:val="nil"/>
              <w:right w:val="single" w:sz="8" w:space="0" w:color="BABABA"/>
            </w:tcBorders>
            <w:hideMark/>
          </w:tcPr>
          <w:p w14:paraId="518DFCF4" w14:textId="716F9E8E" w:rsidR="00BA160A" w:rsidRPr="00722521" w:rsidRDefault="00BA160A" w:rsidP="00A903E6">
            <w:pPr>
              <w:pStyle w:val="TableParagraph"/>
              <w:mirrorIndents/>
              <w:rPr>
                <w:szCs w:val="17"/>
              </w:rPr>
            </w:pPr>
            <w:r w:rsidRPr="00722521">
              <w:rPr>
                <w:w w:val="105"/>
                <w:szCs w:val="17"/>
              </w:rPr>
              <w:t>The MB proposes a peer review</w:t>
            </w:r>
            <w:r w:rsidRPr="00722521">
              <w:rPr>
                <w:w w:val="102"/>
                <w:szCs w:val="17"/>
              </w:rPr>
              <w:t xml:space="preserve"> </w:t>
            </w:r>
            <w:r w:rsidRPr="00722521">
              <w:rPr>
                <w:w w:val="105"/>
                <w:szCs w:val="17"/>
              </w:rPr>
              <w:t>work plan</w:t>
            </w:r>
            <w:r w:rsidR="008A6CD1" w:rsidRPr="00722521">
              <w:rPr>
                <w:w w:val="105"/>
                <w:szCs w:val="17"/>
              </w:rPr>
              <w:t xml:space="preserve"> every two years</w:t>
            </w:r>
          </w:p>
        </w:tc>
        <w:tc>
          <w:tcPr>
            <w:tcW w:w="0" w:type="auto"/>
            <w:tcBorders>
              <w:top w:val="single" w:sz="8" w:space="0" w:color="BABABA"/>
              <w:left w:val="single" w:sz="8" w:space="0" w:color="BABABA"/>
              <w:bottom w:val="nil"/>
              <w:right w:val="single" w:sz="8" w:space="0" w:color="BABABA"/>
            </w:tcBorders>
          </w:tcPr>
          <w:p w14:paraId="14C877ED"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nil"/>
              <w:right w:val="single" w:sz="8" w:space="0" w:color="BABABA"/>
            </w:tcBorders>
          </w:tcPr>
          <w:p w14:paraId="791E6F1E"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nil"/>
              <w:right w:val="single" w:sz="8" w:space="0" w:color="BABABA"/>
            </w:tcBorders>
          </w:tcPr>
          <w:p w14:paraId="7F839B93"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nil"/>
              <w:right w:val="single" w:sz="8" w:space="0" w:color="BABABA"/>
            </w:tcBorders>
          </w:tcPr>
          <w:p w14:paraId="47C74A0D"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nil"/>
              <w:right w:val="single" w:sz="8" w:space="0" w:color="BABABA"/>
            </w:tcBorders>
          </w:tcPr>
          <w:p w14:paraId="59F004A2" w14:textId="70BE8790" w:rsidR="00BA160A" w:rsidRPr="00722521" w:rsidRDefault="008D69CB" w:rsidP="00A903E6">
            <w:pPr>
              <w:pStyle w:val="TableParagraph"/>
              <w:mirrorIndents/>
              <w:rPr>
                <w:b/>
                <w:szCs w:val="17"/>
              </w:rPr>
            </w:pPr>
            <w:r w:rsidRPr="00722521">
              <w:rPr>
                <w:b/>
                <w:szCs w:val="17"/>
              </w:rPr>
              <w:t>x</w:t>
            </w:r>
          </w:p>
        </w:tc>
        <w:tc>
          <w:tcPr>
            <w:tcW w:w="0" w:type="auto"/>
            <w:tcBorders>
              <w:top w:val="single" w:sz="8" w:space="0" w:color="BABABA"/>
              <w:left w:val="single" w:sz="8" w:space="0" w:color="BABABA"/>
              <w:bottom w:val="nil"/>
              <w:right w:val="single" w:sz="8" w:space="0" w:color="BABABA"/>
            </w:tcBorders>
          </w:tcPr>
          <w:p w14:paraId="5883F5DF" w14:textId="77777777" w:rsidR="00BA160A" w:rsidRPr="00722521" w:rsidRDefault="00BA160A" w:rsidP="00A903E6">
            <w:pPr>
              <w:pStyle w:val="TableParagraph"/>
              <w:mirrorIndents/>
              <w:rPr>
                <w:b/>
                <w:szCs w:val="17"/>
              </w:rPr>
            </w:pPr>
          </w:p>
        </w:tc>
      </w:tr>
      <w:tr w:rsidR="00BA160A" w:rsidRPr="00722521" w14:paraId="3EE1CF32" w14:textId="77777777" w:rsidTr="008A6CD1">
        <w:trPr>
          <w:trHeight w:hRule="exact" w:val="993"/>
        </w:trPr>
        <w:tc>
          <w:tcPr>
            <w:tcW w:w="0" w:type="auto"/>
            <w:tcBorders>
              <w:top w:val="single" w:sz="8" w:space="0" w:color="BABABA"/>
              <w:left w:val="single" w:sz="8" w:space="0" w:color="BABABA"/>
              <w:bottom w:val="single" w:sz="8" w:space="0" w:color="BABABA"/>
              <w:right w:val="single" w:sz="8" w:space="0" w:color="BABABA"/>
            </w:tcBorders>
            <w:hideMark/>
          </w:tcPr>
          <w:p w14:paraId="54F8AF99" w14:textId="77777777" w:rsidR="00BA160A" w:rsidRPr="00722521" w:rsidRDefault="00BA160A" w:rsidP="00A903E6">
            <w:pPr>
              <w:pStyle w:val="TableParagraph"/>
              <w:mirrorIndents/>
              <w:rPr>
                <w:szCs w:val="17"/>
              </w:rPr>
            </w:pPr>
            <w:r w:rsidRPr="00722521">
              <w:rPr>
                <w:szCs w:val="17"/>
              </w:rPr>
              <w:t>The MB can set up coordination groups on its own initiative</w:t>
            </w:r>
          </w:p>
        </w:tc>
        <w:tc>
          <w:tcPr>
            <w:tcW w:w="0" w:type="auto"/>
            <w:tcBorders>
              <w:top w:val="single" w:sz="8" w:space="0" w:color="BABABA"/>
              <w:left w:val="single" w:sz="8" w:space="0" w:color="BABABA"/>
              <w:bottom w:val="single" w:sz="8" w:space="0" w:color="BABABA"/>
              <w:right w:val="single" w:sz="8" w:space="0" w:color="BABABA"/>
            </w:tcBorders>
          </w:tcPr>
          <w:p w14:paraId="2CC0894E"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5F6A2BFC"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252E7E3F" w14:textId="4B261878" w:rsidR="00BA160A" w:rsidRPr="00722521" w:rsidRDefault="008D69CB" w:rsidP="00A903E6">
            <w:pPr>
              <w:pStyle w:val="TableParagraph"/>
              <w:mirrorIndents/>
              <w:rPr>
                <w:b/>
                <w:szCs w:val="17"/>
              </w:rPr>
            </w:pPr>
            <w:r w:rsidRPr="00722521">
              <w:rPr>
                <w:b/>
                <w:szCs w:val="17"/>
              </w:rPr>
              <w:t>x</w:t>
            </w:r>
          </w:p>
        </w:tc>
        <w:tc>
          <w:tcPr>
            <w:tcW w:w="0" w:type="auto"/>
            <w:tcBorders>
              <w:top w:val="single" w:sz="8" w:space="0" w:color="BABABA"/>
              <w:left w:val="single" w:sz="8" w:space="0" w:color="BABABA"/>
              <w:bottom w:val="single" w:sz="8" w:space="0" w:color="BABABA"/>
              <w:right w:val="single" w:sz="8" w:space="0" w:color="BABABA"/>
            </w:tcBorders>
          </w:tcPr>
          <w:p w14:paraId="53C73AA7"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03D7CC8B" w14:textId="77777777" w:rsidR="00BA160A" w:rsidRPr="00722521" w:rsidRDefault="00BA160A" w:rsidP="00A903E6">
            <w:pPr>
              <w:pStyle w:val="TableParagraph"/>
              <w:mirrorIndents/>
              <w:rPr>
                <w:b/>
                <w:szCs w:val="17"/>
              </w:rPr>
            </w:pPr>
          </w:p>
        </w:tc>
        <w:tc>
          <w:tcPr>
            <w:tcW w:w="0" w:type="auto"/>
            <w:tcBorders>
              <w:top w:val="single" w:sz="8" w:space="0" w:color="BABABA"/>
              <w:left w:val="single" w:sz="8" w:space="0" w:color="BABABA"/>
              <w:bottom w:val="single" w:sz="8" w:space="0" w:color="BABABA"/>
              <w:right w:val="single" w:sz="8" w:space="0" w:color="BABABA"/>
            </w:tcBorders>
          </w:tcPr>
          <w:p w14:paraId="0C088BA4" w14:textId="77777777" w:rsidR="00BA160A" w:rsidRPr="00722521" w:rsidRDefault="00BA160A" w:rsidP="00A903E6">
            <w:pPr>
              <w:pStyle w:val="TableParagraph"/>
              <w:mirrorIndents/>
              <w:rPr>
                <w:b/>
                <w:szCs w:val="17"/>
              </w:rPr>
            </w:pPr>
          </w:p>
        </w:tc>
      </w:tr>
    </w:tbl>
    <w:p w14:paraId="6E14C8B5" w14:textId="77777777" w:rsidR="008A6CD1" w:rsidRPr="00722521" w:rsidRDefault="008A6CD1" w:rsidP="00A903E6">
      <w:pPr>
        <w:pStyle w:val="Textkrper"/>
        <w:mirrorIndents/>
        <w:rPr>
          <w:rFonts w:ascii="Verdana" w:hAnsi="Verdana"/>
          <w:sz w:val="17"/>
          <w:szCs w:val="17"/>
        </w:rPr>
      </w:pPr>
    </w:p>
    <w:p w14:paraId="7C51DA86" w14:textId="020DFFA3" w:rsidR="00BA160A" w:rsidRPr="00722521" w:rsidRDefault="00BA160A" w:rsidP="008A6CD1">
      <w:pPr>
        <w:pStyle w:val="Textkrper"/>
        <w:ind w:left="0"/>
        <w:mirrorIndents/>
        <w:rPr>
          <w:rFonts w:ascii="Verdana" w:hAnsi="Verdana"/>
          <w:sz w:val="17"/>
          <w:szCs w:val="17"/>
        </w:rPr>
      </w:pPr>
      <w:r w:rsidRPr="00722521">
        <w:rPr>
          <w:rFonts w:ascii="Verdana" w:hAnsi="Verdana"/>
          <w:sz w:val="17"/>
          <w:szCs w:val="17"/>
          <w:highlight w:val="lightGray"/>
        </w:rPr>
        <w:t>Please explain your answers to question 2.2.4:</w:t>
      </w:r>
    </w:p>
    <w:p w14:paraId="7C5BC462" w14:textId="26507BD9" w:rsidR="00BA160A" w:rsidRPr="00722521" w:rsidRDefault="00BA160A" w:rsidP="00A903E6">
      <w:pPr>
        <w:mirrorIndents/>
        <w:rPr>
          <w:sz w:val="17"/>
          <w:szCs w:val="17"/>
        </w:rPr>
      </w:pPr>
    </w:p>
    <w:p w14:paraId="08CD28F5" w14:textId="417C7E48" w:rsidR="008D69CB" w:rsidRPr="00722521" w:rsidRDefault="008D69CB" w:rsidP="008D69CB">
      <w:pPr>
        <w:mirrorIndents/>
        <w:rPr>
          <w:sz w:val="17"/>
          <w:szCs w:val="17"/>
        </w:rPr>
      </w:pPr>
      <w:r w:rsidRPr="00722521">
        <w:rPr>
          <w:sz w:val="17"/>
          <w:szCs w:val="17"/>
        </w:rPr>
        <w:t xml:space="preserve">Due to its composition as laid down in Article 45 EIOPA Regulation, the MB provide for a sub-set of </w:t>
      </w:r>
      <w:proofErr w:type="spellStart"/>
      <w:r w:rsidRPr="00722521">
        <w:rPr>
          <w:sz w:val="17"/>
          <w:szCs w:val="17"/>
        </w:rPr>
        <w:t>BoS</w:t>
      </w:r>
      <w:proofErr w:type="spellEnd"/>
      <w:r w:rsidRPr="00722521">
        <w:rPr>
          <w:sz w:val="17"/>
          <w:szCs w:val="17"/>
        </w:rPr>
        <w:t xml:space="preserve"> members. It can, therefore, be expected that the MB acts in the interest of the members as a whole. The MB can provide opinions on decisions taken by the </w:t>
      </w:r>
      <w:proofErr w:type="spellStart"/>
      <w:r w:rsidRPr="00722521">
        <w:rPr>
          <w:sz w:val="17"/>
          <w:szCs w:val="17"/>
        </w:rPr>
        <w:t>BoS</w:t>
      </w:r>
      <w:proofErr w:type="spellEnd"/>
      <w:r w:rsidRPr="00722521">
        <w:rPr>
          <w:sz w:val="17"/>
          <w:szCs w:val="17"/>
        </w:rPr>
        <w:t xml:space="preserve"> where it considers it necessary (Article 47.3a EIOPA Regulation) which might provide for the opportunity to express views not reflected in the </w:t>
      </w:r>
      <w:proofErr w:type="spellStart"/>
      <w:r w:rsidRPr="00722521">
        <w:rPr>
          <w:sz w:val="17"/>
          <w:szCs w:val="17"/>
        </w:rPr>
        <w:t>BoS</w:t>
      </w:r>
      <w:proofErr w:type="spellEnd"/>
      <w:r w:rsidRPr="00722521">
        <w:rPr>
          <w:sz w:val="17"/>
          <w:szCs w:val="17"/>
        </w:rPr>
        <w:t xml:space="preserve"> process due to procedural or governance provisions (the MB decides on a simple majority basis). </w:t>
      </w:r>
    </w:p>
    <w:p w14:paraId="78ABF6BD" w14:textId="7FC401FC" w:rsidR="008A6CD1" w:rsidRPr="00722521" w:rsidRDefault="008A6CD1" w:rsidP="00A903E6">
      <w:pPr>
        <w:mirrorIndents/>
        <w:rPr>
          <w:sz w:val="17"/>
          <w:szCs w:val="17"/>
        </w:rPr>
      </w:pPr>
    </w:p>
    <w:p w14:paraId="1D8D1D15" w14:textId="77777777" w:rsidR="008A6CD1" w:rsidRPr="00722521" w:rsidRDefault="008A6CD1" w:rsidP="00A903E6">
      <w:pPr>
        <w:mirrorIndents/>
        <w:rPr>
          <w:sz w:val="17"/>
          <w:szCs w:val="17"/>
        </w:rPr>
      </w:pPr>
    </w:p>
    <w:p w14:paraId="6789EC6B" w14:textId="781B6499"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Question 2.2.5 Should the role of the Management Board be strengthened in other areas?</w:t>
      </w:r>
    </w:p>
    <w:p w14:paraId="726ED68D" w14:textId="63240687" w:rsidR="008A6CD1" w:rsidRPr="00722521" w:rsidRDefault="00BA160A" w:rsidP="008A6CD1">
      <w:pPr>
        <w:pStyle w:val="CEABullet-Level1"/>
        <w:rPr>
          <w:color w:val="auto"/>
          <w:highlight w:val="lightGray"/>
        </w:rPr>
      </w:pPr>
      <w:r w:rsidRPr="00722521">
        <w:rPr>
          <w:color w:val="auto"/>
          <w:highlight w:val="lightGray"/>
        </w:rPr>
        <w:t xml:space="preserve">Yes </w:t>
      </w:r>
    </w:p>
    <w:p w14:paraId="313FB8C9" w14:textId="786C6BC1" w:rsidR="00BA160A" w:rsidRPr="00722521" w:rsidRDefault="00BA160A" w:rsidP="008A6CD1">
      <w:pPr>
        <w:pStyle w:val="CEABullet-Level1"/>
        <w:rPr>
          <w:color w:val="auto"/>
          <w:highlight w:val="lightGray"/>
        </w:rPr>
      </w:pPr>
      <w:r w:rsidRPr="00722521">
        <w:rPr>
          <w:color w:val="auto"/>
          <w:highlight w:val="lightGray"/>
        </w:rPr>
        <w:t>No</w:t>
      </w:r>
    </w:p>
    <w:p w14:paraId="74A0D0C8" w14:textId="77777777" w:rsidR="00BA160A" w:rsidRPr="00722521" w:rsidRDefault="00BA160A" w:rsidP="008A6CD1">
      <w:pPr>
        <w:pStyle w:val="CEABullet-Level1"/>
        <w:rPr>
          <w:color w:val="auto"/>
          <w:highlight w:val="lightGray"/>
        </w:rPr>
      </w:pPr>
      <w:r w:rsidRPr="00722521">
        <w:rPr>
          <w:color w:val="auto"/>
          <w:highlight w:val="lightGray"/>
        </w:rPr>
        <w:lastRenderedPageBreak/>
        <w:t>Don’t know / no opinion / not relevant</w:t>
      </w:r>
    </w:p>
    <w:p w14:paraId="587679B9" w14:textId="0BC7E70C" w:rsidR="00BA160A" w:rsidRPr="00722521" w:rsidRDefault="00BA160A" w:rsidP="00A903E6">
      <w:pPr>
        <w:mirrorIndents/>
        <w:rPr>
          <w:sz w:val="17"/>
          <w:szCs w:val="17"/>
        </w:rPr>
      </w:pPr>
    </w:p>
    <w:p w14:paraId="0EF76F1C" w14:textId="55B17BBA" w:rsidR="005A7613" w:rsidRPr="00722521" w:rsidRDefault="005A7613" w:rsidP="00A903E6">
      <w:pPr>
        <w:mirrorIndents/>
        <w:rPr>
          <w:sz w:val="17"/>
          <w:szCs w:val="17"/>
        </w:rPr>
      </w:pPr>
      <w:r w:rsidRPr="00722521">
        <w:rPr>
          <w:sz w:val="17"/>
          <w:szCs w:val="17"/>
        </w:rPr>
        <w:t>No</w:t>
      </w:r>
    </w:p>
    <w:p w14:paraId="14E46F3B" w14:textId="77777777" w:rsidR="005A7613" w:rsidRPr="00722521" w:rsidRDefault="005A7613" w:rsidP="00A903E6">
      <w:pPr>
        <w:mirrorIndents/>
        <w:rPr>
          <w:sz w:val="17"/>
          <w:szCs w:val="17"/>
        </w:rPr>
      </w:pPr>
    </w:p>
    <w:p w14:paraId="54288BCB"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In which other areas should the role of the Management Board be strengthened? Please substantiate you answer:</w:t>
      </w:r>
    </w:p>
    <w:p w14:paraId="7C0CEDF8" w14:textId="63DB3BA9" w:rsidR="00BA160A" w:rsidRPr="00722521" w:rsidRDefault="00BA160A" w:rsidP="00A903E6">
      <w:pPr>
        <w:mirrorIndents/>
        <w:rPr>
          <w:sz w:val="17"/>
          <w:szCs w:val="17"/>
        </w:rPr>
      </w:pPr>
    </w:p>
    <w:p w14:paraId="6C8CB6D5" w14:textId="4430BC94" w:rsidR="008A6CD1" w:rsidRPr="00722521" w:rsidRDefault="005A7613" w:rsidP="00A903E6">
      <w:pPr>
        <w:mirrorIndents/>
        <w:rPr>
          <w:sz w:val="17"/>
          <w:szCs w:val="17"/>
        </w:rPr>
      </w:pPr>
      <w:r w:rsidRPr="00722521">
        <w:rPr>
          <w:sz w:val="17"/>
          <w:szCs w:val="17"/>
        </w:rPr>
        <w:t>N/A</w:t>
      </w:r>
    </w:p>
    <w:p w14:paraId="36CFF170" w14:textId="77777777" w:rsidR="008A6CD1" w:rsidRPr="00722521" w:rsidRDefault="008A6CD1" w:rsidP="00A903E6">
      <w:pPr>
        <w:mirrorIndents/>
        <w:rPr>
          <w:sz w:val="17"/>
          <w:szCs w:val="17"/>
        </w:rPr>
      </w:pPr>
    </w:p>
    <w:p w14:paraId="171244F3" w14:textId="6CBB88D6"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Question 2.2.6 In the framework of 2019 ESAs’ review, do you think the written non-objection procedure for core convergence tools (breaches of Union law, dispute settlements and peer reviews) is effective for achieving its objective?</w:t>
      </w:r>
    </w:p>
    <w:p w14:paraId="2545402B" w14:textId="77777777" w:rsidR="008A6CD1" w:rsidRPr="00722521" w:rsidRDefault="00BA160A" w:rsidP="008A6CD1">
      <w:pPr>
        <w:pStyle w:val="CEABullet-Level1"/>
        <w:rPr>
          <w:color w:val="auto"/>
          <w:highlight w:val="lightGray"/>
        </w:rPr>
      </w:pPr>
      <w:r w:rsidRPr="00722521">
        <w:rPr>
          <w:color w:val="auto"/>
          <w:highlight w:val="lightGray"/>
        </w:rPr>
        <w:t xml:space="preserve">Yes </w:t>
      </w:r>
    </w:p>
    <w:p w14:paraId="32EBC983" w14:textId="4E441778" w:rsidR="00BA160A" w:rsidRPr="00722521" w:rsidRDefault="00BA160A" w:rsidP="008A6CD1">
      <w:pPr>
        <w:pStyle w:val="CEABullet-Level1"/>
        <w:rPr>
          <w:color w:val="auto"/>
          <w:highlight w:val="lightGray"/>
        </w:rPr>
      </w:pPr>
      <w:r w:rsidRPr="00722521">
        <w:rPr>
          <w:color w:val="auto"/>
          <w:highlight w:val="lightGray"/>
        </w:rPr>
        <w:t>No</w:t>
      </w:r>
    </w:p>
    <w:p w14:paraId="1A9E7903" w14:textId="77777777" w:rsidR="00BA160A" w:rsidRPr="00722521" w:rsidRDefault="00BA160A" w:rsidP="008A6CD1">
      <w:pPr>
        <w:pStyle w:val="CEABullet-Level1"/>
        <w:rPr>
          <w:color w:val="auto"/>
          <w:highlight w:val="lightGray"/>
        </w:rPr>
      </w:pPr>
      <w:r w:rsidRPr="00722521">
        <w:rPr>
          <w:color w:val="auto"/>
          <w:highlight w:val="lightGray"/>
        </w:rPr>
        <w:t>Don’t know / no opinion / not relevant</w:t>
      </w:r>
    </w:p>
    <w:p w14:paraId="4C953A70" w14:textId="1CBF4CB7" w:rsidR="00BA160A" w:rsidRPr="00722521" w:rsidRDefault="00BA160A" w:rsidP="00A903E6">
      <w:pPr>
        <w:mirrorIndents/>
        <w:rPr>
          <w:sz w:val="17"/>
          <w:szCs w:val="17"/>
        </w:rPr>
      </w:pPr>
    </w:p>
    <w:p w14:paraId="71EEBEE0" w14:textId="7139E0C4" w:rsidR="005A7613" w:rsidRPr="00722521" w:rsidRDefault="005A7613" w:rsidP="00A903E6">
      <w:pPr>
        <w:mirrorIndents/>
        <w:rPr>
          <w:sz w:val="17"/>
          <w:szCs w:val="17"/>
        </w:rPr>
      </w:pPr>
      <w:r w:rsidRPr="00722521">
        <w:rPr>
          <w:sz w:val="17"/>
          <w:szCs w:val="17"/>
        </w:rPr>
        <w:t>Yes</w:t>
      </w:r>
    </w:p>
    <w:p w14:paraId="5470A5C7" w14:textId="77777777" w:rsidR="005A7613" w:rsidRPr="00722521" w:rsidRDefault="005A7613" w:rsidP="00A903E6">
      <w:pPr>
        <w:mirrorIndents/>
        <w:rPr>
          <w:sz w:val="17"/>
          <w:szCs w:val="17"/>
        </w:rPr>
      </w:pPr>
    </w:p>
    <w:p w14:paraId="13EFA612"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indicate if there should be more decisions taken under this procedure and in which areas. Please substantiate your answer:</w:t>
      </w:r>
    </w:p>
    <w:p w14:paraId="55C6A3B2" w14:textId="464E8E76" w:rsidR="00BA160A" w:rsidRPr="00722521" w:rsidRDefault="00BA160A" w:rsidP="00A903E6">
      <w:pPr>
        <w:mirrorIndents/>
        <w:rPr>
          <w:sz w:val="17"/>
          <w:szCs w:val="17"/>
        </w:rPr>
      </w:pPr>
    </w:p>
    <w:p w14:paraId="4EBC2047" w14:textId="5F3D1E22" w:rsidR="008A6CD1" w:rsidRPr="00722521" w:rsidRDefault="005A7613" w:rsidP="00A903E6">
      <w:pPr>
        <w:mirrorIndents/>
        <w:rPr>
          <w:sz w:val="17"/>
          <w:szCs w:val="17"/>
        </w:rPr>
      </w:pPr>
      <w:r w:rsidRPr="00722521">
        <w:rPr>
          <w:sz w:val="17"/>
          <w:szCs w:val="17"/>
        </w:rPr>
        <w:t>N/A</w:t>
      </w:r>
    </w:p>
    <w:p w14:paraId="4C95DE37" w14:textId="77777777" w:rsidR="008A6CD1" w:rsidRPr="00722521" w:rsidRDefault="008A6CD1" w:rsidP="00A903E6">
      <w:pPr>
        <w:mirrorIndents/>
        <w:rPr>
          <w:sz w:val="17"/>
          <w:szCs w:val="17"/>
        </w:rPr>
      </w:pPr>
    </w:p>
    <w:p w14:paraId="74677B9E" w14:textId="77777777" w:rsidR="00BA160A" w:rsidRPr="00722521" w:rsidRDefault="00BA160A" w:rsidP="008A6CD1">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2.2.6:</w:t>
      </w:r>
    </w:p>
    <w:p w14:paraId="6AB45AB5" w14:textId="23ACA531" w:rsidR="00BA160A" w:rsidRPr="00722521" w:rsidRDefault="00BA160A" w:rsidP="00A903E6">
      <w:pPr>
        <w:mirrorIndents/>
        <w:rPr>
          <w:sz w:val="17"/>
          <w:szCs w:val="17"/>
        </w:rPr>
      </w:pPr>
    </w:p>
    <w:p w14:paraId="11BF9DEC" w14:textId="6E4A50E9" w:rsidR="008D69CB" w:rsidRPr="00722521" w:rsidRDefault="00722521" w:rsidP="008D69CB">
      <w:pPr>
        <w:mirrorIndents/>
        <w:rPr>
          <w:sz w:val="17"/>
          <w:szCs w:val="17"/>
        </w:rPr>
      </w:pPr>
      <w:r>
        <w:rPr>
          <w:sz w:val="17"/>
          <w:szCs w:val="17"/>
        </w:rPr>
        <w:t>VVO</w:t>
      </w:r>
      <w:r w:rsidR="008D69CB" w:rsidRPr="00722521">
        <w:rPr>
          <w:sz w:val="17"/>
          <w:szCs w:val="17"/>
        </w:rPr>
        <w:t xml:space="preserve"> considers the introduction of the written non-objection procedure for matters subject to Article 17, 19 and 30 EIOPA Regulation as a major improvement to ensure the credibility of the decision-making process and the ability of EIOPA to investigate and assess critical policies and activities by N</w:t>
      </w:r>
      <w:r w:rsidR="00ED61BB" w:rsidRPr="00722521">
        <w:rPr>
          <w:sz w:val="17"/>
          <w:szCs w:val="17"/>
        </w:rPr>
        <w:t>S</w:t>
      </w:r>
      <w:r w:rsidR="008D69CB" w:rsidRPr="00722521">
        <w:rPr>
          <w:sz w:val="17"/>
          <w:szCs w:val="17"/>
        </w:rPr>
        <w:t xml:space="preserve">As (and </w:t>
      </w:r>
      <w:r w:rsidR="00ED61BB" w:rsidRPr="00722521">
        <w:rPr>
          <w:sz w:val="17"/>
          <w:szCs w:val="17"/>
        </w:rPr>
        <w:t>m</w:t>
      </w:r>
      <w:r w:rsidR="008D69CB" w:rsidRPr="00722521">
        <w:rPr>
          <w:sz w:val="17"/>
          <w:szCs w:val="17"/>
        </w:rPr>
        <w:t xml:space="preserve">ember </w:t>
      </w:r>
      <w:r w:rsidR="00ED61BB" w:rsidRPr="00722521">
        <w:rPr>
          <w:sz w:val="17"/>
          <w:szCs w:val="17"/>
        </w:rPr>
        <w:t>s</w:t>
      </w:r>
      <w:r w:rsidR="008D69CB" w:rsidRPr="00722521">
        <w:rPr>
          <w:sz w:val="17"/>
          <w:szCs w:val="17"/>
        </w:rPr>
        <w:t>tates).</w:t>
      </w:r>
    </w:p>
    <w:p w14:paraId="7F1A2539" w14:textId="77777777" w:rsidR="008D69CB" w:rsidRPr="00722521" w:rsidRDefault="008D69CB" w:rsidP="008D69CB">
      <w:pPr>
        <w:mirrorIndents/>
        <w:rPr>
          <w:sz w:val="17"/>
          <w:szCs w:val="17"/>
        </w:rPr>
      </w:pPr>
    </w:p>
    <w:p w14:paraId="2912E848" w14:textId="7A299388" w:rsidR="008D69CB" w:rsidRPr="00722521" w:rsidRDefault="008D69CB" w:rsidP="008D69CB">
      <w:pPr>
        <w:mirrorIndents/>
        <w:rPr>
          <w:sz w:val="17"/>
          <w:szCs w:val="17"/>
        </w:rPr>
      </w:pPr>
      <w:r w:rsidRPr="00722521">
        <w:rPr>
          <w:sz w:val="17"/>
          <w:szCs w:val="17"/>
        </w:rPr>
        <w:t xml:space="preserve">The newly introduced procedure, in conjunction with the provision of Article 42.3 EIOPA Regulation that </w:t>
      </w:r>
      <w:r w:rsidR="00ED61BB" w:rsidRPr="00722521">
        <w:rPr>
          <w:sz w:val="17"/>
          <w:szCs w:val="17"/>
        </w:rPr>
        <w:t>m</w:t>
      </w:r>
      <w:r w:rsidRPr="00722521">
        <w:rPr>
          <w:sz w:val="17"/>
          <w:szCs w:val="17"/>
        </w:rPr>
        <w:t xml:space="preserve">embers of the </w:t>
      </w:r>
      <w:proofErr w:type="spellStart"/>
      <w:r w:rsidRPr="00722521">
        <w:rPr>
          <w:sz w:val="17"/>
          <w:szCs w:val="17"/>
        </w:rPr>
        <w:t>Bo</w:t>
      </w:r>
      <w:r w:rsidR="00ED61BB" w:rsidRPr="00722521">
        <w:rPr>
          <w:sz w:val="17"/>
          <w:szCs w:val="17"/>
        </w:rPr>
        <w:t>S</w:t>
      </w:r>
      <w:proofErr w:type="spellEnd"/>
      <w:r w:rsidRPr="00722521">
        <w:rPr>
          <w:sz w:val="17"/>
          <w:szCs w:val="17"/>
        </w:rPr>
        <w:t xml:space="preserve"> (voting and non-voting and observers) and the </w:t>
      </w:r>
      <w:r w:rsidR="00ED61BB" w:rsidRPr="00722521">
        <w:rPr>
          <w:sz w:val="17"/>
          <w:szCs w:val="17"/>
        </w:rPr>
        <w:t>c</w:t>
      </w:r>
      <w:r w:rsidRPr="00722521">
        <w:rPr>
          <w:sz w:val="17"/>
          <w:szCs w:val="17"/>
        </w:rPr>
        <w:t>hair</w:t>
      </w:r>
      <w:r w:rsidR="00ED61BB" w:rsidRPr="00722521">
        <w:rPr>
          <w:sz w:val="17"/>
          <w:szCs w:val="17"/>
        </w:rPr>
        <w:t>person</w:t>
      </w:r>
      <w:r w:rsidRPr="00722521">
        <w:rPr>
          <w:sz w:val="17"/>
          <w:szCs w:val="17"/>
        </w:rPr>
        <w:t xml:space="preserve"> must abstain from participating in the discussion of, and voting upon any item on which there might be interests which can be considered prejudicial to their independence, should enhance the independence of the decision-making of EIOPA on these fundamental issues.</w:t>
      </w:r>
    </w:p>
    <w:p w14:paraId="314A0C50" w14:textId="1E06AC62" w:rsidR="008A6CD1" w:rsidRPr="00722521" w:rsidRDefault="008A6CD1" w:rsidP="00A903E6">
      <w:pPr>
        <w:mirrorIndents/>
        <w:rPr>
          <w:sz w:val="17"/>
          <w:szCs w:val="17"/>
        </w:rPr>
      </w:pPr>
    </w:p>
    <w:p w14:paraId="010FEA2C" w14:textId="77777777" w:rsidR="008A6CD1" w:rsidRPr="00722521" w:rsidRDefault="008A6CD1" w:rsidP="00A903E6">
      <w:pPr>
        <w:mirrorIndents/>
        <w:rPr>
          <w:sz w:val="17"/>
          <w:szCs w:val="17"/>
        </w:rPr>
      </w:pPr>
    </w:p>
    <w:p w14:paraId="2408CB11" w14:textId="1CC2A994" w:rsidR="00BA160A" w:rsidRPr="00722521" w:rsidRDefault="00BA160A" w:rsidP="008A6CD1">
      <w:pPr>
        <w:pStyle w:val="Textkrper"/>
        <w:ind w:left="0"/>
        <w:mirrorIndents/>
        <w:rPr>
          <w:rFonts w:ascii="Verdana" w:hAnsi="Verdana"/>
          <w:sz w:val="17"/>
          <w:szCs w:val="17"/>
        </w:rPr>
      </w:pPr>
      <w:r w:rsidRPr="00722521">
        <w:rPr>
          <w:rFonts w:ascii="Verdana" w:hAnsi="Verdana"/>
          <w:sz w:val="17"/>
          <w:szCs w:val="17"/>
          <w:highlight w:val="lightGray"/>
        </w:rPr>
        <w:t>Question 2.2.7 Do you think ad hoc committees composed of staff of the ESAs and members from the competent authorities (e.g. peer review committees) are effective tools to improve the decision making process?</w:t>
      </w:r>
    </w:p>
    <w:p w14:paraId="72117A2D" w14:textId="37A777B1" w:rsidR="00B74AAF" w:rsidRPr="00722521" w:rsidRDefault="00BA160A" w:rsidP="00B74AAF">
      <w:pPr>
        <w:pStyle w:val="CEABullet-Level1"/>
        <w:rPr>
          <w:color w:val="auto"/>
          <w:highlight w:val="lightGray"/>
        </w:rPr>
      </w:pPr>
      <w:r w:rsidRPr="00722521">
        <w:rPr>
          <w:color w:val="auto"/>
          <w:highlight w:val="lightGray"/>
        </w:rPr>
        <w:t xml:space="preserve">Yes </w:t>
      </w:r>
    </w:p>
    <w:p w14:paraId="00630194" w14:textId="6766E94F" w:rsidR="00BA160A" w:rsidRPr="00722521" w:rsidRDefault="00BA160A" w:rsidP="00B74AAF">
      <w:pPr>
        <w:pStyle w:val="CEABullet-Level1"/>
        <w:rPr>
          <w:color w:val="auto"/>
          <w:highlight w:val="lightGray"/>
        </w:rPr>
      </w:pPr>
      <w:r w:rsidRPr="00722521">
        <w:rPr>
          <w:color w:val="auto"/>
          <w:highlight w:val="lightGray"/>
        </w:rPr>
        <w:t>No</w:t>
      </w:r>
    </w:p>
    <w:p w14:paraId="47E2EABB" w14:textId="5FE01C05" w:rsidR="00BA160A" w:rsidRPr="00722521" w:rsidRDefault="00BA160A" w:rsidP="00B74AAF">
      <w:pPr>
        <w:pStyle w:val="CEABullet-Level1"/>
        <w:rPr>
          <w:color w:val="auto"/>
          <w:highlight w:val="lightGray"/>
        </w:rPr>
      </w:pPr>
      <w:r w:rsidRPr="00722521">
        <w:rPr>
          <w:color w:val="auto"/>
          <w:highlight w:val="lightGray"/>
        </w:rPr>
        <w:t>Don’t know / no opinion / not relevant</w:t>
      </w:r>
    </w:p>
    <w:p w14:paraId="339FCF52" w14:textId="45664E73" w:rsidR="00B74AAF" w:rsidRPr="00722521" w:rsidRDefault="00B74AAF" w:rsidP="00A903E6">
      <w:pPr>
        <w:mirrorIndents/>
        <w:rPr>
          <w:sz w:val="17"/>
          <w:szCs w:val="17"/>
        </w:rPr>
      </w:pPr>
    </w:p>
    <w:p w14:paraId="00DC65DA" w14:textId="7915F318" w:rsidR="00ED61BB" w:rsidRPr="00722521" w:rsidRDefault="00ED61BB" w:rsidP="00A903E6">
      <w:pPr>
        <w:mirrorIndents/>
        <w:rPr>
          <w:sz w:val="17"/>
          <w:szCs w:val="17"/>
        </w:rPr>
      </w:pPr>
      <w:r w:rsidRPr="00722521">
        <w:rPr>
          <w:sz w:val="17"/>
          <w:szCs w:val="17"/>
        </w:rPr>
        <w:t>Yes</w:t>
      </w:r>
    </w:p>
    <w:p w14:paraId="5A1BD32F" w14:textId="77777777" w:rsidR="00ED61BB" w:rsidRPr="00722521" w:rsidRDefault="00ED61BB" w:rsidP="00A903E6">
      <w:pPr>
        <w:mirrorIndents/>
        <w:rPr>
          <w:sz w:val="17"/>
          <w:szCs w:val="17"/>
        </w:rPr>
      </w:pPr>
    </w:p>
    <w:p w14:paraId="6753F327" w14:textId="77777777" w:rsidR="00BA160A" w:rsidRPr="00722521" w:rsidRDefault="00BA160A" w:rsidP="00B74AAF">
      <w:pPr>
        <w:pStyle w:val="Textkrper"/>
        <w:ind w:left="0"/>
        <w:mirrorIndents/>
        <w:rPr>
          <w:rFonts w:ascii="Verdana" w:hAnsi="Verdana"/>
          <w:sz w:val="17"/>
          <w:szCs w:val="17"/>
        </w:rPr>
      </w:pPr>
      <w:r w:rsidRPr="00722521">
        <w:rPr>
          <w:rFonts w:ascii="Verdana" w:hAnsi="Verdana"/>
          <w:sz w:val="17"/>
          <w:szCs w:val="17"/>
          <w:highlight w:val="lightGray"/>
        </w:rPr>
        <w:t>Please indicate if there should be more decisions taken under this procedure and in which areas:</w:t>
      </w:r>
    </w:p>
    <w:p w14:paraId="3E8E0382" w14:textId="4D4A6C43" w:rsidR="00BA160A" w:rsidRPr="00722521" w:rsidRDefault="00BA160A" w:rsidP="00A903E6">
      <w:pPr>
        <w:mirrorIndents/>
        <w:rPr>
          <w:sz w:val="17"/>
          <w:szCs w:val="17"/>
        </w:rPr>
      </w:pPr>
    </w:p>
    <w:p w14:paraId="3B2827F9" w14:textId="28ECCB24" w:rsidR="00B74AAF" w:rsidRPr="00722521" w:rsidRDefault="00ED61BB" w:rsidP="00A903E6">
      <w:pPr>
        <w:mirrorIndents/>
        <w:rPr>
          <w:sz w:val="17"/>
          <w:szCs w:val="17"/>
        </w:rPr>
      </w:pPr>
      <w:r w:rsidRPr="00722521">
        <w:rPr>
          <w:sz w:val="17"/>
          <w:szCs w:val="17"/>
        </w:rPr>
        <w:t>N/A</w:t>
      </w:r>
    </w:p>
    <w:p w14:paraId="2F2094A1" w14:textId="77777777" w:rsidR="00B74AAF" w:rsidRPr="00722521" w:rsidRDefault="00B74AAF" w:rsidP="00A903E6">
      <w:pPr>
        <w:mirrorIndents/>
        <w:rPr>
          <w:sz w:val="17"/>
          <w:szCs w:val="17"/>
        </w:rPr>
      </w:pPr>
    </w:p>
    <w:p w14:paraId="692978F3" w14:textId="571052EB" w:rsidR="00BA160A" w:rsidRPr="00722521" w:rsidRDefault="00BA160A" w:rsidP="00B74AAF">
      <w:pPr>
        <w:pStyle w:val="Textkrper"/>
        <w:ind w:left="0"/>
        <w:mirrorIndents/>
        <w:rPr>
          <w:rFonts w:ascii="Verdana" w:hAnsi="Verdana"/>
          <w:sz w:val="17"/>
          <w:szCs w:val="17"/>
          <w:highlight w:val="lightGray"/>
        </w:rPr>
      </w:pPr>
      <w:r w:rsidRPr="00722521">
        <w:rPr>
          <w:rFonts w:ascii="Verdana" w:hAnsi="Verdana"/>
          <w:sz w:val="17"/>
          <w:szCs w:val="17"/>
          <w:highlight w:val="lightGray"/>
        </w:rPr>
        <w:t>Question 2.2.8 Do you think the functioning of preparatory/supporting bodies of the ESAs (e.g. technical working groups, standing committees, task forces etc.) is effective and efficient?</w:t>
      </w:r>
    </w:p>
    <w:p w14:paraId="2297DFBC" w14:textId="6A998F3E" w:rsidR="00D841A8" w:rsidRPr="00722521" w:rsidRDefault="00BA160A" w:rsidP="00D841A8">
      <w:pPr>
        <w:pStyle w:val="CEABullet-Level1"/>
        <w:rPr>
          <w:color w:val="auto"/>
          <w:highlight w:val="lightGray"/>
        </w:rPr>
      </w:pPr>
      <w:r w:rsidRPr="00722521">
        <w:rPr>
          <w:color w:val="auto"/>
          <w:highlight w:val="lightGray"/>
        </w:rPr>
        <w:t xml:space="preserve">Yes </w:t>
      </w:r>
    </w:p>
    <w:p w14:paraId="7712039A" w14:textId="1173CD4E" w:rsidR="00BA160A" w:rsidRPr="00722521" w:rsidRDefault="00BA160A" w:rsidP="00D841A8">
      <w:pPr>
        <w:pStyle w:val="CEABullet-Level1"/>
        <w:rPr>
          <w:color w:val="auto"/>
          <w:highlight w:val="lightGray"/>
        </w:rPr>
      </w:pPr>
      <w:r w:rsidRPr="00722521">
        <w:rPr>
          <w:color w:val="auto"/>
          <w:highlight w:val="lightGray"/>
        </w:rPr>
        <w:t>No</w:t>
      </w:r>
    </w:p>
    <w:p w14:paraId="0921186B" w14:textId="77777777" w:rsidR="00BA160A" w:rsidRPr="00722521" w:rsidRDefault="00BA160A" w:rsidP="00D841A8">
      <w:pPr>
        <w:pStyle w:val="CEABullet-Level1"/>
        <w:rPr>
          <w:color w:val="auto"/>
          <w:highlight w:val="lightGray"/>
        </w:rPr>
      </w:pPr>
      <w:r w:rsidRPr="00722521">
        <w:rPr>
          <w:color w:val="auto"/>
          <w:highlight w:val="lightGray"/>
        </w:rPr>
        <w:t>Don’t know / no opinion / not relevant</w:t>
      </w:r>
    </w:p>
    <w:p w14:paraId="55B282E2" w14:textId="2880C051" w:rsidR="00BA160A" w:rsidRPr="00722521" w:rsidRDefault="00BA160A" w:rsidP="00A903E6">
      <w:pPr>
        <w:mirrorIndents/>
        <w:rPr>
          <w:sz w:val="17"/>
          <w:szCs w:val="17"/>
        </w:rPr>
      </w:pPr>
    </w:p>
    <w:p w14:paraId="6E5E9D6B" w14:textId="225C99C3" w:rsidR="00ED61BB" w:rsidRPr="00722521" w:rsidRDefault="00ED61BB" w:rsidP="00A903E6">
      <w:pPr>
        <w:mirrorIndents/>
        <w:rPr>
          <w:sz w:val="17"/>
          <w:szCs w:val="17"/>
        </w:rPr>
      </w:pPr>
      <w:r w:rsidRPr="00722521">
        <w:rPr>
          <w:sz w:val="17"/>
          <w:szCs w:val="17"/>
        </w:rPr>
        <w:t>Yes</w:t>
      </w:r>
    </w:p>
    <w:p w14:paraId="55839E50" w14:textId="77777777" w:rsidR="00ED61BB" w:rsidRPr="00722521" w:rsidRDefault="00ED61BB" w:rsidP="00A903E6">
      <w:pPr>
        <w:mirrorIndents/>
        <w:rPr>
          <w:sz w:val="17"/>
          <w:szCs w:val="17"/>
        </w:rPr>
      </w:pPr>
    </w:p>
    <w:p w14:paraId="3C53F2EA" w14:textId="77777777"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If you identify any shortcomings please specify how these could be addressed:</w:t>
      </w:r>
    </w:p>
    <w:p w14:paraId="11CCB4F0" w14:textId="77777777" w:rsidR="00D841A8" w:rsidRPr="00722521" w:rsidRDefault="00D841A8" w:rsidP="00D841A8">
      <w:pPr>
        <w:pStyle w:val="Textkrper"/>
        <w:ind w:left="0"/>
        <w:mirrorIndents/>
        <w:rPr>
          <w:rFonts w:ascii="Verdana" w:hAnsi="Verdana"/>
          <w:b w:val="0"/>
          <w:bCs w:val="0"/>
          <w:sz w:val="17"/>
          <w:szCs w:val="17"/>
        </w:rPr>
      </w:pPr>
    </w:p>
    <w:p w14:paraId="1A2E3F5B" w14:textId="4373D420" w:rsidR="00D841A8" w:rsidRPr="00722521" w:rsidRDefault="00ED61BB" w:rsidP="00D841A8">
      <w:pPr>
        <w:pStyle w:val="Textkrper"/>
        <w:ind w:left="0"/>
        <w:mirrorIndents/>
        <w:rPr>
          <w:rFonts w:ascii="Verdana" w:hAnsi="Verdana"/>
          <w:b w:val="0"/>
          <w:bCs w:val="0"/>
          <w:sz w:val="17"/>
          <w:szCs w:val="17"/>
        </w:rPr>
      </w:pPr>
      <w:r w:rsidRPr="00722521">
        <w:rPr>
          <w:rFonts w:ascii="Verdana" w:hAnsi="Verdana"/>
          <w:b w:val="0"/>
          <w:bCs w:val="0"/>
          <w:sz w:val="17"/>
          <w:szCs w:val="17"/>
        </w:rPr>
        <w:t>N/A</w:t>
      </w:r>
    </w:p>
    <w:p w14:paraId="57A756ED" w14:textId="77777777" w:rsidR="00D841A8" w:rsidRPr="00722521" w:rsidRDefault="00D841A8" w:rsidP="00D841A8">
      <w:pPr>
        <w:pStyle w:val="Textkrper"/>
        <w:ind w:left="0"/>
        <w:mirrorIndents/>
        <w:rPr>
          <w:rFonts w:ascii="Verdana" w:hAnsi="Verdana"/>
          <w:b w:val="0"/>
          <w:bCs w:val="0"/>
          <w:sz w:val="17"/>
          <w:szCs w:val="17"/>
        </w:rPr>
      </w:pPr>
    </w:p>
    <w:p w14:paraId="094F06A2" w14:textId="2425C29A"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Question 2.2.9 EIOPA: Please assess the impact of the work undertaken by preparatory/supporting bodies of EIOPA (e.g. technical working groups, standing committees, task forces etc.) on the EIOPA’s overall work and achievements:</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2083"/>
        <w:gridCol w:w="1259"/>
        <w:gridCol w:w="1306"/>
        <w:gridCol w:w="1012"/>
        <w:gridCol w:w="1271"/>
        <w:gridCol w:w="1288"/>
        <w:gridCol w:w="1292"/>
      </w:tblGrid>
      <w:tr w:rsidR="00D841A8" w:rsidRPr="00722521" w14:paraId="3FEEA796" w14:textId="77777777" w:rsidTr="00D841A8">
        <w:trPr>
          <w:trHeight w:hRule="exact" w:val="1149"/>
        </w:trPr>
        <w:tc>
          <w:tcPr>
            <w:tcW w:w="1098" w:type="pct"/>
            <w:tcBorders>
              <w:top w:val="single" w:sz="8" w:space="0" w:color="BABABA"/>
              <w:left w:val="single" w:sz="8" w:space="0" w:color="BABABA"/>
              <w:bottom w:val="single" w:sz="8" w:space="0" w:color="BABABA"/>
              <w:right w:val="single" w:sz="8" w:space="0" w:color="BABABA"/>
            </w:tcBorders>
          </w:tcPr>
          <w:p w14:paraId="37BE24F5" w14:textId="77777777" w:rsidR="00BA160A" w:rsidRPr="00722521" w:rsidRDefault="00BA160A" w:rsidP="00A903E6">
            <w:pPr>
              <w:mirrorIndents/>
              <w:rPr>
                <w:sz w:val="17"/>
                <w:szCs w:val="17"/>
              </w:rPr>
            </w:pPr>
          </w:p>
        </w:tc>
        <w:tc>
          <w:tcPr>
            <w:tcW w:w="665" w:type="pct"/>
            <w:tcBorders>
              <w:top w:val="single" w:sz="8" w:space="0" w:color="BABABA"/>
              <w:left w:val="single" w:sz="8" w:space="0" w:color="BABABA"/>
              <w:bottom w:val="single" w:sz="8" w:space="0" w:color="BABABA"/>
              <w:right w:val="single" w:sz="8" w:space="0" w:color="BABABA"/>
            </w:tcBorders>
            <w:hideMark/>
          </w:tcPr>
          <w:p w14:paraId="149C9603" w14:textId="77777777" w:rsidR="00BA160A" w:rsidRPr="00722521" w:rsidRDefault="00BA160A" w:rsidP="00A903E6">
            <w:pPr>
              <w:pStyle w:val="TableParagraph"/>
              <w:mirrorIndents/>
              <w:rPr>
                <w:szCs w:val="17"/>
              </w:rPr>
            </w:pPr>
            <w:r w:rsidRPr="00722521">
              <w:rPr>
                <w:w w:val="99"/>
                <w:szCs w:val="17"/>
              </w:rPr>
              <w:t>1</w:t>
            </w:r>
          </w:p>
          <w:p w14:paraId="56339DBF" w14:textId="77777777" w:rsidR="00BA160A" w:rsidRPr="00722521" w:rsidRDefault="00BA160A" w:rsidP="00A903E6">
            <w:pPr>
              <w:pStyle w:val="TableParagraph"/>
              <w:ind w:hanging="1"/>
              <w:mirrorIndents/>
              <w:rPr>
                <w:szCs w:val="17"/>
              </w:rPr>
            </w:pPr>
            <w:r w:rsidRPr="00722521">
              <w:rPr>
                <w:szCs w:val="17"/>
              </w:rPr>
              <w:t>(less significant impact</w:t>
            </w:r>
          </w:p>
        </w:tc>
        <w:tc>
          <w:tcPr>
            <w:tcW w:w="689" w:type="pct"/>
            <w:tcBorders>
              <w:top w:val="single" w:sz="8" w:space="0" w:color="BABABA"/>
              <w:left w:val="single" w:sz="8" w:space="0" w:color="BABABA"/>
              <w:bottom w:val="single" w:sz="8" w:space="0" w:color="BABABA"/>
              <w:right w:val="single" w:sz="8" w:space="0" w:color="BABABA"/>
            </w:tcBorders>
            <w:hideMark/>
          </w:tcPr>
          <w:p w14:paraId="15378C1F" w14:textId="77777777" w:rsidR="00BA160A" w:rsidRPr="00722521" w:rsidRDefault="00BA160A" w:rsidP="00A903E6">
            <w:pPr>
              <w:pStyle w:val="TableParagraph"/>
              <w:mirrorIndents/>
              <w:rPr>
                <w:szCs w:val="17"/>
              </w:rPr>
            </w:pPr>
            <w:r w:rsidRPr="00722521">
              <w:rPr>
                <w:w w:val="99"/>
                <w:szCs w:val="17"/>
              </w:rPr>
              <w:t>2</w:t>
            </w:r>
          </w:p>
          <w:p w14:paraId="0F072BAD" w14:textId="77777777" w:rsidR="00BA160A" w:rsidRPr="00722521" w:rsidRDefault="00BA160A" w:rsidP="00A903E6">
            <w:pPr>
              <w:pStyle w:val="TableParagraph"/>
              <w:ind w:hanging="1"/>
              <w:mirrorIndents/>
              <w:rPr>
                <w:szCs w:val="17"/>
              </w:rPr>
            </w:pPr>
            <w:r w:rsidRPr="00722521">
              <w:rPr>
                <w:szCs w:val="17"/>
              </w:rPr>
              <w:t>(not so significant impact)</w:t>
            </w:r>
          </w:p>
        </w:tc>
        <w:tc>
          <w:tcPr>
            <w:tcW w:w="515" w:type="pct"/>
            <w:tcBorders>
              <w:top w:val="single" w:sz="8" w:space="0" w:color="BABABA"/>
              <w:left w:val="single" w:sz="8" w:space="0" w:color="BABABA"/>
              <w:bottom w:val="single" w:sz="8" w:space="0" w:color="BABABA"/>
              <w:right w:val="single" w:sz="8" w:space="0" w:color="BABABA"/>
            </w:tcBorders>
            <w:hideMark/>
          </w:tcPr>
          <w:p w14:paraId="212337FC" w14:textId="77777777" w:rsidR="00BA160A" w:rsidRPr="00722521" w:rsidRDefault="00BA160A" w:rsidP="00A903E6">
            <w:pPr>
              <w:pStyle w:val="TableParagraph"/>
              <w:mirrorIndents/>
              <w:rPr>
                <w:szCs w:val="17"/>
              </w:rPr>
            </w:pPr>
            <w:r w:rsidRPr="00722521">
              <w:rPr>
                <w:w w:val="99"/>
                <w:szCs w:val="17"/>
              </w:rPr>
              <w:t>3</w:t>
            </w:r>
          </w:p>
          <w:p w14:paraId="5F27717F" w14:textId="77777777" w:rsidR="00BA160A" w:rsidRPr="00722521" w:rsidRDefault="00BA160A" w:rsidP="00A903E6">
            <w:pPr>
              <w:pStyle w:val="TableParagraph"/>
              <w:mirrorIndents/>
              <w:rPr>
                <w:szCs w:val="17"/>
              </w:rPr>
            </w:pPr>
            <w:r w:rsidRPr="00722521">
              <w:rPr>
                <w:szCs w:val="17"/>
              </w:rPr>
              <w:t>(neutral)</w:t>
            </w:r>
          </w:p>
        </w:tc>
        <w:tc>
          <w:tcPr>
            <w:tcW w:w="671" w:type="pct"/>
            <w:tcBorders>
              <w:top w:val="single" w:sz="8" w:space="0" w:color="BABABA"/>
              <w:left w:val="single" w:sz="8" w:space="0" w:color="BABABA"/>
              <w:bottom w:val="single" w:sz="8" w:space="0" w:color="BABABA"/>
              <w:right w:val="single" w:sz="8" w:space="0" w:color="BABABA"/>
            </w:tcBorders>
            <w:hideMark/>
          </w:tcPr>
          <w:p w14:paraId="073A02C3" w14:textId="77777777" w:rsidR="00BA160A" w:rsidRPr="00722521" w:rsidRDefault="00BA160A" w:rsidP="00A903E6">
            <w:pPr>
              <w:pStyle w:val="TableParagraph"/>
              <w:mirrorIndents/>
              <w:rPr>
                <w:szCs w:val="17"/>
              </w:rPr>
            </w:pPr>
            <w:r w:rsidRPr="00722521">
              <w:rPr>
                <w:w w:val="99"/>
                <w:szCs w:val="17"/>
              </w:rPr>
              <w:t>4</w:t>
            </w:r>
          </w:p>
          <w:p w14:paraId="57889C59" w14:textId="77777777" w:rsidR="00BA160A" w:rsidRPr="00722521" w:rsidRDefault="00BA160A" w:rsidP="00A903E6">
            <w:pPr>
              <w:pStyle w:val="TableParagraph"/>
              <w:mirrorIndents/>
              <w:rPr>
                <w:szCs w:val="17"/>
              </w:rPr>
            </w:pPr>
            <w:r w:rsidRPr="00722521">
              <w:rPr>
                <w:szCs w:val="17"/>
              </w:rPr>
              <w:t>(significant impact)</w:t>
            </w:r>
          </w:p>
        </w:tc>
        <w:tc>
          <w:tcPr>
            <w:tcW w:w="680" w:type="pct"/>
            <w:tcBorders>
              <w:top w:val="single" w:sz="8" w:space="0" w:color="BABABA"/>
              <w:left w:val="single" w:sz="8" w:space="0" w:color="BABABA"/>
              <w:bottom w:val="single" w:sz="8" w:space="0" w:color="BABABA"/>
              <w:right w:val="single" w:sz="8" w:space="0" w:color="BABABA"/>
            </w:tcBorders>
            <w:hideMark/>
          </w:tcPr>
          <w:p w14:paraId="2EE2F44D" w14:textId="77777777" w:rsidR="00BA160A" w:rsidRPr="00722521" w:rsidRDefault="00BA160A" w:rsidP="00A903E6">
            <w:pPr>
              <w:pStyle w:val="TableParagraph"/>
              <w:mirrorIndents/>
              <w:rPr>
                <w:szCs w:val="17"/>
              </w:rPr>
            </w:pPr>
            <w:r w:rsidRPr="00722521">
              <w:rPr>
                <w:w w:val="99"/>
                <w:szCs w:val="17"/>
              </w:rPr>
              <w:t>5</w:t>
            </w:r>
          </w:p>
          <w:p w14:paraId="53C2EC03" w14:textId="77777777" w:rsidR="00BA160A" w:rsidRPr="00722521" w:rsidRDefault="00BA160A" w:rsidP="00A903E6">
            <w:pPr>
              <w:pStyle w:val="TableParagraph"/>
              <w:mirrorIndents/>
              <w:rPr>
                <w:szCs w:val="17"/>
              </w:rPr>
            </w:pPr>
            <w:r w:rsidRPr="00722521">
              <w:rPr>
                <w:szCs w:val="17"/>
              </w:rPr>
              <w:t>(most significant impact)</w:t>
            </w:r>
          </w:p>
        </w:tc>
        <w:tc>
          <w:tcPr>
            <w:tcW w:w="682" w:type="pct"/>
            <w:tcBorders>
              <w:top w:val="single" w:sz="8" w:space="0" w:color="BABABA"/>
              <w:left w:val="single" w:sz="8" w:space="0" w:color="BABABA"/>
              <w:bottom w:val="single" w:sz="8" w:space="0" w:color="BABABA"/>
              <w:right w:val="single" w:sz="8" w:space="0" w:color="BABABA"/>
            </w:tcBorders>
            <w:hideMark/>
          </w:tcPr>
          <w:p w14:paraId="77E51836"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2ADEC9C0" w14:textId="77777777" w:rsidR="00BA160A" w:rsidRPr="00722521" w:rsidRDefault="00BA160A" w:rsidP="00A903E6">
            <w:pPr>
              <w:pStyle w:val="TableParagraph"/>
              <w:ind w:hanging="1"/>
              <w:mirrorIndents/>
              <w:rPr>
                <w:szCs w:val="17"/>
              </w:rPr>
            </w:pPr>
            <w:r w:rsidRPr="00722521">
              <w:rPr>
                <w:szCs w:val="17"/>
              </w:rPr>
              <w:t>Not applicable</w:t>
            </w:r>
          </w:p>
        </w:tc>
      </w:tr>
      <w:tr w:rsidR="00D841A8" w:rsidRPr="00722521" w14:paraId="24E9A701" w14:textId="77777777" w:rsidTr="00D841A8">
        <w:trPr>
          <w:trHeight w:hRule="exact" w:val="981"/>
        </w:trPr>
        <w:tc>
          <w:tcPr>
            <w:tcW w:w="1098" w:type="pct"/>
            <w:tcBorders>
              <w:top w:val="single" w:sz="8" w:space="0" w:color="BABABA"/>
              <w:left w:val="single" w:sz="8" w:space="0" w:color="BABABA"/>
              <w:bottom w:val="single" w:sz="8" w:space="0" w:color="BABABA"/>
              <w:right w:val="single" w:sz="8" w:space="0" w:color="BABABA"/>
            </w:tcBorders>
            <w:hideMark/>
          </w:tcPr>
          <w:p w14:paraId="41A0015B" w14:textId="77777777" w:rsidR="00BA160A" w:rsidRPr="00722521" w:rsidRDefault="00BA160A" w:rsidP="00A903E6">
            <w:pPr>
              <w:pStyle w:val="TableParagraph"/>
              <w:mirrorIndents/>
              <w:rPr>
                <w:szCs w:val="17"/>
              </w:rPr>
            </w:pPr>
            <w:r w:rsidRPr="00722521">
              <w:rPr>
                <w:w w:val="105"/>
                <w:szCs w:val="17"/>
              </w:rPr>
              <w:t xml:space="preserve">Standing </w:t>
            </w:r>
            <w:r w:rsidRPr="00722521">
              <w:rPr>
                <w:szCs w:val="17"/>
              </w:rPr>
              <w:t xml:space="preserve">committees </w:t>
            </w:r>
            <w:r w:rsidRPr="00722521">
              <w:rPr>
                <w:w w:val="105"/>
                <w:szCs w:val="17"/>
              </w:rPr>
              <w:t xml:space="preserve">and other permanent </w:t>
            </w:r>
            <w:r w:rsidRPr="00722521">
              <w:rPr>
                <w:szCs w:val="17"/>
              </w:rPr>
              <w:t>committees</w:t>
            </w:r>
          </w:p>
        </w:tc>
        <w:tc>
          <w:tcPr>
            <w:tcW w:w="665" w:type="pct"/>
            <w:tcBorders>
              <w:top w:val="single" w:sz="8" w:space="0" w:color="BABABA"/>
              <w:left w:val="single" w:sz="8" w:space="0" w:color="BABABA"/>
              <w:bottom w:val="single" w:sz="8" w:space="0" w:color="BABABA"/>
              <w:right w:val="single" w:sz="8" w:space="0" w:color="BABABA"/>
            </w:tcBorders>
          </w:tcPr>
          <w:p w14:paraId="4E02974D"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2C1048D5" w14:textId="77777777" w:rsidR="00BA160A" w:rsidRPr="00722521" w:rsidRDefault="00BA160A" w:rsidP="00A903E6">
            <w:pPr>
              <w:pStyle w:val="TableParagraph"/>
              <w:mirrorIndents/>
              <w:rPr>
                <w:b/>
                <w:szCs w:val="17"/>
              </w:rPr>
            </w:pPr>
          </w:p>
        </w:tc>
        <w:tc>
          <w:tcPr>
            <w:tcW w:w="515" w:type="pct"/>
            <w:tcBorders>
              <w:top w:val="single" w:sz="8" w:space="0" w:color="BABABA"/>
              <w:left w:val="single" w:sz="8" w:space="0" w:color="BABABA"/>
              <w:bottom w:val="single" w:sz="8" w:space="0" w:color="BABABA"/>
              <w:right w:val="single" w:sz="8" w:space="0" w:color="BABABA"/>
            </w:tcBorders>
          </w:tcPr>
          <w:p w14:paraId="5CD27522" w14:textId="77777777" w:rsidR="00BA160A" w:rsidRPr="00722521" w:rsidRDefault="00BA160A" w:rsidP="00A903E6">
            <w:pPr>
              <w:pStyle w:val="TableParagraph"/>
              <w:mirrorIndents/>
              <w:rPr>
                <w:b/>
                <w:szCs w:val="17"/>
              </w:rPr>
            </w:pPr>
          </w:p>
        </w:tc>
        <w:tc>
          <w:tcPr>
            <w:tcW w:w="671" w:type="pct"/>
            <w:tcBorders>
              <w:top w:val="single" w:sz="8" w:space="0" w:color="BABABA"/>
              <w:left w:val="single" w:sz="8" w:space="0" w:color="BABABA"/>
              <w:bottom w:val="single" w:sz="8" w:space="0" w:color="BABABA"/>
              <w:right w:val="single" w:sz="8" w:space="0" w:color="BABABA"/>
            </w:tcBorders>
          </w:tcPr>
          <w:p w14:paraId="6327DF99" w14:textId="77777777" w:rsidR="00BA160A" w:rsidRPr="00722521" w:rsidRDefault="00BA160A" w:rsidP="00A903E6">
            <w:pPr>
              <w:pStyle w:val="TableParagraph"/>
              <w:mirrorIndents/>
              <w:rPr>
                <w:b/>
                <w:szCs w:val="17"/>
              </w:rPr>
            </w:pPr>
          </w:p>
        </w:tc>
        <w:tc>
          <w:tcPr>
            <w:tcW w:w="680" w:type="pct"/>
            <w:tcBorders>
              <w:top w:val="single" w:sz="8" w:space="0" w:color="BABABA"/>
              <w:left w:val="single" w:sz="8" w:space="0" w:color="BABABA"/>
              <w:bottom w:val="single" w:sz="8" w:space="0" w:color="BABABA"/>
              <w:right w:val="single" w:sz="8" w:space="0" w:color="BABABA"/>
            </w:tcBorders>
          </w:tcPr>
          <w:p w14:paraId="5C3E7A58" w14:textId="3C504762" w:rsidR="00BA160A" w:rsidRPr="00722521" w:rsidRDefault="008D69CB" w:rsidP="00A903E6">
            <w:pPr>
              <w:pStyle w:val="TableParagraph"/>
              <w:mirrorIndents/>
              <w:rPr>
                <w:b/>
                <w:szCs w:val="17"/>
              </w:rPr>
            </w:pPr>
            <w:r w:rsidRPr="00722521">
              <w:rPr>
                <w:b/>
                <w:szCs w:val="17"/>
              </w:rPr>
              <w:t>x</w:t>
            </w:r>
          </w:p>
        </w:tc>
        <w:tc>
          <w:tcPr>
            <w:tcW w:w="682" w:type="pct"/>
            <w:tcBorders>
              <w:top w:val="single" w:sz="8" w:space="0" w:color="BABABA"/>
              <w:left w:val="single" w:sz="8" w:space="0" w:color="BABABA"/>
              <w:bottom w:val="single" w:sz="8" w:space="0" w:color="BABABA"/>
              <w:right w:val="single" w:sz="8" w:space="0" w:color="BABABA"/>
            </w:tcBorders>
          </w:tcPr>
          <w:p w14:paraId="46617C48" w14:textId="77777777" w:rsidR="00BA160A" w:rsidRPr="00722521" w:rsidRDefault="00BA160A" w:rsidP="00A903E6">
            <w:pPr>
              <w:pStyle w:val="TableParagraph"/>
              <w:mirrorIndents/>
              <w:rPr>
                <w:b/>
                <w:szCs w:val="17"/>
              </w:rPr>
            </w:pPr>
          </w:p>
        </w:tc>
      </w:tr>
      <w:tr w:rsidR="00D841A8" w:rsidRPr="00722521" w14:paraId="2070DCD2" w14:textId="77777777" w:rsidTr="00D841A8">
        <w:trPr>
          <w:trHeight w:hRule="exact" w:val="929"/>
        </w:trPr>
        <w:tc>
          <w:tcPr>
            <w:tcW w:w="1098" w:type="pct"/>
            <w:tcBorders>
              <w:top w:val="single" w:sz="8" w:space="0" w:color="BABABA"/>
              <w:left w:val="single" w:sz="8" w:space="0" w:color="BABABA"/>
              <w:bottom w:val="single" w:sz="8" w:space="0" w:color="BABABA"/>
              <w:right w:val="single" w:sz="8" w:space="0" w:color="BABABA"/>
            </w:tcBorders>
            <w:hideMark/>
          </w:tcPr>
          <w:p w14:paraId="32B8AAD4" w14:textId="77777777" w:rsidR="00BA160A" w:rsidRPr="00722521" w:rsidRDefault="00BA160A" w:rsidP="00A903E6">
            <w:pPr>
              <w:pStyle w:val="TableParagraph"/>
              <w:mirrorIndents/>
              <w:rPr>
                <w:szCs w:val="17"/>
              </w:rPr>
            </w:pPr>
            <w:r w:rsidRPr="00722521">
              <w:rPr>
                <w:w w:val="105"/>
                <w:szCs w:val="17"/>
              </w:rPr>
              <w:t xml:space="preserve">Other </w:t>
            </w:r>
            <w:r w:rsidRPr="00722521">
              <w:rPr>
                <w:szCs w:val="17"/>
              </w:rPr>
              <w:t xml:space="preserve">preparatory </w:t>
            </w:r>
            <w:r w:rsidRPr="00722521">
              <w:rPr>
                <w:w w:val="105"/>
                <w:szCs w:val="17"/>
              </w:rPr>
              <w:t>bodies (e.g.</w:t>
            </w:r>
            <w:r w:rsidRPr="00722521">
              <w:rPr>
                <w:w w:val="102"/>
                <w:szCs w:val="17"/>
              </w:rPr>
              <w:t xml:space="preserve"> </w:t>
            </w:r>
            <w:r w:rsidRPr="00722521">
              <w:rPr>
                <w:w w:val="105"/>
                <w:szCs w:val="17"/>
              </w:rPr>
              <w:t>technical working groups</w:t>
            </w:r>
          </w:p>
        </w:tc>
        <w:tc>
          <w:tcPr>
            <w:tcW w:w="665" w:type="pct"/>
            <w:tcBorders>
              <w:top w:val="single" w:sz="8" w:space="0" w:color="BABABA"/>
              <w:left w:val="single" w:sz="8" w:space="0" w:color="BABABA"/>
              <w:bottom w:val="single" w:sz="8" w:space="0" w:color="BABABA"/>
              <w:right w:val="single" w:sz="8" w:space="0" w:color="BABABA"/>
            </w:tcBorders>
          </w:tcPr>
          <w:p w14:paraId="3AE1CED7"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273303CC" w14:textId="77777777" w:rsidR="00BA160A" w:rsidRPr="00722521" w:rsidRDefault="00BA160A" w:rsidP="00A903E6">
            <w:pPr>
              <w:pStyle w:val="TableParagraph"/>
              <w:mirrorIndents/>
              <w:rPr>
                <w:b/>
                <w:szCs w:val="17"/>
              </w:rPr>
            </w:pPr>
          </w:p>
        </w:tc>
        <w:tc>
          <w:tcPr>
            <w:tcW w:w="515" w:type="pct"/>
            <w:tcBorders>
              <w:top w:val="single" w:sz="8" w:space="0" w:color="BABABA"/>
              <w:left w:val="single" w:sz="8" w:space="0" w:color="BABABA"/>
              <w:bottom w:val="single" w:sz="8" w:space="0" w:color="BABABA"/>
              <w:right w:val="single" w:sz="8" w:space="0" w:color="BABABA"/>
            </w:tcBorders>
          </w:tcPr>
          <w:p w14:paraId="1135F51C" w14:textId="77777777" w:rsidR="00BA160A" w:rsidRPr="00722521" w:rsidRDefault="00BA160A" w:rsidP="00A903E6">
            <w:pPr>
              <w:pStyle w:val="TableParagraph"/>
              <w:mirrorIndents/>
              <w:rPr>
                <w:b/>
                <w:szCs w:val="17"/>
              </w:rPr>
            </w:pPr>
          </w:p>
        </w:tc>
        <w:tc>
          <w:tcPr>
            <w:tcW w:w="671" w:type="pct"/>
            <w:tcBorders>
              <w:top w:val="single" w:sz="8" w:space="0" w:color="BABABA"/>
              <w:left w:val="single" w:sz="8" w:space="0" w:color="BABABA"/>
              <w:bottom w:val="single" w:sz="8" w:space="0" w:color="BABABA"/>
              <w:right w:val="single" w:sz="8" w:space="0" w:color="BABABA"/>
            </w:tcBorders>
          </w:tcPr>
          <w:p w14:paraId="27329360" w14:textId="2B4F31B0" w:rsidR="00BA160A" w:rsidRPr="00722521" w:rsidRDefault="008D69CB" w:rsidP="00A903E6">
            <w:pPr>
              <w:pStyle w:val="TableParagraph"/>
              <w:mirrorIndents/>
              <w:rPr>
                <w:b/>
                <w:szCs w:val="17"/>
              </w:rPr>
            </w:pPr>
            <w:r w:rsidRPr="00722521">
              <w:rPr>
                <w:b/>
                <w:szCs w:val="17"/>
              </w:rPr>
              <w:t>x</w:t>
            </w:r>
          </w:p>
        </w:tc>
        <w:tc>
          <w:tcPr>
            <w:tcW w:w="680" w:type="pct"/>
            <w:tcBorders>
              <w:top w:val="single" w:sz="8" w:space="0" w:color="BABABA"/>
              <w:left w:val="single" w:sz="8" w:space="0" w:color="BABABA"/>
              <w:bottom w:val="single" w:sz="8" w:space="0" w:color="BABABA"/>
              <w:right w:val="single" w:sz="8" w:space="0" w:color="BABABA"/>
            </w:tcBorders>
          </w:tcPr>
          <w:p w14:paraId="35297255" w14:textId="77777777" w:rsidR="00BA160A" w:rsidRPr="00722521" w:rsidRDefault="00BA160A" w:rsidP="00A903E6">
            <w:pPr>
              <w:pStyle w:val="TableParagraph"/>
              <w:mirrorIndents/>
              <w:rPr>
                <w:b/>
                <w:szCs w:val="17"/>
              </w:rPr>
            </w:pPr>
          </w:p>
        </w:tc>
        <w:tc>
          <w:tcPr>
            <w:tcW w:w="682" w:type="pct"/>
            <w:tcBorders>
              <w:top w:val="single" w:sz="8" w:space="0" w:color="BABABA"/>
              <w:left w:val="single" w:sz="8" w:space="0" w:color="BABABA"/>
              <w:bottom w:val="single" w:sz="8" w:space="0" w:color="BABABA"/>
              <w:right w:val="single" w:sz="8" w:space="0" w:color="BABABA"/>
            </w:tcBorders>
          </w:tcPr>
          <w:p w14:paraId="7127D705" w14:textId="77777777" w:rsidR="00BA160A" w:rsidRPr="00722521" w:rsidRDefault="00BA160A" w:rsidP="00A903E6">
            <w:pPr>
              <w:pStyle w:val="TableParagraph"/>
              <w:mirrorIndents/>
              <w:rPr>
                <w:b/>
                <w:szCs w:val="17"/>
              </w:rPr>
            </w:pPr>
          </w:p>
        </w:tc>
      </w:tr>
      <w:tr w:rsidR="00D841A8" w:rsidRPr="00722521" w14:paraId="0820C9A4" w14:textId="77777777" w:rsidTr="00D841A8">
        <w:trPr>
          <w:trHeight w:hRule="exact" w:val="929"/>
        </w:trPr>
        <w:tc>
          <w:tcPr>
            <w:tcW w:w="1098" w:type="pct"/>
            <w:tcBorders>
              <w:top w:val="single" w:sz="8" w:space="0" w:color="BABABA"/>
              <w:left w:val="single" w:sz="8" w:space="0" w:color="BABABA"/>
              <w:bottom w:val="single" w:sz="8" w:space="0" w:color="BABABA"/>
              <w:right w:val="single" w:sz="8" w:space="0" w:color="BABABA"/>
            </w:tcBorders>
            <w:hideMark/>
          </w:tcPr>
          <w:p w14:paraId="24D41D76" w14:textId="77777777" w:rsidR="00BA160A" w:rsidRPr="00722521" w:rsidRDefault="00BA160A" w:rsidP="00A903E6">
            <w:pPr>
              <w:pStyle w:val="TableParagraph"/>
              <w:mirrorIndents/>
              <w:rPr>
                <w:szCs w:val="17"/>
              </w:rPr>
            </w:pPr>
            <w:r w:rsidRPr="00722521">
              <w:rPr>
                <w:szCs w:val="17"/>
              </w:rPr>
              <w:t>Committee on consumer protection and financial innovation</w:t>
            </w:r>
          </w:p>
        </w:tc>
        <w:tc>
          <w:tcPr>
            <w:tcW w:w="665" w:type="pct"/>
            <w:tcBorders>
              <w:top w:val="single" w:sz="8" w:space="0" w:color="BABABA"/>
              <w:left w:val="single" w:sz="8" w:space="0" w:color="BABABA"/>
              <w:bottom w:val="single" w:sz="8" w:space="0" w:color="BABABA"/>
              <w:right w:val="single" w:sz="8" w:space="0" w:color="BABABA"/>
            </w:tcBorders>
          </w:tcPr>
          <w:p w14:paraId="6B66424E"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5C5ED92B" w14:textId="77777777" w:rsidR="00BA160A" w:rsidRPr="00722521" w:rsidRDefault="00BA160A" w:rsidP="00A903E6">
            <w:pPr>
              <w:pStyle w:val="TableParagraph"/>
              <w:mirrorIndents/>
              <w:rPr>
                <w:b/>
                <w:szCs w:val="17"/>
              </w:rPr>
            </w:pPr>
          </w:p>
        </w:tc>
        <w:tc>
          <w:tcPr>
            <w:tcW w:w="515" w:type="pct"/>
            <w:tcBorders>
              <w:top w:val="single" w:sz="8" w:space="0" w:color="BABABA"/>
              <w:left w:val="single" w:sz="8" w:space="0" w:color="BABABA"/>
              <w:bottom w:val="single" w:sz="8" w:space="0" w:color="BABABA"/>
              <w:right w:val="single" w:sz="8" w:space="0" w:color="BABABA"/>
            </w:tcBorders>
          </w:tcPr>
          <w:p w14:paraId="2824C75C" w14:textId="77777777" w:rsidR="00BA160A" w:rsidRPr="00722521" w:rsidRDefault="00BA160A" w:rsidP="00A903E6">
            <w:pPr>
              <w:pStyle w:val="TableParagraph"/>
              <w:mirrorIndents/>
              <w:rPr>
                <w:b/>
                <w:szCs w:val="17"/>
              </w:rPr>
            </w:pPr>
          </w:p>
        </w:tc>
        <w:tc>
          <w:tcPr>
            <w:tcW w:w="671" w:type="pct"/>
            <w:tcBorders>
              <w:top w:val="single" w:sz="8" w:space="0" w:color="BABABA"/>
              <w:left w:val="single" w:sz="8" w:space="0" w:color="BABABA"/>
              <w:bottom w:val="single" w:sz="8" w:space="0" w:color="BABABA"/>
              <w:right w:val="single" w:sz="8" w:space="0" w:color="BABABA"/>
            </w:tcBorders>
          </w:tcPr>
          <w:p w14:paraId="231899C7" w14:textId="43FE0C87" w:rsidR="00BA160A" w:rsidRPr="00722521" w:rsidRDefault="008D69CB" w:rsidP="00A903E6">
            <w:pPr>
              <w:pStyle w:val="TableParagraph"/>
              <w:mirrorIndents/>
              <w:rPr>
                <w:b/>
                <w:szCs w:val="17"/>
              </w:rPr>
            </w:pPr>
            <w:r w:rsidRPr="00722521">
              <w:rPr>
                <w:b/>
                <w:szCs w:val="17"/>
              </w:rPr>
              <w:t>x</w:t>
            </w:r>
          </w:p>
        </w:tc>
        <w:tc>
          <w:tcPr>
            <w:tcW w:w="680" w:type="pct"/>
            <w:tcBorders>
              <w:top w:val="single" w:sz="8" w:space="0" w:color="BABABA"/>
              <w:left w:val="single" w:sz="8" w:space="0" w:color="BABABA"/>
              <w:bottom w:val="single" w:sz="8" w:space="0" w:color="BABABA"/>
              <w:right w:val="single" w:sz="8" w:space="0" w:color="BABABA"/>
            </w:tcBorders>
          </w:tcPr>
          <w:p w14:paraId="3FDBAC54" w14:textId="77777777" w:rsidR="00BA160A" w:rsidRPr="00722521" w:rsidRDefault="00BA160A" w:rsidP="00A903E6">
            <w:pPr>
              <w:pStyle w:val="TableParagraph"/>
              <w:mirrorIndents/>
              <w:rPr>
                <w:b/>
                <w:szCs w:val="17"/>
              </w:rPr>
            </w:pPr>
          </w:p>
        </w:tc>
        <w:tc>
          <w:tcPr>
            <w:tcW w:w="682" w:type="pct"/>
            <w:tcBorders>
              <w:top w:val="single" w:sz="8" w:space="0" w:color="BABABA"/>
              <w:left w:val="single" w:sz="8" w:space="0" w:color="BABABA"/>
              <w:bottom w:val="single" w:sz="8" w:space="0" w:color="BABABA"/>
              <w:right w:val="single" w:sz="8" w:space="0" w:color="BABABA"/>
            </w:tcBorders>
          </w:tcPr>
          <w:p w14:paraId="533089BC" w14:textId="77777777" w:rsidR="00BA160A" w:rsidRPr="00722521" w:rsidRDefault="00BA160A" w:rsidP="00A903E6">
            <w:pPr>
              <w:pStyle w:val="TableParagraph"/>
              <w:mirrorIndents/>
              <w:rPr>
                <w:b/>
                <w:szCs w:val="17"/>
              </w:rPr>
            </w:pPr>
          </w:p>
        </w:tc>
      </w:tr>
      <w:tr w:rsidR="00D841A8" w:rsidRPr="00722521" w14:paraId="71D9E1CF" w14:textId="77777777" w:rsidTr="00D841A8">
        <w:trPr>
          <w:trHeight w:hRule="exact" w:val="787"/>
        </w:trPr>
        <w:tc>
          <w:tcPr>
            <w:tcW w:w="1098" w:type="pct"/>
            <w:tcBorders>
              <w:top w:val="single" w:sz="8" w:space="0" w:color="BABABA"/>
              <w:left w:val="single" w:sz="8" w:space="0" w:color="BABABA"/>
              <w:bottom w:val="single" w:sz="8" w:space="0" w:color="BABABA"/>
              <w:right w:val="single" w:sz="8" w:space="0" w:color="BABABA"/>
            </w:tcBorders>
          </w:tcPr>
          <w:p w14:paraId="6822AA03" w14:textId="062CAD47" w:rsidR="00D841A8" w:rsidRPr="00722521" w:rsidRDefault="00D841A8" w:rsidP="00A903E6">
            <w:pPr>
              <w:pStyle w:val="TableParagraph"/>
              <w:mirrorIndents/>
              <w:rPr>
                <w:szCs w:val="17"/>
              </w:rPr>
            </w:pPr>
            <w:r w:rsidRPr="00722521">
              <w:rPr>
                <w:szCs w:val="17"/>
              </w:rPr>
              <w:t>Proportionality Committee</w:t>
            </w:r>
          </w:p>
        </w:tc>
        <w:tc>
          <w:tcPr>
            <w:tcW w:w="665" w:type="pct"/>
            <w:tcBorders>
              <w:top w:val="single" w:sz="8" w:space="0" w:color="BABABA"/>
              <w:left w:val="single" w:sz="8" w:space="0" w:color="BABABA"/>
              <w:bottom w:val="single" w:sz="8" w:space="0" w:color="BABABA"/>
              <w:right w:val="single" w:sz="8" w:space="0" w:color="BABABA"/>
            </w:tcBorders>
          </w:tcPr>
          <w:p w14:paraId="14E11108" w14:textId="77777777" w:rsidR="00D841A8" w:rsidRPr="00722521" w:rsidRDefault="00D841A8"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19570E84" w14:textId="77777777" w:rsidR="00D841A8" w:rsidRPr="00722521" w:rsidRDefault="00D841A8" w:rsidP="00A903E6">
            <w:pPr>
              <w:pStyle w:val="TableParagraph"/>
              <w:mirrorIndents/>
              <w:rPr>
                <w:b/>
                <w:szCs w:val="17"/>
              </w:rPr>
            </w:pPr>
          </w:p>
        </w:tc>
        <w:tc>
          <w:tcPr>
            <w:tcW w:w="515" w:type="pct"/>
            <w:tcBorders>
              <w:top w:val="single" w:sz="8" w:space="0" w:color="BABABA"/>
              <w:left w:val="single" w:sz="8" w:space="0" w:color="BABABA"/>
              <w:bottom w:val="single" w:sz="8" w:space="0" w:color="BABABA"/>
              <w:right w:val="single" w:sz="8" w:space="0" w:color="BABABA"/>
            </w:tcBorders>
          </w:tcPr>
          <w:p w14:paraId="3BD490AE" w14:textId="77777777" w:rsidR="00D841A8" w:rsidRPr="00722521" w:rsidRDefault="00D841A8" w:rsidP="00A903E6">
            <w:pPr>
              <w:pStyle w:val="TableParagraph"/>
              <w:mirrorIndents/>
              <w:rPr>
                <w:b/>
                <w:szCs w:val="17"/>
              </w:rPr>
            </w:pPr>
          </w:p>
        </w:tc>
        <w:tc>
          <w:tcPr>
            <w:tcW w:w="671" w:type="pct"/>
            <w:tcBorders>
              <w:top w:val="single" w:sz="8" w:space="0" w:color="BABABA"/>
              <w:left w:val="single" w:sz="8" w:space="0" w:color="BABABA"/>
              <w:bottom w:val="single" w:sz="8" w:space="0" w:color="BABABA"/>
              <w:right w:val="single" w:sz="8" w:space="0" w:color="BABABA"/>
            </w:tcBorders>
          </w:tcPr>
          <w:p w14:paraId="64BF3BED" w14:textId="75E35763" w:rsidR="00D841A8" w:rsidRPr="00722521" w:rsidRDefault="008D69CB" w:rsidP="00A903E6">
            <w:pPr>
              <w:pStyle w:val="TableParagraph"/>
              <w:mirrorIndents/>
              <w:rPr>
                <w:b/>
                <w:szCs w:val="17"/>
              </w:rPr>
            </w:pPr>
            <w:r w:rsidRPr="00722521">
              <w:rPr>
                <w:b/>
                <w:szCs w:val="17"/>
              </w:rPr>
              <w:t>x</w:t>
            </w:r>
          </w:p>
        </w:tc>
        <w:tc>
          <w:tcPr>
            <w:tcW w:w="680" w:type="pct"/>
            <w:tcBorders>
              <w:top w:val="single" w:sz="8" w:space="0" w:color="BABABA"/>
              <w:left w:val="single" w:sz="8" w:space="0" w:color="BABABA"/>
              <w:bottom w:val="single" w:sz="8" w:space="0" w:color="BABABA"/>
              <w:right w:val="single" w:sz="8" w:space="0" w:color="BABABA"/>
            </w:tcBorders>
          </w:tcPr>
          <w:p w14:paraId="176ACF56" w14:textId="77777777" w:rsidR="00D841A8" w:rsidRPr="00722521" w:rsidRDefault="00D841A8" w:rsidP="00A903E6">
            <w:pPr>
              <w:pStyle w:val="TableParagraph"/>
              <w:mirrorIndents/>
              <w:rPr>
                <w:b/>
                <w:szCs w:val="17"/>
              </w:rPr>
            </w:pPr>
          </w:p>
        </w:tc>
        <w:tc>
          <w:tcPr>
            <w:tcW w:w="682" w:type="pct"/>
            <w:tcBorders>
              <w:top w:val="single" w:sz="8" w:space="0" w:color="BABABA"/>
              <w:left w:val="single" w:sz="8" w:space="0" w:color="BABABA"/>
              <w:bottom w:val="single" w:sz="8" w:space="0" w:color="BABABA"/>
              <w:right w:val="single" w:sz="8" w:space="0" w:color="BABABA"/>
            </w:tcBorders>
          </w:tcPr>
          <w:p w14:paraId="77A0E0B8" w14:textId="77777777" w:rsidR="00D841A8" w:rsidRPr="00722521" w:rsidRDefault="00D841A8" w:rsidP="00A903E6">
            <w:pPr>
              <w:pStyle w:val="TableParagraph"/>
              <w:mirrorIndents/>
              <w:rPr>
                <w:b/>
                <w:szCs w:val="17"/>
              </w:rPr>
            </w:pPr>
          </w:p>
        </w:tc>
      </w:tr>
    </w:tbl>
    <w:p w14:paraId="1E06D7D5" w14:textId="3EC1D270" w:rsidR="00BA160A" w:rsidRPr="00722521" w:rsidRDefault="00BA160A" w:rsidP="00A903E6">
      <w:pPr>
        <w:pStyle w:val="Textkrper"/>
        <w:mirrorIndents/>
        <w:rPr>
          <w:rFonts w:ascii="Verdana" w:hAnsi="Verdana"/>
          <w:sz w:val="17"/>
          <w:szCs w:val="17"/>
        </w:rPr>
      </w:pPr>
    </w:p>
    <w:p w14:paraId="0792BDD4" w14:textId="77777777" w:rsidR="00BA160A" w:rsidRPr="00722521" w:rsidRDefault="00BA160A" w:rsidP="00A903E6">
      <w:pPr>
        <w:pStyle w:val="Textkrper"/>
        <w:mirrorIndents/>
        <w:rPr>
          <w:rFonts w:ascii="Verdana" w:hAnsi="Verdana"/>
          <w:sz w:val="17"/>
          <w:szCs w:val="17"/>
        </w:rPr>
      </w:pPr>
    </w:p>
    <w:p w14:paraId="23893161" w14:textId="6ADFCD6D"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If you identify any shortcomings for EIOPA please specify how these could be addressed:</w:t>
      </w:r>
    </w:p>
    <w:p w14:paraId="6811BE0C" w14:textId="2EA0207C" w:rsidR="00BA160A" w:rsidRPr="00722521" w:rsidRDefault="00BA160A" w:rsidP="00A903E6">
      <w:pPr>
        <w:mirrorIndents/>
        <w:rPr>
          <w:sz w:val="17"/>
          <w:szCs w:val="17"/>
        </w:rPr>
      </w:pPr>
    </w:p>
    <w:p w14:paraId="4A145130" w14:textId="3A339130" w:rsidR="008D69CB" w:rsidRPr="00722521" w:rsidRDefault="00722521" w:rsidP="008D69CB">
      <w:pPr>
        <w:mirrorIndents/>
        <w:rPr>
          <w:sz w:val="17"/>
          <w:szCs w:val="17"/>
        </w:rPr>
      </w:pPr>
      <w:r>
        <w:rPr>
          <w:sz w:val="17"/>
          <w:szCs w:val="17"/>
        </w:rPr>
        <w:t>VVO</w:t>
      </w:r>
      <w:r w:rsidR="00ED61BB" w:rsidRPr="00722521">
        <w:rPr>
          <w:sz w:val="17"/>
          <w:szCs w:val="17"/>
        </w:rPr>
        <w:t xml:space="preserve"> </w:t>
      </w:r>
      <w:r w:rsidR="008D69CB" w:rsidRPr="00722521">
        <w:rPr>
          <w:sz w:val="17"/>
          <w:szCs w:val="17"/>
        </w:rPr>
        <w:t xml:space="preserve">considers the standing structures of EIOPA to have the most impact on its day-to-day work. The specific committees and working bodies seem to provide </w:t>
      </w:r>
      <w:r w:rsidR="00685564" w:rsidRPr="00722521">
        <w:rPr>
          <w:sz w:val="17"/>
          <w:szCs w:val="17"/>
        </w:rPr>
        <w:t>some</w:t>
      </w:r>
      <w:r w:rsidR="008D69CB" w:rsidRPr="00722521">
        <w:rPr>
          <w:sz w:val="17"/>
          <w:szCs w:val="17"/>
        </w:rPr>
        <w:t xml:space="preserve"> additional value, particularly where specific aspects or tasks have to be fulfilled, </w:t>
      </w:r>
      <w:proofErr w:type="spellStart"/>
      <w:r w:rsidR="008D69CB" w:rsidRPr="00722521">
        <w:rPr>
          <w:sz w:val="17"/>
          <w:szCs w:val="17"/>
        </w:rPr>
        <w:t>eg</w:t>
      </w:r>
      <w:proofErr w:type="spellEnd"/>
      <w:r w:rsidR="008D69CB" w:rsidRPr="00722521">
        <w:rPr>
          <w:sz w:val="17"/>
          <w:szCs w:val="17"/>
        </w:rPr>
        <w:t xml:space="preserve"> on regulatory reviews. </w:t>
      </w:r>
      <w:r w:rsidR="00685564" w:rsidRPr="00722521">
        <w:rPr>
          <w:sz w:val="17"/>
          <w:szCs w:val="17"/>
        </w:rPr>
        <w:t xml:space="preserve">However, objectives of those committees should be well prioritized. </w:t>
      </w:r>
    </w:p>
    <w:p w14:paraId="087B6C4B" w14:textId="77777777" w:rsidR="008D69CB" w:rsidRPr="00722521" w:rsidRDefault="008D69CB" w:rsidP="008D69CB">
      <w:pPr>
        <w:mirrorIndents/>
        <w:rPr>
          <w:sz w:val="17"/>
          <w:szCs w:val="17"/>
        </w:rPr>
      </w:pPr>
    </w:p>
    <w:p w14:paraId="01F62229" w14:textId="612252A5" w:rsidR="008D69CB" w:rsidRPr="00722521" w:rsidRDefault="008D69CB" w:rsidP="008D69CB">
      <w:pPr>
        <w:mirrorIndents/>
        <w:rPr>
          <w:sz w:val="17"/>
          <w:szCs w:val="17"/>
          <w:highlight w:val="yellow"/>
        </w:rPr>
      </w:pPr>
      <w:r w:rsidRPr="00722521">
        <w:rPr>
          <w:sz w:val="17"/>
          <w:szCs w:val="17"/>
        </w:rPr>
        <w:t xml:space="preserve">With regards to the Consumer Protection and Financial Innovation Committee, </w:t>
      </w:r>
      <w:r w:rsidR="00722521">
        <w:rPr>
          <w:sz w:val="17"/>
          <w:szCs w:val="17"/>
        </w:rPr>
        <w:t>VVO</w:t>
      </w:r>
      <w:r w:rsidRPr="00722521">
        <w:rPr>
          <w:sz w:val="17"/>
          <w:szCs w:val="17"/>
        </w:rPr>
        <w:t xml:space="preserve"> believes that </w:t>
      </w:r>
      <w:r w:rsidR="00ED61BB" w:rsidRPr="00722521">
        <w:rPr>
          <w:sz w:val="17"/>
          <w:szCs w:val="17"/>
        </w:rPr>
        <w:t>these</w:t>
      </w:r>
      <w:r w:rsidRPr="00722521">
        <w:rPr>
          <w:sz w:val="17"/>
          <w:szCs w:val="17"/>
        </w:rPr>
        <w:t xml:space="preserve"> can play an important role in facilitating an EU-wide and consistent approach</w:t>
      </w:r>
      <w:r w:rsidR="00685564" w:rsidRPr="00722521">
        <w:rPr>
          <w:sz w:val="17"/>
          <w:szCs w:val="17"/>
        </w:rPr>
        <w:t xml:space="preserve"> if those objectives are clearly defined</w:t>
      </w:r>
      <w:r w:rsidRPr="00722521">
        <w:rPr>
          <w:sz w:val="17"/>
          <w:szCs w:val="17"/>
        </w:rPr>
        <w:t xml:space="preserve">. Also, EIOPA’s consumer trends report </w:t>
      </w:r>
      <w:r w:rsidR="00ED61BB" w:rsidRPr="00722521">
        <w:rPr>
          <w:sz w:val="17"/>
          <w:szCs w:val="17"/>
        </w:rPr>
        <w:t>is</w:t>
      </w:r>
      <w:r w:rsidRPr="00722521">
        <w:rPr>
          <w:sz w:val="17"/>
          <w:szCs w:val="17"/>
        </w:rPr>
        <w:t xml:space="preserve"> a valuable assessment and benchmarking exercise for a consistent supervision across the Unio</w:t>
      </w:r>
      <w:r w:rsidR="00ED61BB" w:rsidRPr="00722521">
        <w:rPr>
          <w:sz w:val="17"/>
          <w:szCs w:val="17"/>
        </w:rPr>
        <w:t>n</w:t>
      </w:r>
      <w:r w:rsidRPr="00722521">
        <w:rPr>
          <w:sz w:val="17"/>
          <w:szCs w:val="17"/>
        </w:rPr>
        <w:t xml:space="preserve">. Particularly on Financial Innovation, </w:t>
      </w:r>
      <w:r w:rsidR="00722521">
        <w:rPr>
          <w:sz w:val="17"/>
          <w:szCs w:val="17"/>
        </w:rPr>
        <w:t>VVO</w:t>
      </w:r>
      <w:r w:rsidRPr="00722521">
        <w:rPr>
          <w:sz w:val="17"/>
          <w:szCs w:val="17"/>
        </w:rPr>
        <w:t xml:space="preserve"> considers EIOPA’s work to be important. The ongoing consultation on Open Insurance, for example, can help identifying measures to facilitate and regulate the insurance market of the future. </w:t>
      </w:r>
    </w:p>
    <w:p w14:paraId="5A89391D" w14:textId="77777777" w:rsidR="008D69CB" w:rsidRPr="00722521" w:rsidRDefault="008D69CB" w:rsidP="008D69CB">
      <w:pPr>
        <w:mirrorIndents/>
        <w:rPr>
          <w:sz w:val="17"/>
          <w:szCs w:val="17"/>
        </w:rPr>
      </w:pPr>
    </w:p>
    <w:p w14:paraId="5D60EC8C" w14:textId="5639A105" w:rsidR="008D69CB" w:rsidRPr="00722521" w:rsidRDefault="008D69CB" w:rsidP="008D69CB">
      <w:pPr>
        <w:mirrorIndents/>
        <w:rPr>
          <w:sz w:val="17"/>
          <w:szCs w:val="17"/>
        </w:rPr>
      </w:pPr>
      <w:r w:rsidRPr="00722521">
        <w:rPr>
          <w:sz w:val="17"/>
          <w:szCs w:val="17"/>
        </w:rPr>
        <w:t xml:space="preserve">With regards to </w:t>
      </w:r>
      <w:r w:rsidR="00ED61BB" w:rsidRPr="00722521">
        <w:rPr>
          <w:sz w:val="17"/>
          <w:szCs w:val="17"/>
        </w:rPr>
        <w:t>the Advisory Committee on Proportionality (ACP</w:t>
      </w:r>
      <w:proofErr w:type="gramStart"/>
      <w:r w:rsidR="00ED61BB" w:rsidRPr="00722521">
        <w:rPr>
          <w:sz w:val="17"/>
          <w:szCs w:val="17"/>
        </w:rPr>
        <w:t xml:space="preserve">), </w:t>
      </w:r>
      <w:r w:rsidRPr="00722521">
        <w:rPr>
          <w:sz w:val="17"/>
          <w:szCs w:val="17"/>
        </w:rPr>
        <w:t xml:space="preserve"> </w:t>
      </w:r>
      <w:r w:rsidR="00722521">
        <w:rPr>
          <w:sz w:val="17"/>
          <w:szCs w:val="17"/>
        </w:rPr>
        <w:t>VVO</w:t>
      </w:r>
      <w:proofErr w:type="gramEnd"/>
      <w:r w:rsidR="00ED61BB" w:rsidRPr="00722521">
        <w:rPr>
          <w:sz w:val="17"/>
          <w:szCs w:val="17"/>
        </w:rPr>
        <w:t xml:space="preserve"> believes that it can have a crucial</w:t>
      </w:r>
      <w:r w:rsidRPr="00722521">
        <w:rPr>
          <w:sz w:val="17"/>
          <w:szCs w:val="17"/>
        </w:rPr>
        <w:t xml:space="preserve"> impact on EIOPA’s/N</w:t>
      </w:r>
      <w:r w:rsidR="00ED61BB" w:rsidRPr="00722521">
        <w:rPr>
          <w:sz w:val="17"/>
          <w:szCs w:val="17"/>
        </w:rPr>
        <w:t>S</w:t>
      </w:r>
      <w:r w:rsidRPr="00722521">
        <w:rPr>
          <w:sz w:val="17"/>
          <w:szCs w:val="17"/>
        </w:rPr>
        <w:t xml:space="preserve">A’s proportionate application of </w:t>
      </w:r>
      <w:r w:rsidR="00ED61BB" w:rsidRPr="00722521">
        <w:rPr>
          <w:sz w:val="17"/>
          <w:szCs w:val="17"/>
        </w:rPr>
        <w:t>all pieces of regulation</w:t>
      </w:r>
      <w:r w:rsidRPr="00722521">
        <w:rPr>
          <w:sz w:val="17"/>
          <w:szCs w:val="17"/>
        </w:rPr>
        <w:t xml:space="preserve"> and</w:t>
      </w:r>
      <w:r w:rsidR="00ED61BB" w:rsidRPr="00722521">
        <w:rPr>
          <w:sz w:val="17"/>
          <w:szCs w:val="17"/>
        </w:rPr>
        <w:t xml:space="preserve"> on</w:t>
      </w:r>
      <w:r w:rsidRPr="00722521">
        <w:rPr>
          <w:sz w:val="17"/>
          <w:szCs w:val="17"/>
        </w:rPr>
        <w:t xml:space="preserve"> supervisory policy in the future. Based on </w:t>
      </w:r>
      <w:r w:rsidR="00ED61BB" w:rsidRPr="00722521">
        <w:rPr>
          <w:sz w:val="17"/>
          <w:szCs w:val="17"/>
        </w:rPr>
        <w:t>developments in the ongoing review of</w:t>
      </w:r>
      <w:r w:rsidRPr="00722521">
        <w:rPr>
          <w:sz w:val="17"/>
          <w:szCs w:val="17"/>
        </w:rPr>
        <w:t xml:space="preserve"> Solvency II, </w:t>
      </w:r>
      <w:r w:rsidR="00722521">
        <w:rPr>
          <w:sz w:val="17"/>
          <w:szCs w:val="17"/>
        </w:rPr>
        <w:t>VVO</w:t>
      </w:r>
      <w:r w:rsidRPr="00722521">
        <w:rPr>
          <w:sz w:val="17"/>
          <w:szCs w:val="17"/>
        </w:rPr>
        <w:t xml:space="preserve"> believes that the </w:t>
      </w:r>
      <w:r w:rsidR="00ED61BB" w:rsidRPr="00722521">
        <w:rPr>
          <w:sz w:val="17"/>
          <w:szCs w:val="17"/>
        </w:rPr>
        <w:t>ACP</w:t>
      </w:r>
      <w:r w:rsidRPr="00722521">
        <w:rPr>
          <w:sz w:val="17"/>
          <w:szCs w:val="17"/>
        </w:rPr>
        <w:t xml:space="preserve"> </w:t>
      </w:r>
      <w:r w:rsidR="00ED61BB" w:rsidRPr="00722521">
        <w:rPr>
          <w:sz w:val="17"/>
          <w:szCs w:val="17"/>
        </w:rPr>
        <w:t>will</w:t>
      </w:r>
      <w:r w:rsidRPr="00722521">
        <w:rPr>
          <w:sz w:val="17"/>
          <w:szCs w:val="17"/>
        </w:rPr>
        <w:t xml:space="preserve"> take a leading role to </w:t>
      </w:r>
      <w:r w:rsidR="00ED61BB" w:rsidRPr="00722521">
        <w:rPr>
          <w:sz w:val="17"/>
          <w:szCs w:val="17"/>
        </w:rPr>
        <w:t>enhance</w:t>
      </w:r>
      <w:r w:rsidRPr="00722521">
        <w:rPr>
          <w:sz w:val="17"/>
          <w:szCs w:val="17"/>
        </w:rPr>
        <w:t xml:space="preserve"> the proportionate application of regulation and supervisory policy </w:t>
      </w:r>
      <w:r w:rsidR="00ED61BB" w:rsidRPr="00722521">
        <w:rPr>
          <w:sz w:val="17"/>
          <w:szCs w:val="17"/>
        </w:rPr>
        <w:t xml:space="preserve">as provided in the EU Treaty </w:t>
      </w:r>
      <w:r w:rsidRPr="00722521">
        <w:rPr>
          <w:sz w:val="17"/>
          <w:szCs w:val="17"/>
        </w:rPr>
        <w:t>more consistently rather than leaving it to N</w:t>
      </w:r>
      <w:r w:rsidR="00ED61BB" w:rsidRPr="00722521">
        <w:rPr>
          <w:sz w:val="17"/>
          <w:szCs w:val="17"/>
        </w:rPr>
        <w:t>S</w:t>
      </w:r>
      <w:r w:rsidRPr="00722521">
        <w:rPr>
          <w:sz w:val="17"/>
          <w:szCs w:val="17"/>
        </w:rPr>
        <w:t>As.</w:t>
      </w:r>
      <w:r w:rsidR="00ED61BB" w:rsidRPr="00722521">
        <w:rPr>
          <w:sz w:val="17"/>
          <w:szCs w:val="17"/>
        </w:rPr>
        <w:t xml:space="preserve"> The annual report on proportionality that EIOPA has yet to develop (as an extension of the scope of the report on exemptions and limitations of reporting) should be a valuable tool in this respect.</w:t>
      </w:r>
    </w:p>
    <w:p w14:paraId="500AF6AF" w14:textId="49D5AC8A" w:rsidR="00D841A8" w:rsidRPr="00722521" w:rsidRDefault="00D841A8" w:rsidP="00A903E6">
      <w:pPr>
        <w:mirrorIndents/>
        <w:rPr>
          <w:sz w:val="17"/>
          <w:szCs w:val="17"/>
        </w:rPr>
      </w:pPr>
    </w:p>
    <w:p w14:paraId="25490ED7" w14:textId="77777777" w:rsidR="00D841A8" w:rsidRPr="00722521" w:rsidRDefault="00D841A8" w:rsidP="00A903E6">
      <w:pPr>
        <w:mirrorIndents/>
        <w:rPr>
          <w:sz w:val="17"/>
          <w:szCs w:val="17"/>
        </w:rPr>
      </w:pPr>
    </w:p>
    <w:p w14:paraId="36599EE8" w14:textId="77777777" w:rsidR="001A1012" w:rsidRPr="00722521" w:rsidRDefault="00BA160A" w:rsidP="001A1012">
      <w:pPr>
        <w:pStyle w:val="Listenabsatz"/>
        <w:numPr>
          <w:ilvl w:val="1"/>
          <w:numId w:val="14"/>
        </w:numPr>
        <w:tabs>
          <w:tab w:val="left" w:pos="566"/>
        </w:tabs>
        <w:ind w:left="232" w:hanging="450"/>
        <w:mirrorIndents/>
        <w:rPr>
          <w:rFonts w:ascii="Verdana" w:hAnsi="Verdana"/>
          <w:b/>
          <w:szCs w:val="17"/>
        </w:rPr>
      </w:pPr>
      <w:r w:rsidRPr="00722521">
        <w:rPr>
          <w:rFonts w:ascii="Verdana" w:hAnsi="Verdana"/>
          <w:b/>
          <w:szCs w:val="17"/>
        </w:rPr>
        <w:t>Financing and resources</w:t>
      </w:r>
    </w:p>
    <w:p w14:paraId="763BEAEF" w14:textId="77777777" w:rsidR="001A1012" w:rsidRPr="00722521" w:rsidRDefault="001A1012" w:rsidP="001A1012">
      <w:pPr>
        <w:tabs>
          <w:tab w:val="left" w:pos="566"/>
        </w:tabs>
        <w:ind w:left="-218"/>
        <w:mirrorIndents/>
        <w:rPr>
          <w:szCs w:val="17"/>
        </w:rPr>
      </w:pPr>
    </w:p>
    <w:p w14:paraId="4B12CE4B" w14:textId="27F4D27E" w:rsidR="00BA160A" w:rsidRPr="00722521" w:rsidRDefault="00BA160A" w:rsidP="001A1012">
      <w:pPr>
        <w:tabs>
          <w:tab w:val="left" w:pos="566"/>
        </w:tabs>
        <w:mirrorIndents/>
        <w:rPr>
          <w:b/>
          <w:bCs/>
          <w:sz w:val="17"/>
          <w:szCs w:val="17"/>
        </w:rPr>
      </w:pPr>
      <w:r w:rsidRPr="00722521">
        <w:rPr>
          <w:b/>
          <w:sz w:val="17"/>
          <w:szCs w:val="17"/>
          <w:highlight w:val="lightGray"/>
        </w:rPr>
        <w:t xml:space="preserve">Question 2.3.1 Do you consider the provisions on financing and resources for the </w:t>
      </w:r>
      <w:r w:rsidRPr="00722521">
        <w:rPr>
          <w:b/>
          <w:spacing w:val="2"/>
          <w:sz w:val="17"/>
          <w:szCs w:val="17"/>
          <w:highlight w:val="lightGray"/>
        </w:rPr>
        <w:t xml:space="preserve">general activities </w:t>
      </w:r>
      <w:r w:rsidRPr="00722521">
        <w:rPr>
          <w:b/>
          <w:sz w:val="17"/>
          <w:szCs w:val="17"/>
          <w:highlight w:val="lightGray"/>
        </w:rPr>
        <w:t xml:space="preserve">of the </w:t>
      </w:r>
      <w:r w:rsidRPr="00722521">
        <w:rPr>
          <w:b/>
          <w:spacing w:val="2"/>
          <w:sz w:val="17"/>
          <w:szCs w:val="17"/>
          <w:highlight w:val="lightGray"/>
        </w:rPr>
        <w:t xml:space="preserve">ESAs appropriate </w:t>
      </w:r>
      <w:r w:rsidRPr="00722521">
        <w:rPr>
          <w:b/>
          <w:sz w:val="17"/>
          <w:szCs w:val="17"/>
          <w:highlight w:val="lightGray"/>
        </w:rPr>
        <w:t xml:space="preserve">to </w:t>
      </w:r>
      <w:r w:rsidRPr="00722521">
        <w:rPr>
          <w:b/>
          <w:spacing w:val="2"/>
          <w:sz w:val="17"/>
          <w:szCs w:val="17"/>
          <w:highlight w:val="lightGray"/>
        </w:rPr>
        <w:t xml:space="preserve">ensure sufficiently </w:t>
      </w:r>
      <w:r w:rsidRPr="00722521">
        <w:rPr>
          <w:b/>
          <w:sz w:val="17"/>
          <w:szCs w:val="17"/>
          <w:highlight w:val="lightGray"/>
        </w:rPr>
        <w:t>funded and well-staffed ESAs taking into account budgetary constraints at both EU level and the level of Member States?</w:t>
      </w:r>
    </w:p>
    <w:p w14:paraId="0649783C" w14:textId="277E1D3E" w:rsidR="00D841A8" w:rsidRPr="00722521" w:rsidRDefault="00BA160A" w:rsidP="00D841A8">
      <w:pPr>
        <w:pStyle w:val="CEABullet-Level1"/>
        <w:rPr>
          <w:color w:val="auto"/>
          <w:highlight w:val="lightGray"/>
        </w:rPr>
      </w:pPr>
      <w:r w:rsidRPr="00722521">
        <w:rPr>
          <w:color w:val="auto"/>
          <w:highlight w:val="lightGray"/>
        </w:rPr>
        <w:t xml:space="preserve">Yes </w:t>
      </w:r>
    </w:p>
    <w:p w14:paraId="2B810271" w14:textId="6C294503" w:rsidR="00BA160A" w:rsidRPr="00722521" w:rsidRDefault="00BA160A" w:rsidP="00D841A8">
      <w:pPr>
        <w:pStyle w:val="CEABullet-Level1"/>
        <w:rPr>
          <w:color w:val="auto"/>
          <w:highlight w:val="lightGray"/>
        </w:rPr>
      </w:pPr>
      <w:r w:rsidRPr="00722521">
        <w:rPr>
          <w:color w:val="auto"/>
          <w:highlight w:val="lightGray"/>
        </w:rPr>
        <w:t>No</w:t>
      </w:r>
    </w:p>
    <w:p w14:paraId="4C100B3D" w14:textId="77777777" w:rsidR="001A1012" w:rsidRPr="00722521" w:rsidRDefault="00BA160A" w:rsidP="001A1012">
      <w:pPr>
        <w:pStyle w:val="CEABullet-Level1"/>
        <w:rPr>
          <w:color w:val="auto"/>
          <w:highlight w:val="lightGray"/>
        </w:rPr>
      </w:pPr>
      <w:r w:rsidRPr="00722521">
        <w:rPr>
          <w:color w:val="auto"/>
          <w:highlight w:val="lightGray"/>
        </w:rPr>
        <w:t>Don’t know / no opinion / not relevant</w:t>
      </w:r>
    </w:p>
    <w:p w14:paraId="055409C4" w14:textId="31EC0628" w:rsidR="001A1012" w:rsidRPr="00722521" w:rsidRDefault="001A1012" w:rsidP="001A1012">
      <w:pPr>
        <w:pStyle w:val="Textkrper"/>
        <w:ind w:left="0"/>
        <w:mirrorIndents/>
        <w:rPr>
          <w:rFonts w:ascii="Verdana" w:hAnsi="Verdana"/>
          <w:b w:val="0"/>
          <w:bCs w:val="0"/>
          <w:sz w:val="17"/>
          <w:szCs w:val="17"/>
        </w:rPr>
      </w:pPr>
    </w:p>
    <w:p w14:paraId="46B4EE65" w14:textId="5218A619" w:rsidR="000C4776" w:rsidRPr="00722521" w:rsidRDefault="000C4776" w:rsidP="001A1012">
      <w:pPr>
        <w:pStyle w:val="Textkrper"/>
        <w:ind w:left="0"/>
        <w:mirrorIndents/>
        <w:rPr>
          <w:rFonts w:ascii="Verdana" w:hAnsi="Verdana"/>
          <w:b w:val="0"/>
          <w:bCs w:val="0"/>
          <w:sz w:val="17"/>
          <w:szCs w:val="17"/>
        </w:rPr>
      </w:pPr>
      <w:r w:rsidRPr="00722521">
        <w:rPr>
          <w:rFonts w:ascii="Verdana" w:hAnsi="Verdana"/>
          <w:b w:val="0"/>
          <w:bCs w:val="0"/>
          <w:sz w:val="17"/>
          <w:szCs w:val="17"/>
        </w:rPr>
        <w:t>Yes</w:t>
      </w:r>
    </w:p>
    <w:p w14:paraId="16A8DCCF" w14:textId="77777777" w:rsidR="000C4776" w:rsidRPr="00722521" w:rsidRDefault="000C4776" w:rsidP="001A1012">
      <w:pPr>
        <w:pStyle w:val="Textkrper"/>
        <w:ind w:left="0"/>
        <w:mirrorIndents/>
        <w:rPr>
          <w:rFonts w:ascii="Verdana" w:hAnsi="Verdana"/>
          <w:b w:val="0"/>
          <w:bCs w:val="0"/>
          <w:sz w:val="17"/>
          <w:szCs w:val="17"/>
        </w:rPr>
      </w:pPr>
    </w:p>
    <w:p w14:paraId="060256D2" w14:textId="3D3069B5"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2.3.1:</w:t>
      </w:r>
    </w:p>
    <w:p w14:paraId="483C43A4" w14:textId="33C5DDF5" w:rsidR="00BA160A" w:rsidRPr="00722521" w:rsidRDefault="00BA160A" w:rsidP="00A903E6">
      <w:pPr>
        <w:mirrorIndents/>
        <w:rPr>
          <w:sz w:val="17"/>
          <w:szCs w:val="17"/>
        </w:rPr>
      </w:pPr>
    </w:p>
    <w:p w14:paraId="0FBB237B" w14:textId="77777777" w:rsidR="008D69CB" w:rsidRPr="00722521" w:rsidRDefault="008D69CB" w:rsidP="008D69CB">
      <w:pPr>
        <w:mirrorIndents/>
        <w:rPr>
          <w:sz w:val="17"/>
          <w:szCs w:val="17"/>
        </w:rPr>
      </w:pPr>
      <w:r w:rsidRPr="00722521">
        <w:rPr>
          <w:sz w:val="17"/>
          <w:szCs w:val="17"/>
        </w:rPr>
        <w:t>Funding and financing arrangements are core subjects where a differentiated approach between the different ESAs is indispensable and needs to be maintained. The major differences stem from the direct mandate and the consequent direct income generated by ESMA in comparison to EIOPA.</w:t>
      </w:r>
    </w:p>
    <w:p w14:paraId="194CF1F7" w14:textId="77777777" w:rsidR="008D69CB" w:rsidRPr="00722521" w:rsidRDefault="008D69CB" w:rsidP="008D69CB">
      <w:pPr>
        <w:mirrorIndents/>
        <w:rPr>
          <w:sz w:val="17"/>
          <w:szCs w:val="17"/>
        </w:rPr>
      </w:pPr>
    </w:p>
    <w:p w14:paraId="37EB40C3" w14:textId="7D605513" w:rsidR="008D69CB" w:rsidRPr="00722521" w:rsidRDefault="008D69CB" w:rsidP="008D69CB">
      <w:pPr>
        <w:mirrorIndents/>
        <w:rPr>
          <w:sz w:val="17"/>
          <w:szCs w:val="17"/>
        </w:rPr>
      </w:pPr>
      <w:r w:rsidRPr="00722521">
        <w:rPr>
          <w:sz w:val="17"/>
          <w:szCs w:val="17"/>
        </w:rPr>
        <w:t>For EIOPA, where no directly attributed charges can be assigned, it is important that any contribution, in addition to the contribution from the Union budget, is channelled through N</w:t>
      </w:r>
      <w:r w:rsidR="00EF467B" w:rsidRPr="00722521">
        <w:rPr>
          <w:sz w:val="17"/>
          <w:szCs w:val="17"/>
        </w:rPr>
        <w:t>S</w:t>
      </w:r>
      <w:r w:rsidRPr="00722521">
        <w:rPr>
          <w:sz w:val="17"/>
          <w:szCs w:val="17"/>
        </w:rPr>
        <w:t>As. This immediate approach is an important safeguard to ensure that there is no double-counting and no overlap in funding the same activity being carried-out by EIOPA and N</w:t>
      </w:r>
      <w:r w:rsidR="00EF467B" w:rsidRPr="00722521">
        <w:rPr>
          <w:sz w:val="17"/>
          <w:szCs w:val="17"/>
        </w:rPr>
        <w:t>S</w:t>
      </w:r>
      <w:r w:rsidRPr="00722521">
        <w:rPr>
          <w:sz w:val="17"/>
          <w:szCs w:val="17"/>
        </w:rPr>
        <w:t xml:space="preserve">As. </w:t>
      </w:r>
      <w:r w:rsidR="00EF467B" w:rsidRPr="00722521">
        <w:rPr>
          <w:sz w:val="17"/>
          <w:szCs w:val="17"/>
        </w:rPr>
        <w:t>NSAs are generally largely</w:t>
      </w:r>
      <w:r w:rsidRPr="00722521">
        <w:rPr>
          <w:sz w:val="17"/>
          <w:szCs w:val="17"/>
        </w:rPr>
        <w:t xml:space="preserve"> industry funded</w:t>
      </w:r>
      <w:r w:rsidR="00EF467B" w:rsidRPr="00722521">
        <w:rPr>
          <w:sz w:val="17"/>
          <w:szCs w:val="17"/>
        </w:rPr>
        <w:t xml:space="preserve">, and </w:t>
      </w:r>
      <w:r w:rsidRPr="00722521">
        <w:rPr>
          <w:sz w:val="17"/>
          <w:szCs w:val="17"/>
        </w:rPr>
        <w:t>EIOPA’s activities are either directed at N</w:t>
      </w:r>
      <w:r w:rsidR="00EF467B" w:rsidRPr="00722521">
        <w:rPr>
          <w:sz w:val="17"/>
          <w:szCs w:val="17"/>
        </w:rPr>
        <w:t>S</w:t>
      </w:r>
      <w:r w:rsidRPr="00722521">
        <w:rPr>
          <w:sz w:val="17"/>
          <w:szCs w:val="17"/>
        </w:rPr>
        <w:t>As</w:t>
      </w:r>
      <w:r w:rsidR="00EF467B" w:rsidRPr="00722521">
        <w:rPr>
          <w:sz w:val="17"/>
          <w:szCs w:val="17"/>
        </w:rPr>
        <w:t xml:space="preserve"> </w:t>
      </w:r>
      <w:r w:rsidRPr="00722521">
        <w:rPr>
          <w:sz w:val="17"/>
          <w:szCs w:val="17"/>
        </w:rPr>
        <w:t>or the legislative process and EU institutions. Therefore, it should be ensured that all funding of EIOPA which is not stemming from Union budget, is coming from/through N</w:t>
      </w:r>
      <w:r w:rsidR="00EF467B" w:rsidRPr="00722521">
        <w:rPr>
          <w:sz w:val="17"/>
          <w:szCs w:val="17"/>
        </w:rPr>
        <w:t>S</w:t>
      </w:r>
      <w:r w:rsidRPr="00722521">
        <w:rPr>
          <w:sz w:val="17"/>
          <w:szCs w:val="17"/>
        </w:rPr>
        <w:t>As. The N</w:t>
      </w:r>
      <w:r w:rsidR="00EF467B" w:rsidRPr="00722521">
        <w:rPr>
          <w:sz w:val="17"/>
          <w:szCs w:val="17"/>
        </w:rPr>
        <w:t>S</w:t>
      </w:r>
      <w:r w:rsidRPr="00722521">
        <w:rPr>
          <w:sz w:val="17"/>
          <w:szCs w:val="17"/>
        </w:rPr>
        <w:t>As need to provide for the right measures of checks and balances to ensure that EIOPA’s budget is appropriate and that no duplication of tasks and activities occur. This two-stage approach is indispensable for an efficient system of supervision.</w:t>
      </w:r>
    </w:p>
    <w:p w14:paraId="6C24CD80" w14:textId="2CCCD0E9" w:rsidR="00D841A8" w:rsidRPr="00722521" w:rsidRDefault="00D841A8" w:rsidP="00A903E6">
      <w:pPr>
        <w:mirrorIndents/>
        <w:rPr>
          <w:sz w:val="17"/>
          <w:szCs w:val="17"/>
        </w:rPr>
      </w:pPr>
    </w:p>
    <w:p w14:paraId="48773FCE" w14:textId="77777777" w:rsidR="00D841A8" w:rsidRPr="00722521" w:rsidRDefault="00D841A8" w:rsidP="00A903E6">
      <w:pPr>
        <w:mirrorIndents/>
        <w:rPr>
          <w:sz w:val="17"/>
          <w:szCs w:val="17"/>
        </w:rPr>
      </w:pPr>
    </w:p>
    <w:p w14:paraId="4AFBCBE9"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indicate what other sources of finance could be considered:</w:t>
      </w:r>
    </w:p>
    <w:p w14:paraId="6CAFA913" w14:textId="68B1E644" w:rsidR="00D841A8" w:rsidRPr="00722521" w:rsidRDefault="00D841A8" w:rsidP="00A903E6">
      <w:pPr>
        <w:mirrorIndents/>
        <w:rPr>
          <w:sz w:val="17"/>
          <w:szCs w:val="17"/>
        </w:rPr>
      </w:pPr>
    </w:p>
    <w:p w14:paraId="0451D3C6" w14:textId="51DC9147" w:rsidR="00D841A8" w:rsidRPr="00722521" w:rsidRDefault="00EF467B" w:rsidP="00A903E6">
      <w:pPr>
        <w:mirrorIndents/>
        <w:rPr>
          <w:sz w:val="17"/>
          <w:szCs w:val="17"/>
        </w:rPr>
      </w:pPr>
      <w:r w:rsidRPr="00722521">
        <w:rPr>
          <w:sz w:val="17"/>
          <w:szCs w:val="17"/>
        </w:rPr>
        <w:t>N/A</w:t>
      </w:r>
    </w:p>
    <w:p w14:paraId="6DDA8694" w14:textId="77777777" w:rsidR="00D841A8" w:rsidRPr="00722521" w:rsidRDefault="00D841A8" w:rsidP="00A903E6">
      <w:pPr>
        <w:mirrorIndents/>
        <w:rPr>
          <w:sz w:val="17"/>
          <w:szCs w:val="17"/>
        </w:rPr>
      </w:pPr>
    </w:p>
    <w:p w14:paraId="059AD7F5" w14:textId="64A4BD15"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Question 2.3.2 Do you think that the ESAs have sufficient resources to perform their tasks?</w:t>
      </w:r>
    </w:p>
    <w:p w14:paraId="7B74AFFE" w14:textId="414F6669" w:rsidR="00D841A8" w:rsidRPr="00722521" w:rsidRDefault="00BA160A" w:rsidP="00D841A8">
      <w:pPr>
        <w:pStyle w:val="CEABullet-Level1"/>
        <w:rPr>
          <w:color w:val="auto"/>
          <w:highlight w:val="lightGray"/>
        </w:rPr>
      </w:pPr>
      <w:r w:rsidRPr="00722521">
        <w:rPr>
          <w:color w:val="auto"/>
          <w:highlight w:val="lightGray"/>
        </w:rPr>
        <w:t xml:space="preserve">Yes </w:t>
      </w:r>
    </w:p>
    <w:p w14:paraId="205B82B6" w14:textId="57C6AA00" w:rsidR="00BA160A" w:rsidRPr="00722521" w:rsidRDefault="00BA160A" w:rsidP="00D841A8">
      <w:pPr>
        <w:pStyle w:val="CEABullet-Level1"/>
        <w:rPr>
          <w:color w:val="auto"/>
          <w:highlight w:val="lightGray"/>
        </w:rPr>
      </w:pPr>
      <w:r w:rsidRPr="00722521">
        <w:rPr>
          <w:color w:val="auto"/>
          <w:highlight w:val="lightGray"/>
        </w:rPr>
        <w:t>No</w:t>
      </w:r>
    </w:p>
    <w:p w14:paraId="71B23623" w14:textId="77777777" w:rsidR="00BA160A" w:rsidRPr="00722521" w:rsidRDefault="00BA160A" w:rsidP="00D841A8">
      <w:pPr>
        <w:pStyle w:val="CEABullet-Level1"/>
        <w:rPr>
          <w:color w:val="auto"/>
          <w:highlight w:val="lightGray"/>
        </w:rPr>
      </w:pPr>
      <w:r w:rsidRPr="00722521">
        <w:rPr>
          <w:color w:val="auto"/>
          <w:highlight w:val="lightGray"/>
        </w:rPr>
        <w:t>Don’t know / no opinion / not relevant</w:t>
      </w:r>
    </w:p>
    <w:p w14:paraId="5CD3DB7E" w14:textId="15BE410A" w:rsidR="00BA160A" w:rsidRPr="00722521" w:rsidRDefault="00BA160A" w:rsidP="00A903E6">
      <w:pPr>
        <w:mirrorIndents/>
        <w:rPr>
          <w:sz w:val="17"/>
          <w:szCs w:val="17"/>
        </w:rPr>
      </w:pPr>
    </w:p>
    <w:p w14:paraId="3ED1D3DB" w14:textId="40038293" w:rsidR="00EF467B" w:rsidRPr="00722521" w:rsidRDefault="00EF467B" w:rsidP="00A903E6">
      <w:pPr>
        <w:mirrorIndents/>
        <w:rPr>
          <w:sz w:val="17"/>
          <w:szCs w:val="17"/>
        </w:rPr>
      </w:pPr>
      <w:r w:rsidRPr="00722521">
        <w:rPr>
          <w:sz w:val="17"/>
          <w:szCs w:val="17"/>
        </w:rPr>
        <w:t>Yes</w:t>
      </w:r>
    </w:p>
    <w:p w14:paraId="61B513BF" w14:textId="77777777" w:rsidR="00EF467B" w:rsidRPr="00722521" w:rsidRDefault="00EF467B" w:rsidP="00A903E6">
      <w:pPr>
        <w:mirrorIndents/>
        <w:rPr>
          <w:sz w:val="17"/>
          <w:szCs w:val="17"/>
        </w:rPr>
      </w:pPr>
    </w:p>
    <w:p w14:paraId="46985780"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2.3.2:</w:t>
      </w:r>
    </w:p>
    <w:p w14:paraId="441E3B8B" w14:textId="53829F1A" w:rsidR="00BA160A" w:rsidRPr="00722521" w:rsidRDefault="00BA160A" w:rsidP="00A903E6">
      <w:pPr>
        <w:mirrorIndents/>
        <w:rPr>
          <w:sz w:val="17"/>
          <w:szCs w:val="17"/>
        </w:rPr>
      </w:pPr>
    </w:p>
    <w:p w14:paraId="551E98FD" w14:textId="0A54F6E6" w:rsidR="00D841A8" w:rsidRPr="00722521" w:rsidRDefault="00EF467B" w:rsidP="00A903E6">
      <w:pPr>
        <w:mirrorIndents/>
        <w:rPr>
          <w:sz w:val="17"/>
          <w:szCs w:val="17"/>
        </w:rPr>
      </w:pPr>
      <w:r w:rsidRPr="00722521">
        <w:rPr>
          <w:sz w:val="17"/>
          <w:szCs w:val="17"/>
        </w:rPr>
        <w:t>The increase in EIOPA’s resources is worrisome, especially in the area of internal models. While the ESAs review provided EIOPA with the power to help NSAs that request it in the approval process, EIOPA’s activities in the area of internal models go far beyond this new task.</w:t>
      </w:r>
    </w:p>
    <w:p w14:paraId="02A6F41B" w14:textId="77777777" w:rsidR="00D841A8" w:rsidRPr="00722521" w:rsidRDefault="00D841A8" w:rsidP="00A903E6">
      <w:pPr>
        <w:mirrorIndents/>
        <w:rPr>
          <w:sz w:val="17"/>
          <w:szCs w:val="17"/>
        </w:rPr>
      </w:pPr>
    </w:p>
    <w:p w14:paraId="56DF1757" w14:textId="51A99B0A"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Question 2.3.3 Do you think there are enough checks and balances for how the ESAs spend their budget?</w:t>
      </w:r>
    </w:p>
    <w:p w14:paraId="2FEFC160" w14:textId="0F2FAD89" w:rsidR="00D841A8" w:rsidRPr="00722521" w:rsidRDefault="00BA160A" w:rsidP="00D841A8">
      <w:pPr>
        <w:pStyle w:val="CEABullet-Level1"/>
        <w:rPr>
          <w:color w:val="auto"/>
          <w:highlight w:val="lightGray"/>
        </w:rPr>
      </w:pPr>
      <w:r w:rsidRPr="00722521">
        <w:rPr>
          <w:color w:val="auto"/>
          <w:highlight w:val="lightGray"/>
        </w:rPr>
        <w:t xml:space="preserve">Yes </w:t>
      </w:r>
    </w:p>
    <w:p w14:paraId="478F4843" w14:textId="6CB32718" w:rsidR="00BA160A" w:rsidRPr="00722521" w:rsidRDefault="00BA160A" w:rsidP="00D841A8">
      <w:pPr>
        <w:pStyle w:val="CEABullet-Level1"/>
        <w:rPr>
          <w:color w:val="auto"/>
          <w:highlight w:val="lightGray"/>
        </w:rPr>
      </w:pPr>
      <w:r w:rsidRPr="00722521">
        <w:rPr>
          <w:color w:val="auto"/>
          <w:highlight w:val="lightGray"/>
        </w:rPr>
        <w:t>No</w:t>
      </w:r>
    </w:p>
    <w:p w14:paraId="5ED3FC25" w14:textId="77777777" w:rsidR="00BA160A" w:rsidRPr="00722521" w:rsidRDefault="00BA160A" w:rsidP="00D841A8">
      <w:pPr>
        <w:pStyle w:val="CEABullet-Level1"/>
        <w:rPr>
          <w:color w:val="auto"/>
          <w:highlight w:val="lightGray"/>
        </w:rPr>
      </w:pPr>
      <w:r w:rsidRPr="00722521">
        <w:rPr>
          <w:color w:val="auto"/>
          <w:highlight w:val="lightGray"/>
        </w:rPr>
        <w:t>Don’t know / no opinion / not relevant</w:t>
      </w:r>
    </w:p>
    <w:p w14:paraId="057CEE10" w14:textId="7A1107BB" w:rsidR="00BA160A" w:rsidRPr="00722521" w:rsidRDefault="00BA160A" w:rsidP="00A903E6">
      <w:pPr>
        <w:mirrorIndents/>
        <w:rPr>
          <w:sz w:val="17"/>
          <w:szCs w:val="17"/>
        </w:rPr>
      </w:pPr>
    </w:p>
    <w:p w14:paraId="7A6294A8" w14:textId="30CE28FA" w:rsidR="00EF467B" w:rsidRPr="00722521" w:rsidRDefault="00EF467B" w:rsidP="00A903E6">
      <w:pPr>
        <w:mirrorIndents/>
        <w:rPr>
          <w:sz w:val="17"/>
          <w:szCs w:val="17"/>
        </w:rPr>
      </w:pPr>
      <w:r w:rsidRPr="00722521">
        <w:rPr>
          <w:sz w:val="17"/>
          <w:szCs w:val="17"/>
        </w:rPr>
        <w:t>Yes</w:t>
      </w:r>
    </w:p>
    <w:p w14:paraId="7006CEC4" w14:textId="77777777" w:rsidR="00EF467B" w:rsidRPr="00722521" w:rsidRDefault="00EF467B" w:rsidP="00A903E6">
      <w:pPr>
        <w:mirrorIndents/>
        <w:rPr>
          <w:sz w:val="17"/>
          <w:szCs w:val="17"/>
        </w:rPr>
      </w:pPr>
    </w:p>
    <w:p w14:paraId="24C58E64"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explain your answer to question 2.3.3:</w:t>
      </w:r>
    </w:p>
    <w:p w14:paraId="46FCD1A3" w14:textId="2DFAA16F" w:rsidR="00BA160A" w:rsidRPr="00722521" w:rsidRDefault="00BA160A" w:rsidP="00A903E6">
      <w:pPr>
        <w:mirrorIndents/>
        <w:rPr>
          <w:sz w:val="17"/>
          <w:szCs w:val="17"/>
        </w:rPr>
      </w:pPr>
    </w:p>
    <w:p w14:paraId="5C0481E0" w14:textId="465FAD9D" w:rsidR="00D841A8" w:rsidRPr="00722521" w:rsidRDefault="00D841A8" w:rsidP="00A903E6">
      <w:pPr>
        <w:mirrorIndents/>
        <w:rPr>
          <w:sz w:val="17"/>
          <w:szCs w:val="17"/>
        </w:rPr>
      </w:pPr>
    </w:p>
    <w:p w14:paraId="5F943F91" w14:textId="00F4D1AF" w:rsidR="00D841A8" w:rsidRPr="00722521" w:rsidRDefault="00D841A8" w:rsidP="00A903E6">
      <w:pPr>
        <w:mirrorIndents/>
        <w:rPr>
          <w:sz w:val="17"/>
          <w:szCs w:val="17"/>
        </w:rPr>
      </w:pPr>
    </w:p>
    <w:p w14:paraId="6C03249E" w14:textId="77777777" w:rsidR="00BA160A" w:rsidRPr="00722521" w:rsidRDefault="00BA160A" w:rsidP="00A903E6">
      <w:pPr>
        <w:pStyle w:val="Listenabsatz"/>
        <w:numPr>
          <w:ilvl w:val="1"/>
          <w:numId w:val="14"/>
        </w:numPr>
        <w:tabs>
          <w:tab w:val="left" w:pos="566"/>
        </w:tabs>
        <w:ind w:left="232" w:hanging="450"/>
        <w:mirrorIndents/>
        <w:rPr>
          <w:rFonts w:ascii="Verdana" w:hAnsi="Verdana"/>
          <w:b/>
          <w:szCs w:val="17"/>
        </w:rPr>
      </w:pPr>
      <w:r w:rsidRPr="00722521">
        <w:rPr>
          <w:rFonts w:ascii="Verdana" w:hAnsi="Verdana"/>
          <w:b/>
          <w:szCs w:val="17"/>
        </w:rPr>
        <w:t>Involvement and role of relevant</w:t>
      </w:r>
      <w:r w:rsidRPr="00722521">
        <w:rPr>
          <w:rFonts w:ascii="Verdana" w:hAnsi="Verdana"/>
          <w:b/>
          <w:spacing w:val="-1"/>
          <w:szCs w:val="17"/>
        </w:rPr>
        <w:t xml:space="preserve"> </w:t>
      </w:r>
      <w:r w:rsidRPr="00722521">
        <w:rPr>
          <w:rFonts w:ascii="Verdana" w:hAnsi="Verdana"/>
          <w:b/>
          <w:szCs w:val="17"/>
        </w:rPr>
        <w:t>stakeholders</w:t>
      </w:r>
    </w:p>
    <w:p w14:paraId="4FA0A966" w14:textId="77777777" w:rsidR="00BA160A" w:rsidRPr="00722521" w:rsidRDefault="00BA160A" w:rsidP="00A903E6">
      <w:pPr>
        <w:pStyle w:val="Textkrper"/>
        <w:mirrorIndents/>
        <w:rPr>
          <w:rFonts w:ascii="Verdana" w:hAnsi="Verdana"/>
          <w:sz w:val="17"/>
          <w:szCs w:val="17"/>
        </w:rPr>
      </w:pPr>
    </w:p>
    <w:p w14:paraId="618F8C63" w14:textId="0BDBBB03"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2.4.1 In your view, are stakeholders sufficiently consulted or, on the contrary, are there too many consultations?</w:t>
      </w:r>
    </w:p>
    <w:p w14:paraId="47287A27" w14:textId="77777777" w:rsidR="00D841A8" w:rsidRPr="00722521" w:rsidRDefault="00BA160A" w:rsidP="00D841A8">
      <w:pPr>
        <w:pStyle w:val="CEABullet-Level1"/>
        <w:rPr>
          <w:color w:val="auto"/>
          <w:highlight w:val="lightGray"/>
        </w:rPr>
      </w:pPr>
      <w:r w:rsidRPr="00722521">
        <w:rPr>
          <w:color w:val="auto"/>
          <w:highlight w:val="lightGray"/>
        </w:rPr>
        <w:t>Yes</w:t>
      </w:r>
    </w:p>
    <w:p w14:paraId="5B09A61A" w14:textId="76E316F6" w:rsidR="00BA160A" w:rsidRPr="00722521" w:rsidRDefault="00BA160A" w:rsidP="00D841A8">
      <w:pPr>
        <w:pStyle w:val="CEABullet-Level1"/>
        <w:rPr>
          <w:color w:val="auto"/>
          <w:highlight w:val="lightGray"/>
        </w:rPr>
      </w:pPr>
      <w:r w:rsidRPr="00722521">
        <w:rPr>
          <w:color w:val="auto"/>
          <w:highlight w:val="lightGray"/>
        </w:rPr>
        <w:t>No</w:t>
      </w:r>
    </w:p>
    <w:p w14:paraId="1C36221E" w14:textId="77777777" w:rsidR="00BA160A" w:rsidRPr="00722521" w:rsidRDefault="00BA160A" w:rsidP="00D841A8">
      <w:pPr>
        <w:pStyle w:val="CEABullet-Level1"/>
        <w:rPr>
          <w:color w:val="auto"/>
          <w:highlight w:val="lightGray"/>
        </w:rPr>
      </w:pPr>
      <w:r w:rsidRPr="00722521">
        <w:rPr>
          <w:color w:val="auto"/>
          <w:highlight w:val="lightGray"/>
        </w:rPr>
        <w:t>Too many consultations</w:t>
      </w:r>
    </w:p>
    <w:p w14:paraId="63C7973D" w14:textId="4C54EB96" w:rsidR="00BA160A" w:rsidRPr="00722521" w:rsidRDefault="00BA160A" w:rsidP="00D841A8">
      <w:pPr>
        <w:pStyle w:val="CEABullet-Level1"/>
        <w:rPr>
          <w:color w:val="auto"/>
          <w:highlight w:val="lightGray"/>
        </w:rPr>
      </w:pPr>
      <w:r w:rsidRPr="00722521">
        <w:rPr>
          <w:color w:val="auto"/>
          <w:highlight w:val="lightGray"/>
        </w:rPr>
        <w:t>Don’t know / no opinion / not relevant</w:t>
      </w:r>
    </w:p>
    <w:p w14:paraId="7B01DDCB" w14:textId="789085F5" w:rsidR="00BA160A" w:rsidRPr="00722521" w:rsidRDefault="00BA160A" w:rsidP="00A903E6">
      <w:pPr>
        <w:mirrorIndents/>
        <w:rPr>
          <w:sz w:val="17"/>
          <w:szCs w:val="17"/>
        </w:rPr>
      </w:pPr>
    </w:p>
    <w:p w14:paraId="5B6FEEE1" w14:textId="66FE33DC" w:rsidR="00EF467B" w:rsidRPr="00722521" w:rsidRDefault="00EF467B" w:rsidP="00A903E6">
      <w:pPr>
        <w:mirrorIndents/>
        <w:rPr>
          <w:sz w:val="17"/>
          <w:szCs w:val="17"/>
        </w:rPr>
      </w:pPr>
      <w:r w:rsidRPr="00722521">
        <w:rPr>
          <w:sz w:val="17"/>
          <w:szCs w:val="17"/>
        </w:rPr>
        <w:t>Yes</w:t>
      </w:r>
    </w:p>
    <w:p w14:paraId="411878AE" w14:textId="77777777" w:rsidR="00EF467B" w:rsidRPr="00722521" w:rsidRDefault="00EF467B" w:rsidP="00A903E6">
      <w:pPr>
        <w:mirrorIndents/>
        <w:rPr>
          <w:sz w:val="17"/>
          <w:szCs w:val="17"/>
        </w:rPr>
      </w:pPr>
    </w:p>
    <w:p w14:paraId="11A69E66" w14:textId="7A821428" w:rsidR="00BA160A" w:rsidRPr="00722521" w:rsidRDefault="00D841A8" w:rsidP="00D841A8">
      <w:pPr>
        <w:pStyle w:val="Textkrper"/>
        <w:ind w:left="0"/>
        <w:mirrorIndents/>
        <w:rPr>
          <w:rFonts w:ascii="Verdana" w:hAnsi="Verdana"/>
          <w:sz w:val="17"/>
          <w:szCs w:val="17"/>
        </w:rPr>
      </w:pPr>
      <w:r w:rsidRPr="00722521">
        <w:rPr>
          <w:rFonts w:ascii="Verdana" w:hAnsi="Verdana"/>
          <w:sz w:val="17"/>
          <w:szCs w:val="17"/>
          <w:highlight w:val="lightGray"/>
        </w:rPr>
        <w:t>P</w:t>
      </w:r>
      <w:r w:rsidR="00BA160A" w:rsidRPr="00722521">
        <w:rPr>
          <w:rFonts w:ascii="Verdana" w:hAnsi="Verdana"/>
          <w:sz w:val="17"/>
          <w:szCs w:val="17"/>
          <w:highlight w:val="lightGray"/>
        </w:rPr>
        <w:t>lease explain your answer to question 2.4.1:</w:t>
      </w:r>
    </w:p>
    <w:p w14:paraId="6FE82318" w14:textId="77777777" w:rsidR="00BA160A" w:rsidRPr="00722521" w:rsidRDefault="00BA160A" w:rsidP="00A903E6">
      <w:pPr>
        <w:mirrorIndents/>
        <w:rPr>
          <w:sz w:val="17"/>
          <w:szCs w:val="17"/>
        </w:rPr>
      </w:pPr>
    </w:p>
    <w:p w14:paraId="43FFBF08" w14:textId="56330B4D" w:rsidR="00580733" w:rsidRPr="00722521" w:rsidRDefault="00722521" w:rsidP="008D69CB">
      <w:pPr>
        <w:mirrorIndents/>
        <w:rPr>
          <w:sz w:val="17"/>
          <w:szCs w:val="17"/>
        </w:rPr>
      </w:pPr>
      <w:r>
        <w:rPr>
          <w:sz w:val="17"/>
          <w:szCs w:val="17"/>
        </w:rPr>
        <w:t>VVO</w:t>
      </w:r>
      <w:r w:rsidR="00EF467B" w:rsidRPr="00722521">
        <w:rPr>
          <w:sz w:val="17"/>
          <w:szCs w:val="17"/>
        </w:rPr>
        <w:t xml:space="preserve"> notes a great improvement in EIOPA’s transparency and efforts to involve stakeholders in its initiatives. </w:t>
      </w:r>
    </w:p>
    <w:p w14:paraId="37BC7C81" w14:textId="77777777" w:rsidR="00580733" w:rsidRPr="00722521" w:rsidRDefault="00580733" w:rsidP="008D69CB">
      <w:pPr>
        <w:mirrorIndents/>
        <w:rPr>
          <w:sz w:val="17"/>
          <w:szCs w:val="17"/>
        </w:rPr>
      </w:pPr>
    </w:p>
    <w:p w14:paraId="7130F455" w14:textId="45E43389" w:rsidR="008D69CB" w:rsidRPr="00722521" w:rsidRDefault="008D69CB" w:rsidP="008D69CB">
      <w:pPr>
        <w:mirrorIndents/>
        <w:rPr>
          <w:sz w:val="17"/>
          <w:szCs w:val="17"/>
        </w:rPr>
      </w:pPr>
      <w:r w:rsidRPr="00722521">
        <w:rPr>
          <w:sz w:val="17"/>
          <w:szCs w:val="17"/>
        </w:rPr>
        <w:t xml:space="preserve">However, the </w:t>
      </w:r>
      <w:r w:rsidR="00580733" w:rsidRPr="00722521">
        <w:rPr>
          <w:sz w:val="17"/>
          <w:szCs w:val="17"/>
        </w:rPr>
        <w:t>industry reports that</w:t>
      </w:r>
      <w:r w:rsidRPr="00722521">
        <w:rPr>
          <w:sz w:val="17"/>
          <w:szCs w:val="17"/>
        </w:rPr>
        <w:t xml:space="preserve"> the number of requests for </w:t>
      </w:r>
      <w:r w:rsidR="00580733" w:rsidRPr="00722521">
        <w:rPr>
          <w:sz w:val="17"/>
          <w:szCs w:val="17"/>
        </w:rPr>
        <w:t xml:space="preserve">(data) </w:t>
      </w:r>
      <w:r w:rsidRPr="00722521">
        <w:rPr>
          <w:sz w:val="17"/>
          <w:szCs w:val="17"/>
        </w:rPr>
        <w:t>input either from EIOPA directly or through the N</w:t>
      </w:r>
      <w:r w:rsidR="00580733" w:rsidRPr="00722521">
        <w:rPr>
          <w:sz w:val="17"/>
          <w:szCs w:val="17"/>
        </w:rPr>
        <w:t>S</w:t>
      </w:r>
      <w:r w:rsidRPr="00722521">
        <w:rPr>
          <w:sz w:val="17"/>
          <w:szCs w:val="17"/>
        </w:rPr>
        <w:t xml:space="preserve">As </w:t>
      </w:r>
      <w:r w:rsidR="00580733" w:rsidRPr="00722521">
        <w:rPr>
          <w:sz w:val="17"/>
          <w:szCs w:val="17"/>
        </w:rPr>
        <w:t>i</w:t>
      </w:r>
      <w:r w:rsidRPr="00722521">
        <w:rPr>
          <w:sz w:val="17"/>
          <w:szCs w:val="17"/>
        </w:rPr>
        <w:t>s excessive. The reduction of stakeholder involvement while maintaining the number of policies and activities must not be a solution in this respect.</w:t>
      </w:r>
    </w:p>
    <w:p w14:paraId="7E1A44C1" w14:textId="77777777" w:rsidR="008D69CB" w:rsidRPr="00722521" w:rsidRDefault="008D69CB" w:rsidP="008D69CB">
      <w:pPr>
        <w:mirrorIndents/>
        <w:rPr>
          <w:sz w:val="17"/>
          <w:szCs w:val="17"/>
        </w:rPr>
      </w:pPr>
    </w:p>
    <w:p w14:paraId="50CCA543" w14:textId="12F7BA28" w:rsidR="008D69CB" w:rsidRPr="00722521" w:rsidRDefault="008D69CB" w:rsidP="008D69CB">
      <w:pPr>
        <w:mirrorIndents/>
        <w:rPr>
          <w:sz w:val="17"/>
          <w:szCs w:val="17"/>
        </w:rPr>
      </w:pPr>
      <w:r w:rsidRPr="00722521">
        <w:rPr>
          <w:sz w:val="17"/>
          <w:szCs w:val="17"/>
        </w:rPr>
        <w:t xml:space="preserve">Activities and policies must be based on sufficient evidence and all interested stakeholders must be heard during the process. It is already a challenge for a significant number of </w:t>
      </w:r>
      <w:r w:rsidR="00580733" w:rsidRPr="00722521">
        <w:rPr>
          <w:sz w:val="17"/>
          <w:szCs w:val="17"/>
        </w:rPr>
        <w:t>undertakings</w:t>
      </w:r>
      <w:r w:rsidRPr="00722521">
        <w:rPr>
          <w:sz w:val="17"/>
          <w:szCs w:val="17"/>
        </w:rPr>
        <w:t xml:space="preserve"> to participate in the relevant consultations and discussions. Representative bodies play a central role in supporting their members and providing stakeholder input. However, the high number of policy initiatives and activities carried-out by EIOPA require significant resources for stakeholders (individuals and representative bodies). The result is that the number of stakeholders which can provide input on the number of processes and in sufficient detailed is increasingly limited.</w:t>
      </w:r>
    </w:p>
    <w:p w14:paraId="55ECCCA3" w14:textId="77777777" w:rsidR="008D69CB" w:rsidRPr="00722521" w:rsidRDefault="008D69CB" w:rsidP="008D69CB">
      <w:pPr>
        <w:mirrorIndents/>
        <w:rPr>
          <w:sz w:val="17"/>
          <w:szCs w:val="17"/>
        </w:rPr>
      </w:pPr>
    </w:p>
    <w:p w14:paraId="3578E301" w14:textId="3023402A" w:rsidR="00315D35" w:rsidRPr="00722521" w:rsidRDefault="008D69CB" w:rsidP="00315D35">
      <w:pPr>
        <w:mirrorIndents/>
        <w:rPr>
          <w:sz w:val="17"/>
          <w:szCs w:val="17"/>
        </w:rPr>
      </w:pPr>
      <w:r w:rsidRPr="00722521">
        <w:rPr>
          <w:sz w:val="17"/>
          <w:szCs w:val="17"/>
        </w:rPr>
        <w:t>In conclusion, the answer to the question is not “less consultations”</w:t>
      </w:r>
      <w:r w:rsidR="00580733" w:rsidRPr="00722521">
        <w:rPr>
          <w:sz w:val="17"/>
          <w:szCs w:val="17"/>
        </w:rPr>
        <w:t>,</w:t>
      </w:r>
      <w:r w:rsidRPr="00722521">
        <w:rPr>
          <w:sz w:val="17"/>
          <w:szCs w:val="17"/>
        </w:rPr>
        <w:t xml:space="preserve"> it is less and more targeted policies and extra-curricular activity by EIOPA.</w:t>
      </w:r>
      <w:r w:rsidR="00315D35" w:rsidRPr="00722521">
        <w:rPr>
          <w:sz w:val="17"/>
          <w:szCs w:val="17"/>
        </w:rPr>
        <w:t xml:space="preserve"> As highlighted in responses to questions 1.1.1, 1.1.2 and 1.7.3, </w:t>
      </w:r>
      <w:r w:rsidR="00A16D06" w:rsidRPr="00722521">
        <w:rPr>
          <w:sz w:val="17"/>
          <w:szCs w:val="17"/>
        </w:rPr>
        <w:t>possibilities</w:t>
      </w:r>
      <w:r w:rsidR="00315D35" w:rsidRPr="00722521">
        <w:rPr>
          <w:sz w:val="17"/>
          <w:szCs w:val="17"/>
        </w:rPr>
        <w:t xml:space="preserve"> for implementing a “less is more” approach for EIOPA are:</w:t>
      </w:r>
    </w:p>
    <w:p w14:paraId="79A95A6D" w14:textId="7F603292" w:rsidR="00315D35" w:rsidRPr="00722521" w:rsidRDefault="00315D35" w:rsidP="00315D35">
      <w:pPr>
        <w:numPr>
          <w:ilvl w:val="0"/>
          <w:numId w:val="40"/>
        </w:numPr>
        <w:mirrorIndents/>
        <w:rPr>
          <w:sz w:val="17"/>
          <w:szCs w:val="17"/>
        </w:rPr>
      </w:pPr>
      <w:r w:rsidRPr="00722521">
        <w:rPr>
          <w:sz w:val="17"/>
          <w:szCs w:val="17"/>
        </w:rPr>
        <w:t>Focusing on it</w:t>
      </w:r>
      <w:r w:rsidR="00A16D06" w:rsidRPr="00722521">
        <w:rPr>
          <w:sz w:val="17"/>
          <w:szCs w:val="17"/>
        </w:rPr>
        <w:t>s</w:t>
      </w:r>
      <w:r w:rsidRPr="00722521">
        <w:rPr>
          <w:sz w:val="17"/>
          <w:szCs w:val="17"/>
        </w:rPr>
        <w:t xml:space="preserve"> oversight role in a neutral mindset, and refraining to engage in works meant to move the insurance market;</w:t>
      </w:r>
    </w:p>
    <w:p w14:paraId="70FF0939" w14:textId="77777777" w:rsidR="00315D35" w:rsidRPr="00722521" w:rsidRDefault="00315D35" w:rsidP="00315D35">
      <w:pPr>
        <w:numPr>
          <w:ilvl w:val="0"/>
          <w:numId w:val="40"/>
        </w:numPr>
        <w:mirrorIndents/>
        <w:rPr>
          <w:sz w:val="17"/>
          <w:szCs w:val="17"/>
        </w:rPr>
      </w:pPr>
      <w:r w:rsidRPr="00722521">
        <w:rPr>
          <w:sz w:val="17"/>
          <w:szCs w:val="17"/>
        </w:rPr>
        <w:t>Refraining from taking local gold-plating practices and guidance as benchmark to issue guidelines, opinions, and statements which only adds conservativeness and burden in the regime;</w:t>
      </w:r>
    </w:p>
    <w:p w14:paraId="0311B2D7" w14:textId="77777777" w:rsidR="00315D35" w:rsidRPr="00722521" w:rsidRDefault="00315D35" w:rsidP="00315D35">
      <w:pPr>
        <w:numPr>
          <w:ilvl w:val="0"/>
          <w:numId w:val="40"/>
        </w:numPr>
        <w:mirrorIndents/>
        <w:rPr>
          <w:sz w:val="17"/>
          <w:szCs w:val="17"/>
        </w:rPr>
      </w:pPr>
      <w:r w:rsidRPr="00722521">
        <w:rPr>
          <w:sz w:val="17"/>
          <w:szCs w:val="17"/>
        </w:rPr>
        <w:t xml:space="preserve">Refraining to issue guidelines on areas where the legislators have indicated their intention to regulate. </w:t>
      </w:r>
    </w:p>
    <w:p w14:paraId="3797346C" w14:textId="77777777" w:rsidR="00BA160A" w:rsidRPr="00722521" w:rsidRDefault="00BA160A" w:rsidP="00A903E6">
      <w:pPr>
        <w:mirrorIndents/>
        <w:rPr>
          <w:sz w:val="17"/>
          <w:szCs w:val="17"/>
        </w:rPr>
      </w:pPr>
    </w:p>
    <w:p w14:paraId="57C5BB4C" w14:textId="77777777" w:rsidR="00BA160A" w:rsidRPr="00722521" w:rsidRDefault="00BA160A" w:rsidP="00A903E6">
      <w:pPr>
        <w:mirrorIndents/>
        <w:rPr>
          <w:sz w:val="17"/>
          <w:szCs w:val="17"/>
        </w:rPr>
      </w:pPr>
    </w:p>
    <w:p w14:paraId="57AF30CB" w14:textId="77777777"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Question 2.4.2 EIOPA: Please assess the quality, in your view, of the consultations launched by EIOPA:</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543"/>
        <w:gridCol w:w="1328"/>
        <w:gridCol w:w="1328"/>
        <w:gridCol w:w="1328"/>
        <w:gridCol w:w="1328"/>
        <w:gridCol w:w="1328"/>
        <w:gridCol w:w="1328"/>
      </w:tblGrid>
      <w:tr w:rsidR="00BA160A" w:rsidRPr="00722521" w14:paraId="761D648E" w14:textId="77777777" w:rsidTr="00D841A8">
        <w:trPr>
          <w:trHeight w:hRule="exact" w:val="581"/>
        </w:trPr>
        <w:tc>
          <w:tcPr>
            <w:tcW w:w="811" w:type="pct"/>
            <w:vMerge w:val="restart"/>
            <w:tcBorders>
              <w:top w:val="nil"/>
              <w:left w:val="single" w:sz="8" w:space="0" w:color="BABABA"/>
              <w:bottom w:val="single" w:sz="8" w:space="0" w:color="BABABA"/>
              <w:right w:val="single" w:sz="8" w:space="0" w:color="BABABA"/>
            </w:tcBorders>
          </w:tcPr>
          <w:p w14:paraId="66F057D3"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hideMark/>
          </w:tcPr>
          <w:p w14:paraId="2D661DAF" w14:textId="77777777" w:rsidR="00BA160A" w:rsidRPr="00722521" w:rsidRDefault="00BA160A" w:rsidP="00A903E6">
            <w:pPr>
              <w:pStyle w:val="TableParagraph"/>
              <w:mirrorIndents/>
              <w:rPr>
                <w:szCs w:val="17"/>
              </w:rPr>
            </w:pPr>
            <w:r w:rsidRPr="00722521">
              <w:rPr>
                <w:w w:val="99"/>
                <w:szCs w:val="17"/>
              </w:rPr>
              <w:t>1</w:t>
            </w:r>
          </w:p>
        </w:tc>
        <w:tc>
          <w:tcPr>
            <w:tcW w:w="698" w:type="pct"/>
            <w:tcBorders>
              <w:top w:val="nil"/>
              <w:left w:val="single" w:sz="8" w:space="0" w:color="BABABA"/>
              <w:bottom w:val="nil"/>
              <w:right w:val="single" w:sz="8" w:space="0" w:color="BABABA"/>
            </w:tcBorders>
            <w:hideMark/>
          </w:tcPr>
          <w:p w14:paraId="418D88DB" w14:textId="77777777" w:rsidR="00BA160A" w:rsidRPr="00722521" w:rsidRDefault="00BA160A" w:rsidP="00A903E6">
            <w:pPr>
              <w:pStyle w:val="TableParagraph"/>
              <w:mirrorIndents/>
              <w:rPr>
                <w:szCs w:val="17"/>
              </w:rPr>
            </w:pPr>
            <w:r w:rsidRPr="00722521">
              <w:rPr>
                <w:w w:val="99"/>
                <w:szCs w:val="17"/>
              </w:rPr>
              <w:t>2</w:t>
            </w:r>
          </w:p>
        </w:tc>
        <w:tc>
          <w:tcPr>
            <w:tcW w:w="698" w:type="pct"/>
            <w:tcBorders>
              <w:top w:val="nil"/>
              <w:left w:val="single" w:sz="8" w:space="0" w:color="BABABA"/>
              <w:bottom w:val="nil"/>
              <w:right w:val="single" w:sz="8" w:space="0" w:color="BABABA"/>
            </w:tcBorders>
            <w:hideMark/>
          </w:tcPr>
          <w:p w14:paraId="6DC821EE" w14:textId="77777777" w:rsidR="00BA160A" w:rsidRPr="00722521" w:rsidRDefault="00BA160A" w:rsidP="00A903E6">
            <w:pPr>
              <w:pStyle w:val="TableParagraph"/>
              <w:mirrorIndents/>
              <w:rPr>
                <w:szCs w:val="17"/>
              </w:rPr>
            </w:pPr>
            <w:r w:rsidRPr="00722521">
              <w:rPr>
                <w:w w:val="99"/>
                <w:szCs w:val="17"/>
              </w:rPr>
              <w:t>3</w:t>
            </w:r>
          </w:p>
        </w:tc>
        <w:tc>
          <w:tcPr>
            <w:tcW w:w="698" w:type="pct"/>
            <w:tcBorders>
              <w:top w:val="nil"/>
              <w:left w:val="single" w:sz="8" w:space="0" w:color="BABABA"/>
              <w:bottom w:val="nil"/>
              <w:right w:val="single" w:sz="8" w:space="0" w:color="BABABA"/>
            </w:tcBorders>
            <w:hideMark/>
          </w:tcPr>
          <w:p w14:paraId="31CAA8A3" w14:textId="77777777" w:rsidR="00BA160A" w:rsidRPr="00722521" w:rsidRDefault="00BA160A" w:rsidP="00A903E6">
            <w:pPr>
              <w:pStyle w:val="TableParagraph"/>
              <w:mirrorIndents/>
              <w:rPr>
                <w:szCs w:val="17"/>
              </w:rPr>
            </w:pPr>
            <w:r w:rsidRPr="00722521">
              <w:rPr>
                <w:w w:val="99"/>
                <w:szCs w:val="17"/>
              </w:rPr>
              <w:t>4</w:t>
            </w:r>
          </w:p>
        </w:tc>
        <w:tc>
          <w:tcPr>
            <w:tcW w:w="698" w:type="pct"/>
            <w:tcBorders>
              <w:top w:val="nil"/>
              <w:left w:val="single" w:sz="8" w:space="0" w:color="BABABA"/>
              <w:bottom w:val="nil"/>
              <w:right w:val="single" w:sz="8" w:space="0" w:color="BABABA"/>
            </w:tcBorders>
            <w:hideMark/>
          </w:tcPr>
          <w:p w14:paraId="46B454C0" w14:textId="77777777" w:rsidR="00BA160A" w:rsidRPr="00722521" w:rsidRDefault="00BA160A" w:rsidP="00A903E6">
            <w:pPr>
              <w:pStyle w:val="TableParagraph"/>
              <w:mirrorIndents/>
              <w:rPr>
                <w:szCs w:val="17"/>
              </w:rPr>
            </w:pPr>
            <w:r w:rsidRPr="00722521">
              <w:rPr>
                <w:w w:val="99"/>
                <w:szCs w:val="17"/>
              </w:rPr>
              <w:t>5</w:t>
            </w:r>
          </w:p>
        </w:tc>
        <w:tc>
          <w:tcPr>
            <w:tcW w:w="698" w:type="pct"/>
            <w:tcBorders>
              <w:top w:val="nil"/>
              <w:left w:val="single" w:sz="8" w:space="0" w:color="BABABA"/>
              <w:bottom w:val="nil"/>
              <w:right w:val="single" w:sz="8" w:space="0" w:color="BABABA"/>
            </w:tcBorders>
            <w:hideMark/>
          </w:tcPr>
          <w:p w14:paraId="0F2413EF" w14:textId="77777777" w:rsidR="00BA160A" w:rsidRPr="00722521" w:rsidRDefault="00BA160A" w:rsidP="00A903E6">
            <w:pPr>
              <w:pStyle w:val="TableParagraph"/>
              <w:ind w:firstLine="35"/>
              <w:mirrorIndents/>
              <w:rPr>
                <w:szCs w:val="17"/>
              </w:rPr>
            </w:pPr>
            <w:r w:rsidRPr="00722521">
              <w:rPr>
                <w:w w:val="105"/>
                <w:szCs w:val="17"/>
              </w:rPr>
              <w:t>Don't know -</w:t>
            </w:r>
          </w:p>
        </w:tc>
      </w:tr>
      <w:tr w:rsidR="00BA160A" w:rsidRPr="00722521" w14:paraId="19306E33" w14:textId="77777777" w:rsidTr="00D841A8">
        <w:trPr>
          <w:trHeight w:hRule="exact" w:val="296"/>
        </w:trPr>
        <w:tc>
          <w:tcPr>
            <w:tcW w:w="811" w:type="pct"/>
            <w:vMerge/>
            <w:tcBorders>
              <w:top w:val="nil"/>
              <w:left w:val="single" w:sz="8" w:space="0" w:color="BABABA"/>
              <w:bottom w:val="single" w:sz="8" w:space="0" w:color="BABABA"/>
              <w:right w:val="single" w:sz="8" w:space="0" w:color="BABABA"/>
            </w:tcBorders>
            <w:vAlign w:val="center"/>
            <w:hideMark/>
          </w:tcPr>
          <w:p w14:paraId="60A78648" w14:textId="77777777" w:rsidR="00BA160A" w:rsidRPr="00722521" w:rsidRDefault="00BA160A" w:rsidP="00A903E6">
            <w:pPr>
              <w:jc w:val="left"/>
              <w:rPr>
                <w:rFonts w:eastAsia="Microsoft Sans Serif" w:cs="Microsoft Sans Serif"/>
                <w:sz w:val="17"/>
                <w:szCs w:val="17"/>
              </w:rPr>
            </w:pPr>
          </w:p>
        </w:tc>
        <w:tc>
          <w:tcPr>
            <w:tcW w:w="698" w:type="pct"/>
            <w:tcBorders>
              <w:top w:val="nil"/>
              <w:left w:val="single" w:sz="8" w:space="0" w:color="BABABA"/>
              <w:bottom w:val="nil"/>
              <w:right w:val="single" w:sz="8" w:space="0" w:color="BABABA"/>
            </w:tcBorders>
            <w:hideMark/>
          </w:tcPr>
          <w:p w14:paraId="15D76B2D" w14:textId="77777777" w:rsidR="00BA160A" w:rsidRPr="00722521" w:rsidRDefault="00BA160A" w:rsidP="00A903E6">
            <w:pPr>
              <w:pStyle w:val="TableParagraph"/>
              <w:mirrorIndents/>
              <w:rPr>
                <w:szCs w:val="17"/>
              </w:rPr>
            </w:pPr>
            <w:r w:rsidRPr="00722521">
              <w:rPr>
                <w:szCs w:val="17"/>
              </w:rPr>
              <w:t>(lowest</w:t>
            </w:r>
          </w:p>
        </w:tc>
        <w:tc>
          <w:tcPr>
            <w:tcW w:w="698" w:type="pct"/>
            <w:tcBorders>
              <w:top w:val="nil"/>
              <w:left w:val="single" w:sz="8" w:space="0" w:color="BABABA"/>
              <w:bottom w:val="nil"/>
              <w:right w:val="single" w:sz="8" w:space="0" w:color="BABABA"/>
            </w:tcBorders>
          </w:tcPr>
          <w:p w14:paraId="043749DC"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tcPr>
          <w:p w14:paraId="58192C5A"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tcPr>
          <w:p w14:paraId="58C751B5"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hideMark/>
          </w:tcPr>
          <w:p w14:paraId="719684DC" w14:textId="77777777" w:rsidR="00BA160A" w:rsidRPr="00722521" w:rsidRDefault="00BA160A" w:rsidP="00A903E6">
            <w:pPr>
              <w:pStyle w:val="TableParagraph"/>
              <w:mirrorIndents/>
              <w:rPr>
                <w:szCs w:val="17"/>
              </w:rPr>
            </w:pPr>
            <w:r w:rsidRPr="00722521">
              <w:rPr>
                <w:szCs w:val="17"/>
              </w:rPr>
              <w:t>(highest</w:t>
            </w:r>
          </w:p>
        </w:tc>
        <w:tc>
          <w:tcPr>
            <w:tcW w:w="698" w:type="pct"/>
            <w:tcBorders>
              <w:top w:val="nil"/>
              <w:left w:val="single" w:sz="8" w:space="0" w:color="BABABA"/>
              <w:bottom w:val="nil"/>
              <w:right w:val="single" w:sz="8" w:space="0" w:color="BABABA"/>
            </w:tcBorders>
            <w:hideMark/>
          </w:tcPr>
          <w:p w14:paraId="3673F2A5" w14:textId="77777777" w:rsidR="00BA160A" w:rsidRPr="00722521" w:rsidRDefault="00BA160A" w:rsidP="00A903E6">
            <w:pPr>
              <w:pStyle w:val="TableParagraph"/>
              <w:mirrorIndents/>
              <w:rPr>
                <w:szCs w:val="17"/>
              </w:rPr>
            </w:pPr>
            <w:r w:rsidRPr="00722521">
              <w:rPr>
                <w:w w:val="105"/>
                <w:szCs w:val="17"/>
              </w:rPr>
              <w:t>No</w:t>
            </w:r>
          </w:p>
        </w:tc>
      </w:tr>
      <w:tr w:rsidR="00BA160A" w:rsidRPr="00722521" w14:paraId="1F1E2C2A" w14:textId="77777777" w:rsidTr="00D841A8">
        <w:trPr>
          <w:trHeight w:hRule="exact" w:val="296"/>
        </w:trPr>
        <w:tc>
          <w:tcPr>
            <w:tcW w:w="811" w:type="pct"/>
            <w:vMerge/>
            <w:tcBorders>
              <w:top w:val="nil"/>
              <w:left w:val="single" w:sz="8" w:space="0" w:color="BABABA"/>
              <w:bottom w:val="single" w:sz="8" w:space="0" w:color="BABABA"/>
              <w:right w:val="single" w:sz="8" w:space="0" w:color="BABABA"/>
            </w:tcBorders>
            <w:vAlign w:val="center"/>
            <w:hideMark/>
          </w:tcPr>
          <w:p w14:paraId="72004E3A" w14:textId="77777777" w:rsidR="00BA160A" w:rsidRPr="00722521" w:rsidRDefault="00BA160A" w:rsidP="00A903E6">
            <w:pPr>
              <w:jc w:val="left"/>
              <w:rPr>
                <w:rFonts w:eastAsia="Microsoft Sans Serif" w:cs="Microsoft Sans Serif"/>
                <w:sz w:val="17"/>
                <w:szCs w:val="17"/>
              </w:rPr>
            </w:pPr>
          </w:p>
        </w:tc>
        <w:tc>
          <w:tcPr>
            <w:tcW w:w="698" w:type="pct"/>
            <w:tcBorders>
              <w:top w:val="nil"/>
              <w:left w:val="single" w:sz="8" w:space="0" w:color="BABABA"/>
              <w:bottom w:val="nil"/>
              <w:right w:val="single" w:sz="8" w:space="0" w:color="BABABA"/>
            </w:tcBorders>
            <w:hideMark/>
          </w:tcPr>
          <w:p w14:paraId="10C5EDA6" w14:textId="77777777" w:rsidR="00BA160A" w:rsidRPr="00722521" w:rsidRDefault="00BA160A" w:rsidP="00A903E6">
            <w:pPr>
              <w:pStyle w:val="TableParagraph"/>
              <w:mirrorIndents/>
              <w:rPr>
                <w:szCs w:val="17"/>
              </w:rPr>
            </w:pPr>
            <w:r w:rsidRPr="00722521">
              <w:rPr>
                <w:szCs w:val="17"/>
              </w:rPr>
              <w:t>quality</w:t>
            </w:r>
          </w:p>
        </w:tc>
        <w:tc>
          <w:tcPr>
            <w:tcW w:w="698" w:type="pct"/>
            <w:tcBorders>
              <w:top w:val="nil"/>
              <w:left w:val="single" w:sz="8" w:space="0" w:color="BABABA"/>
              <w:bottom w:val="nil"/>
              <w:right w:val="single" w:sz="8" w:space="0" w:color="BABABA"/>
            </w:tcBorders>
          </w:tcPr>
          <w:p w14:paraId="143AC669"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tcPr>
          <w:p w14:paraId="2DDA5A1A"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tcPr>
          <w:p w14:paraId="2CBF5483"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hideMark/>
          </w:tcPr>
          <w:p w14:paraId="431A00DA" w14:textId="77777777" w:rsidR="00BA160A" w:rsidRPr="00722521" w:rsidRDefault="00BA160A" w:rsidP="00A903E6">
            <w:pPr>
              <w:pStyle w:val="TableParagraph"/>
              <w:mirrorIndents/>
              <w:rPr>
                <w:szCs w:val="17"/>
              </w:rPr>
            </w:pPr>
            <w:r w:rsidRPr="00722521">
              <w:rPr>
                <w:szCs w:val="17"/>
              </w:rPr>
              <w:t>quality)</w:t>
            </w:r>
          </w:p>
        </w:tc>
        <w:tc>
          <w:tcPr>
            <w:tcW w:w="698" w:type="pct"/>
            <w:tcBorders>
              <w:top w:val="nil"/>
              <w:left w:val="single" w:sz="8" w:space="0" w:color="BABABA"/>
              <w:bottom w:val="nil"/>
              <w:right w:val="single" w:sz="8" w:space="0" w:color="BABABA"/>
            </w:tcBorders>
            <w:hideMark/>
          </w:tcPr>
          <w:p w14:paraId="579F8E2D" w14:textId="77777777" w:rsidR="00BA160A" w:rsidRPr="00722521" w:rsidRDefault="00BA160A" w:rsidP="00A903E6">
            <w:pPr>
              <w:pStyle w:val="TableParagraph"/>
              <w:mirrorIndents/>
              <w:rPr>
                <w:szCs w:val="17"/>
              </w:rPr>
            </w:pPr>
            <w:r w:rsidRPr="00722521">
              <w:rPr>
                <w:szCs w:val="17"/>
              </w:rPr>
              <w:t>opinion -</w:t>
            </w:r>
          </w:p>
        </w:tc>
      </w:tr>
      <w:tr w:rsidR="00BA160A" w:rsidRPr="00722521" w14:paraId="43E21425" w14:textId="77777777" w:rsidTr="00D841A8">
        <w:trPr>
          <w:trHeight w:hRule="exact" w:val="296"/>
        </w:trPr>
        <w:tc>
          <w:tcPr>
            <w:tcW w:w="811" w:type="pct"/>
            <w:vMerge/>
            <w:tcBorders>
              <w:top w:val="nil"/>
              <w:left w:val="single" w:sz="8" w:space="0" w:color="BABABA"/>
              <w:bottom w:val="single" w:sz="8" w:space="0" w:color="BABABA"/>
              <w:right w:val="single" w:sz="8" w:space="0" w:color="BABABA"/>
            </w:tcBorders>
            <w:vAlign w:val="center"/>
            <w:hideMark/>
          </w:tcPr>
          <w:p w14:paraId="63911C99" w14:textId="77777777" w:rsidR="00BA160A" w:rsidRPr="00722521" w:rsidRDefault="00BA160A" w:rsidP="00A903E6">
            <w:pPr>
              <w:jc w:val="left"/>
              <w:rPr>
                <w:rFonts w:eastAsia="Microsoft Sans Serif" w:cs="Microsoft Sans Serif"/>
                <w:sz w:val="17"/>
                <w:szCs w:val="17"/>
              </w:rPr>
            </w:pPr>
          </w:p>
        </w:tc>
        <w:tc>
          <w:tcPr>
            <w:tcW w:w="698" w:type="pct"/>
            <w:tcBorders>
              <w:top w:val="nil"/>
              <w:left w:val="single" w:sz="8" w:space="0" w:color="BABABA"/>
              <w:bottom w:val="nil"/>
              <w:right w:val="single" w:sz="8" w:space="0" w:color="BABABA"/>
            </w:tcBorders>
          </w:tcPr>
          <w:p w14:paraId="51031583"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tcPr>
          <w:p w14:paraId="7E5D2D0F"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tcPr>
          <w:p w14:paraId="57969CEC"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tcPr>
          <w:p w14:paraId="480EE8F8"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tcPr>
          <w:p w14:paraId="7F0C46C2" w14:textId="77777777" w:rsidR="00BA160A" w:rsidRPr="00722521" w:rsidRDefault="00BA160A" w:rsidP="00A903E6">
            <w:pPr>
              <w:mirrorIndents/>
              <w:rPr>
                <w:sz w:val="17"/>
                <w:szCs w:val="17"/>
              </w:rPr>
            </w:pPr>
          </w:p>
        </w:tc>
        <w:tc>
          <w:tcPr>
            <w:tcW w:w="698" w:type="pct"/>
            <w:tcBorders>
              <w:top w:val="nil"/>
              <w:left w:val="single" w:sz="8" w:space="0" w:color="BABABA"/>
              <w:bottom w:val="nil"/>
              <w:right w:val="single" w:sz="8" w:space="0" w:color="BABABA"/>
            </w:tcBorders>
            <w:hideMark/>
          </w:tcPr>
          <w:p w14:paraId="15038A6C" w14:textId="77777777" w:rsidR="00BA160A" w:rsidRPr="00722521" w:rsidRDefault="00BA160A" w:rsidP="00A903E6">
            <w:pPr>
              <w:pStyle w:val="TableParagraph"/>
              <w:mirrorIndents/>
              <w:rPr>
                <w:szCs w:val="17"/>
              </w:rPr>
            </w:pPr>
            <w:r w:rsidRPr="00722521">
              <w:rPr>
                <w:w w:val="105"/>
                <w:szCs w:val="17"/>
              </w:rPr>
              <w:t>Not</w:t>
            </w:r>
          </w:p>
        </w:tc>
      </w:tr>
      <w:tr w:rsidR="00BA160A" w:rsidRPr="00722521" w14:paraId="1B303564" w14:textId="77777777" w:rsidTr="00D841A8">
        <w:trPr>
          <w:trHeight w:hRule="exact" w:val="398"/>
        </w:trPr>
        <w:tc>
          <w:tcPr>
            <w:tcW w:w="811" w:type="pct"/>
            <w:vMerge/>
            <w:tcBorders>
              <w:top w:val="nil"/>
              <w:left w:val="single" w:sz="8" w:space="0" w:color="BABABA"/>
              <w:bottom w:val="single" w:sz="8" w:space="0" w:color="BABABA"/>
              <w:right w:val="single" w:sz="8" w:space="0" w:color="BABABA"/>
            </w:tcBorders>
            <w:vAlign w:val="center"/>
            <w:hideMark/>
          </w:tcPr>
          <w:p w14:paraId="532BB126" w14:textId="77777777" w:rsidR="00BA160A" w:rsidRPr="00722521" w:rsidRDefault="00BA160A" w:rsidP="00A903E6">
            <w:pPr>
              <w:jc w:val="left"/>
              <w:rPr>
                <w:rFonts w:eastAsia="Microsoft Sans Serif" w:cs="Microsoft Sans Serif"/>
                <w:sz w:val="17"/>
                <w:szCs w:val="17"/>
              </w:rPr>
            </w:pPr>
          </w:p>
        </w:tc>
        <w:tc>
          <w:tcPr>
            <w:tcW w:w="698" w:type="pct"/>
            <w:tcBorders>
              <w:top w:val="nil"/>
              <w:left w:val="single" w:sz="8" w:space="0" w:color="BABABA"/>
              <w:bottom w:val="single" w:sz="8" w:space="0" w:color="BABABA"/>
              <w:right w:val="single" w:sz="8" w:space="0" w:color="BABABA"/>
            </w:tcBorders>
          </w:tcPr>
          <w:p w14:paraId="4E37D340" w14:textId="77777777" w:rsidR="00BA160A" w:rsidRPr="00722521" w:rsidRDefault="00BA160A" w:rsidP="00A903E6">
            <w:pPr>
              <w:mirrorIndents/>
              <w:rPr>
                <w:sz w:val="17"/>
                <w:szCs w:val="17"/>
              </w:rPr>
            </w:pPr>
          </w:p>
        </w:tc>
        <w:tc>
          <w:tcPr>
            <w:tcW w:w="698" w:type="pct"/>
            <w:tcBorders>
              <w:top w:val="nil"/>
              <w:left w:val="single" w:sz="8" w:space="0" w:color="BABABA"/>
              <w:bottom w:val="single" w:sz="8" w:space="0" w:color="BABABA"/>
              <w:right w:val="single" w:sz="8" w:space="0" w:color="BABABA"/>
            </w:tcBorders>
          </w:tcPr>
          <w:p w14:paraId="4EB00CED" w14:textId="77777777" w:rsidR="00BA160A" w:rsidRPr="00722521" w:rsidRDefault="00BA160A" w:rsidP="00A903E6">
            <w:pPr>
              <w:mirrorIndents/>
              <w:rPr>
                <w:sz w:val="17"/>
                <w:szCs w:val="17"/>
              </w:rPr>
            </w:pPr>
          </w:p>
        </w:tc>
        <w:tc>
          <w:tcPr>
            <w:tcW w:w="698" w:type="pct"/>
            <w:tcBorders>
              <w:top w:val="nil"/>
              <w:left w:val="single" w:sz="8" w:space="0" w:color="BABABA"/>
              <w:bottom w:val="single" w:sz="8" w:space="0" w:color="BABABA"/>
              <w:right w:val="single" w:sz="8" w:space="0" w:color="BABABA"/>
            </w:tcBorders>
          </w:tcPr>
          <w:p w14:paraId="52ECAF4C" w14:textId="77777777" w:rsidR="00BA160A" w:rsidRPr="00722521" w:rsidRDefault="00BA160A" w:rsidP="00A903E6">
            <w:pPr>
              <w:mirrorIndents/>
              <w:rPr>
                <w:sz w:val="17"/>
                <w:szCs w:val="17"/>
              </w:rPr>
            </w:pPr>
          </w:p>
        </w:tc>
        <w:tc>
          <w:tcPr>
            <w:tcW w:w="698" w:type="pct"/>
            <w:tcBorders>
              <w:top w:val="nil"/>
              <w:left w:val="single" w:sz="8" w:space="0" w:color="BABABA"/>
              <w:bottom w:val="single" w:sz="8" w:space="0" w:color="BABABA"/>
              <w:right w:val="single" w:sz="8" w:space="0" w:color="BABABA"/>
            </w:tcBorders>
          </w:tcPr>
          <w:p w14:paraId="5D0DD039" w14:textId="77777777" w:rsidR="00BA160A" w:rsidRPr="00722521" w:rsidRDefault="00BA160A" w:rsidP="00A903E6">
            <w:pPr>
              <w:mirrorIndents/>
              <w:rPr>
                <w:sz w:val="17"/>
                <w:szCs w:val="17"/>
              </w:rPr>
            </w:pPr>
          </w:p>
        </w:tc>
        <w:tc>
          <w:tcPr>
            <w:tcW w:w="698" w:type="pct"/>
            <w:tcBorders>
              <w:top w:val="nil"/>
              <w:left w:val="single" w:sz="8" w:space="0" w:color="BABABA"/>
              <w:bottom w:val="single" w:sz="8" w:space="0" w:color="BABABA"/>
              <w:right w:val="single" w:sz="8" w:space="0" w:color="BABABA"/>
            </w:tcBorders>
          </w:tcPr>
          <w:p w14:paraId="75F9FDD6" w14:textId="77777777" w:rsidR="00BA160A" w:rsidRPr="00722521" w:rsidRDefault="00BA160A" w:rsidP="00A903E6">
            <w:pPr>
              <w:mirrorIndents/>
              <w:rPr>
                <w:sz w:val="17"/>
                <w:szCs w:val="17"/>
              </w:rPr>
            </w:pPr>
          </w:p>
        </w:tc>
        <w:tc>
          <w:tcPr>
            <w:tcW w:w="698" w:type="pct"/>
            <w:tcBorders>
              <w:top w:val="nil"/>
              <w:left w:val="single" w:sz="8" w:space="0" w:color="BABABA"/>
              <w:bottom w:val="single" w:sz="8" w:space="0" w:color="BABABA"/>
              <w:right w:val="single" w:sz="8" w:space="0" w:color="BABABA"/>
            </w:tcBorders>
            <w:hideMark/>
          </w:tcPr>
          <w:p w14:paraId="128BE07F" w14:textId="77777777" w:rsidR="00BA160A" w:rsidRPr="00722521" w:rsidRDefault="00BA160A" w:rsidP="00A903E6">
            <w:pPr>
              <w:pStyle w:val="TableParagraph"/>
              <w:mirrorIndents/>
              <w:rPr>
                <w:szCs w:val="17"/>
              </w:rPr>
            </w:pPr>
            <w:r w:rsidRPr="00722521">
              <w:rPr>
                <w:szCs w:val="17"/>
              </w:rPr>
              <w:t>applicable</w:t>
            </w:r>
          </w:p>
        </w:tc>
      </w:tr>
      <w:tr w:rsidR="00BA160A" w:rsidRPr="00722521" w14:paraId="09917131" w14:textId="77777777" w:rsidTr="00D841A8">
        <w:trPr>
          <w:trHeight w:hRule="exact" w:val="1244"/>
        </w:trPr>
        <w:tc>
          <w:tcPr>
            <w:tcW w:w="811" w:type="pct"/>
            <w:tcBorders>
              <w:top w:val="single" w:sz="8" w:space="0" w:color="BABABA"/>
              <w:left w:val="single" w:sz="8" w:space="0" w:color="BABABA"/>
              <w:bottom w:val="single" w:sz="8" w:space="0" w:color="BABABA"/>
              <w:right w:val="single" w:sz="8" w:space="0" w:color="BABABA"/>
            </w:tcBorders>
            <w:hideMark/>
          </w:tcPr>
          <w:p w14:paraId="237CFB39" w14:textId="77777777" w:rsidR="00BA160A" w:rsidRPr="00722521" w:rsidRDefault="00BA160A" w:rsidP="00A903E6">
            <w:pPr>
              <w:pStyle w:val="TableParagraph"/>
              <w:mirrorIndents/>
              <w:rPr>
                <w:szCs w:val="17"/>
              </w:rPr>
            </w:pPr>
            <w:r w:rsidRPr="00722521">
              <w:rPr>
                <w:w w:val="105"/>
                <w:szCs w:val="17"/>
              </w:rPr>
              <w:lastRenderedPageBreak/>
              <w:t xml:space="preserve">General </w:t>
            </w:r>
            <w:r w:rsidRPr="00722521">
              <w:rPr>
                <w:szCs w:val="17"/>
              </w:rPr>
              <w:t xml:space="preserve">consultations </w:t>
            </w:r>
            <w:r w:rsidRPr="00722521">
              <w:rPr>
                <w:w w:val="105"/>
                <w:szCs w:val="17"/>
              </w:rPr>
              <w:t>launched by EIOPA</w:t>
            </w:r>
          </w:p>
        </w:tc>
        <w:tc>
          <w:tcPr>
            <w:tcW w:w="698" w:type="pct"/>
            <w:tcBorders>
              <w:top w:val="single" w:sz="8" w:space="0" w:color="BABABA"/>
              <w:left w:val="single" w:sz="8" w:space="0" w:color="BABABA"/>
              <w:bottom w:val="single" w:sz="8" w:space="0" w:color="BABABA"/>
              <w:right w:val="single" w:sz="8" w:space="0" w:color="BABABA"/>
            </w:tcBorders>
          </w:tcPr>
          <w:p w14:paraId="173C52C5"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1866201C"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57F67BF1"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57119638" w14:textId="57A17C57" w:rsidR="00BA160A" w:rsidRPr="00722521" w:rsidRDefault="005E728A" w:rsidP="00A903E6">
            <w:pPr>
              <w:pStyle w:val="TableParagraph"/>
              <w:mirrorIndents/>
              <w:rPr>
                <w:b/>
                <w:szCs w:val="17"/>
              </w:rPr>
            </w:pPr>
            <w:r w:rsidRPr="00722521">
              <w:rPr>
                <w:b/>
                <w:szCs w:val="17"/>
              </w:rPr>
              <w:t>x</w:t>
            </w:r>
          </w:p>
        </w:tc>
        <w:tc>
          <w:tcPr>
            <w:tcW w:w="698" w:type="pct"/>
            <w:tcBorders>
              <w:top w:val="single" w:sz="8" w:space="0" w:color="BABABA"/>
              <w:left w:val="single" w:sz="8" w:space="0" w:color="BABABA"/>
              <w:bottom w:val="single" w:sz="8" w:space="0" w:color="BABABA"/>
              <w:right w:val="single" w:sz="8" w:space="0" w:color="BABABA"/>
            </w:tcBorders>
          </w:tcPr>
          <w:p w14:paraId="54011D78"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0925C8B5" w14:textId="77777777" w:rsidR="00BA160A" w:rsidRPr="00722521" w:rsidRDefault="00BA160A" w:rsidP="00A903E6">
            <w:pPr>
              <w:pStyle w:val="TableParagraph"/>
              <w:mirrorIndents/>
              <w:rPr>
                <w:b/>
                <w:szCs w:val="17"/>
              </w:rPr>
            </w:pPr>
          </w:p>
        </w:tc>
      </w:tr>
      <w:tr w:rsidR="00BA160A" w:rsidRPr="00722521" w14:paraId="19CE149B" w14:textId="77777777" w:rsidTr="00D841A8">
        <w:trPr>
          <w:trHeight w:hRule="exact" w:val="1692"/>
        </w:trPr>
        <w:tc>
          <w:tcPr>
            <w:tcW w:w="811" w:type="pct"/>
            <w:tcBorders>
              <w:top w:val="single" w:sz="8" w:space="0" w:color="BABABA"/>
              <w:left w:val="single" w:sz="8" w:space="0" w:color="BABABA"/>
              <w:bottom w:val="single" w:sz="8" w:space="0" w:color="BABABA"/>
              <w:right w:val="single" w:sz="8" w:space="0" w:color="BABABA"/>
            </w:tcBorders>
            <w:hideMark/>
          </w:tcPr>
          <w:p w14:paraId="2BB02970" w14:textId="77777777" w:rsidR="00BA160A" w:rsidRPr="00722521" w:rsidRDefault="00BA160A" w:rsidP="00A903E6">
            <w:pPr>
              <w:pStyle w:val="TableParagraph"/>
              <w:mirrorIndents/>
              <w:rPr>
                <w:szCs w:val="17"/>
              </w:rPr>
            </w:pPr>
            <w:r w:rsidRPr="00722521">
              <w:rPr>
                <w:szCs w:val="17"/>
              </w:rPr>
              <w:t>Specific consultations when developing data collection requirements</w:t>
            </w:r>
          </w:p>
        </w:tc>
        <w:tc>
          <w:tcPr>
            <w:tcW w:w="698" w:type="pct"/>
            <w:tcBorders>
              <w:top w:val="single" w:sz="8" w:space="0" w:color="BABABA"/>
              <w:left w:val="single" w:sz="8" w:space="0" w:color="BABABA"/>
              <w:bottom w:val="single" w:sz="8" w:space="0" w:color="BABABA"/>
              <w:right w:val="single" w:sz="8" w:space="0" w:color="BABABA"/>
            </w:tcBorders>
          </w:tcPr>
          <w:p w14:paraId="319DA383"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7C91B5C8"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0B3D3798"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0F52D1CC" w14:textId="1F37FF7C" w:rsidR="00BA160A" w:rsidRPr="00722521" w:rsidRDefault="005E728A" w:rsidP="00A903E6">
            <w:pPr>
              <w:pStyle w:val="TableParagraph"/>
              <w:mirrorIndents/>
              <w:rPr>
                <w:b/>
                <w:szCs w:val="17"/>
              </w:rPr>
            </w:pPr>
            <w:r w:rsidRPr="00722521">
              <w:rPr>
                <w:b/>
                <w:szCs w:val="17"/>
              </w:rPr>
              <w:t>x</w:t>
            </w:r>
          </w:p>
        </w:tc>
        <w:tc>
          <w:tcPr>
            <w:tcW w:w="698" w:type="pct"/>
            <w:tcBorders>
              <w:top w:val="single" w:sz="8" w:space="0" w:color="BABABA"/>
              <w:left w:val="single" w:sz="8" w:space="0" w:color="BABABA"/>
              <w:bottom w:val="single" w:sz="8" w:space="0" w:color="BABABA"/>
              <w:right w:val="single" w:sz="8" w:space="0" w:color="BABABA"/>
            </w:tcBorders>
          </w:tcPr>
          <w:p w14:paraId="1218B0D1"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00ECDC5A" w14:textId="77777777" w:rsidR="00BA160A" w:rsidRPr="00722521" w:rsidRDefault="00BA160A" w:rsidP="00A903E6">
            <w:pPr>
              <w:pStyle w:val="TableParagraph"/>
              <w:mirrorIndents/>
              <w:rPr>
                <w:b/>
                <w:szCs w:val="17"/>
              </w:rPr>
            </w:pPr>
          </w:p>
        </w:tc>
      </w:tr>
    </w:tbl>
    <w:p w14:paraId="11F942B9" w14:textId="77777777" w:rsidR="00BA160A" w:rsidRPr="00722521" w:rsidRDefault="00BA160A" w:rsidP="00A903E6">
      <w:pPr>
        <w:pStyle w:val="Textkrper"/>
        <w:mirrorIndents/>
        <w:rPr>
          <w:rFonts w:ascii="Verdana" w:hAnsi="Verdana"/>
          <w:sz w:val="17"/>
          <w:szCs w:val="17"/>
        </w:rPr>
      </w:pPr>
    </w:p>
    <w:p w14:paraId="22816BF8" w14:textId="77777777"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2.4.2 for EIOPA:</w:t>
      </w:r>
    </w:p>
    <w:p w14:paraId="19AE0B47" w14:textId="049AD11C" w:rsidR="00BA160A" w:rsidRPr="00722521" w:rsidRDefault="00BA160A" w:rsidP="00A903E6">
      <w:pPr>
        <w:mirrorIndents/>
        <w:rPr>
          <w:sz w:val="17"/>
          <w:szCs w:val="17"/>
        </w:rPr>
      </w:pPr>
    </w:p>
    <w:p w14:paraId="4254DF76" w14:textId="01329B85" w:rsidR="00D841A8" w:rsidRPr="00722521" w:rsidRDefault="00D841A8" w:rsidP="00A903E6">
      <w:pPr>
        <w:mirrorIndents/>
        <w:rPr>
          <w:sz w:val="17"/>
          <w:szCs w:val="17"/>
        </w:rPr>
      </w:pPr>
    </w:p>
    <w:p w14:paraId="0D84EE53" w14:textId="77777777" w:rsidR="00D841A8" w:rsidRPr="00722521" w:rsidRDefault="00D841A8" w:rsidP="00A903E6">
      <w:pPr>
        <w:mirrorIndents/>
        <w:rPr>
          <w:sz w:val="17"/>
          <w:szCs w:val="17"/>
        </w:rPr>
      </w:pPr>
    </w:p>
    <w:p w14:paraId="4988C0FA" w14:textId="1E806AA1"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Question 2.4.3 EIOPA: Is EIOPA sufficiently transparent and accessible for stakeholders to ensure effective and efficient interaction?</w:t>
      </w:r>
    </w:p>
    <w:p w14:paraId="494C0321" w14:textId="51680479" w:rsidR="00D841A8" w:rsidRPr="00722521" w:rsidRDefault="00BA160A" w:rsidP="00D841A8">
      <w:pPr>
        <w:pStyle w:val="CEABullet-Level1"/>
        <w:rPr>
          <w:color w:val="auto"/>
          <w:highlight w:val="lightGray"/>
        </w:rPr>
      </w:pPr>
      <w:r w:rsidRPr="00722521">
        <w:rPr>
          <w:color w:val="auto"/>
          <w:highlight w:val="lightGray"/>
        </w:rPr>
        <w:t xml:space="preserve">Yes </w:t>
      </w:r>
    </w:p>
    <w:p w14:paraId="1E600220" w14:textId="3DC85404" w:rsidR="00BA160A" w:rsidRPr="00722521" w:rsidRDefault="00BA160A" w:rsidP="00D841A8">
      <w:pPr>
        <w:pStyle w:val="CEABullet-Level1"/>
        <w:rPr>
          <w:color w:val="auto"/>
          <w:highlight w:val="lightGray"/>
        </w:rPr>
      </w:pPr>
      <w:r w:rsidRPr="00722521">
        <w:rPr>
          <w:color w:val="auto"/>
          <w:highlight w:val="lightGray"/>
        </w:rPr>
        <w:t>No</w:t>
      </w:r>
    </w:p>
    <w:p w14:paraId="643E4E27" w14:textId="77777777" w:rsidR="00BA160A" w:rsidRPr="00722521" w:rsidRDefault="00BA160A" w:rsidP="00D841A8">
      <w:pPr>
        <w:pStyle w:val="CEABullet-Level1"/>
        <w:rPr>
          <w:color w:val="auto"/>
          <w:highlight w:val="lightGray"/>
        </w:rPr>
      </w:pPr>
      <w:r w:rsidRPr="00722521">
        <w:rPr>
          <w:color w:val="auto"/>
          <w:highlight w:val="lightGray"/>
        </w:rPr>
        <w:t>Don’t know / no opinion / not relevant</w:t>
      </w:r>
    </w:p>
    <w:p w14:paraId="454927C7" w14:textId="364AFA50" w:rsidR="00BA160A" w:rsidRPr="00722521" w:rsidRDefault="00BA160A" w:rsidP="00A903E6">
      <w:pPr>
        <w:mirrorIndents/>
        <w:rPr>
          <w:sz w:val="17"/>
          <w:szCs w:val="17"/>
        </w:rPr>
      </w:pPr>
    </w:p>
    <w:p w14:paraId="7571A66D" w14:textId="7A1F4913" w:rsidR="00580733" w:rsidRPr="00722521" w:rsidRDefault="00580733" w:rsidP="00A903E6">
      <w:pPr>
        <w:mirrorIndents/>
        <w:rPr>
          <w:sz w:val="17"/>
          <w:szCs w:val="17"/>
        </w:rPr>
      </w:pPr>
      <w:r w:rsidRPr="00722521">
        <w:rPr>
          <w:sz w:val="17"/>
          <w:szCs w:val="17"/>
        </w:rPr>
        <w:t>Yes</w:t>
      </w:r>
    </w:p>
    <w:p w14:paraId="1D4349CD" w14:textId="77777777" w:rsidR="00580733" w:rsidRPr="00722521" w:rsidRDefault="00580733" w:rsidP="00A903E6">
      <w:pPr>
        <w:mirrorIndents/>
        <w:rPr>
          <w:sz w:val="17"/>
          <w:szCs w:val="17"/>
        </w:rPr>
      </w:pPr>
    </w:p>
    <w:p w14:paraId="2287CF91" w14:textId="77777777"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2.4.3 for EIOPA:</w:t>
      </w:r>
    </w:p>
    <w:p w14:paraId="046FE8B7" w14:textId="77777777" w:rsidR="00D841A8" w:rsidRPr="00722521" w:rsidRDefault="00D841A8" w:rsidP="00D841A8">
      <w:pPr>
        <w:mirrorIndents/>
        <w:rPr>
          <w:sz w:val="17"/>
          <w:szCs w:val="17"/>
        </w:rPr>
      </w:pPr>
    </w:p>
    <w:p w14:paraId="26D55709" w14:textId="23A79A57" w:rsidR="005E728A" w:rsidRPr="00722521" w:rsidRDefault="00722521" w:rsidP="005E728A">
      <w:pPr>
        <w:mirrorIndents/>
        <w:rPr>
          <w:sz w:val="17"/>
          <w:szCs w:val="17"/>
        </w:rPr>
      </w:pPr>
      <w:r>
        <w:rPr>
          <w:sz w:val="17"/>
          <w:szCs w:val="17"/>
        </w:rPr>
        <w:t>VVO</w:t>
      </w:r>
      <w:r w:rsidR="00580733" w:rsidRPr="00722521">
        <w:rPr>
          <w:sz w:val="17"/>
          <w:szCs w:val="17"/>
        </w:rPr>
        <w:t xml:space="preserve"> </w:t>
      </w:r>
      <w:r w:rsidR="005E728A" w:rsidRPr="00722521">
        <w:rPr>
          <w:sz w:val="17"/>
          <w:szCs w:val="17"/>
        </w:rPr>
        <w:t>appreciates the accessibility of EIOPA</w:t>
      </w:r>
      <w:r w:rsidR="00580733" w:rsidRPr="00722521">
        <w:rPr>
          <w:sz w:val="17"/>
          <w:szCs w:val="17"/>
        </w:rPr>
        <w:t xml:space="preserve"> </w:t>
      </w:r>
      <w:r w:rsidR="005E728A" w:rsidRPr="00722521">
        <w:rPr>
          <w:sz w:val="17"/>
          <w:szCs w:val="17"/>
        </w:rPr>
        <w:t xml:space="preserve">and the efforts made by the Authority and its staff to provide feedback in an appropriate timeframe. </w:t>
      </w:r>
      <w:r w:rsidR="00580733" w:rsidRPr="00722521">
        <w:rPr>
          <w:sz w:val="17"/>
          <w:szCs w:val="17"/>
        </w:rPr>
        <w:t>T</w:t>
      </w:r>
      <w:r w:rsidR="005E728A" w:rsidRPr="00722521">
        <w:rPr>
          <w:sz w:val="17"/>
          <w:szCs w:val="17"/>
        </w:rPr>
        <w:t xml:space="preserve">he workshops, hearings and information sessions organised by </w:t>
      </w:r>
      <w:r w:rsidR="00580733" w:rsidRPr="00722521">
        <w:rPr>
          <w:sz w:val="17"/>
          <w:szCs w:val="17"/>
        </w:rPr>
        <w:t>EIOPA</w:t>
      </w:r>
      <w:r w:rsidR="005E728A" w:rsidRPr="00722521">
        <w:rPr>
          <w:sz w:val="17"/>
          <w:szCs w:val="17"/>
        </w:rPr>
        <w:t xml:space="preserve"> </w:t>
      </w:r>
      <w:r w:rsidR="00580733" w:rsidRPr="00722521">
        <w:rPr>
          <w:sz w:val="17"/>
          <w:szCs w:val="17"/>
        </w:rPr>
        <w:t>are</w:t>
      </w:r>
      <w:r w:rsidR="005E728A" w:rsidRPr="00722521">
        <w:rPr>
          <w:sz w:val="17"/>
          <w:szCs w:val="17"/>
        </w:rPr>
        <w:t xml:space="preserve"> very valuable</w:t>
      </w:r>
      <w:r w:rsidR="00580733" w:rsidRPr="00722521">
        <w:rPr>
          <w:sz w:val="17"/>
          <w:szCs w:val="17"/>
        </w:rPr>
        <w:t>, although in some are instances, they seem to be a “tick-the-box” exercise</w:t>
      </w:r>
      <w:r w:rsidR="005E728A" w:rsidRPr="00722521">
        <w:rPr>
          <w:sz w:val="17"/>
          <w:szCs w:val="17"/>
        </w:rPr>
        <w:t>.</w:t>
      </w:r>
    </w:p>
    <w:p w14:paraId="6178A9D7" w14:textId="77777777" w:rsidR="005E728A" w:rsidRPr="00722521" w:rsidRDefault="005E728A" w:rsidP="005E728A">
      <w:pPr>
        <w:mirrorIndents/>
        <w:rPr>
          <w:sz w:val="17"/>
          <w:szCs w:val="17"/>
        </w:rPr>
      </w:pPr>
    </w:p>
    <w:p w14:paraId="6D18986F" w14:textId="6A08E489" w:rsidR="005E728A" w:rsidRPr="00722521" w:rsidRDefault="005E728A" w:rsidP="005E728A">
      <w:pPr>
        <w:mirrorIndents/>
        <w:rPr>
          <w:sz w:val="17"/>
          <w:szCs w:val="17"/>
        </w:rPr>
      </w:pPr>
      <w:r w:rsidRPr="00722521">
        <w:rPr>
          <w:sz w:val="17"/>
          <w:szCs w:val="17"/>
        </w:rPr>
        <w:t xml:space="preserve">At the same time, the transparency on planned initiatives and decisions taken by EIOPA can be increased. The publication of the agendas and minutes of the </w:t>
      </w:r>
      <w:proofErr w:type="spellStart"/>
      <w:r w:rsidRPr="00722521">
        <w:rPr>
          <w:sz w:val="17"/>
          <w:szCs w:val="17"/>
        </w:rPr>
        <w:t>BoS</w:t>
      </w:r>
      <w:proofErr w:type="spellEnd"/>
      <w:r w:rsidRPr="00722521">
        <w:rPr>
          <w:sz w:val="17"/>
          <w:szCs w:val="17"/>
        </w:rPr>
        <w:t xml:space="preserve"> six weeks after the decision has been made, is of limited value. Furthermore, the information published is not sufficiently detailed. </w:t>
      </w:r>
      <w:r w:rsidR="00722521">
        <w:rPr>
          <w:sz w:val="17"/>
          <w:szCs w:val="17"/>
        </w:rPr>
        <w:t>VVO</w:t>
      </w:r>
      <w:r w:rsidR="00580733" w:rsidRPr="00722521">
        <w:rPr>
          <w:sz w:val="17"/>
          <w:szCs w:val="17"/>
        </w:rPr>
        <w:t xml:space="preserve"> would</w:t>
      </w:r>
      <w:r w:rsidRPr="00722521">
        <w:rPr>
          <w:sz w:val="17"/>
          <w:szCs w:val="17"/>
        </w:rPr>
        <w:t xml:space="preserve"> appreciate if the information is provided timely and in more detail.</w:t>
      </w:r>
    </w:p>
    <w:p w14:paraId="639CD9C7" w14:textId="77777777" w:rsidR="005E728A" w:rsidRPr="00722521" w:rsidRDefault="005E728A" w:rsidP="005E728A">
      <w:pPr>
        <w:mirrorIndents/>
        <w:rPr>
          <w:sz w:val="17"/>
          <w:szCs w:val="17"/>
        </w:rPr>
      </w:pPr>
    </w:p>
    <w:p w14:paraId="1D3C6DEE" w14:textId="0F69FD47" w:rsidR="00D841A8" w:rsidRPr="00722521" w:rsidRDefault="005E728A" w:rsidP="00D841A8">
      <w:pPr>
        <w:mirrorIndents/>
        <w:rPr>
          <w:sz w:val="17"/>
          <w:szCs w:val="17"/>
        </w:rPr>
      </w:pPr>
      <w:r w:rsidRPr="00722521">
        <w:rPr>
          <w:sz w:val="17"/>
          <w:szCs w:val="17"/>
        </w:rPr>
        <w:t xml:space="preserve">In addition, EIOPA </w:t>
      </w:r>
      <w:r w:rsidR="00580733" w:rsidRPr="00722521">
        <w:rPr>
          <w:sz w:val="17"/>
          <w:szCs w:val="17"/>
        </w:rPr>
        <w:t>sh</w:t>
      </w:r>
      <w:r w:rsidRPr="00722521">
        <w:rPr>
          <w:sz w:val="17"/>
          <w:szCs w:val="17"/>
        </w:rPr>
        <w:t>ould provide a rolling list of activities and upcoming consultations to allow interested stakeholders to participate</w:t>
      </w:r>
      <w:r w:rsidR="00580733" w:rsidRPr="00722521">
        <w:rPr>
          <w:sz w:val="17"/>
          <w:szCs w:val="17"/>
        </w:rPr>
        <w:t xml:space="preserve"> while managing resources. This remark is not only valid for the industry, as it would be also very valuable for less resourceful categories of stakeholders, </w:t>
      </w:r>
      <w:proofErr w:type="spellStart"/>
      <w:r w:rsidR="00580733" w:rsidRPr="00722521">
        <w:rPr>
          <w:sz w:val="17"/>
          <w:szCs w:val="17"/>
        </w:rPr>
        <w:t>eg</w:t>
      </w:r>
      <w:proofErr w:type="spellEnd"/>
      <w:r w:rsidR="00580733" w:rsidRPr="00722521">
        <w:rPr>
          <w:sz w:val="17"/>
          <w:szCs w:val="17"/>
        </w:rPr>
        <w:t xml:space="preserve"> consumer representatives.</w:t>
      </w:r>
    </w:p>
    <w:p w14:paraId="064A301E" w14:textId="77777777" w:rsidR="00D841A8" w:rsidRPr="00722521" w:rsidRDefault="00D841A8" w:rsidP="00D841A8">
      <w:pPr>
        <w:mirrorIndents/>
        <w:rPr>
          <w:sz w:val="17"/>
          <w:szCs w:val="17"/>
        </w:rPr>
      </w:pPr>
    </w:p>
    <w:p w14:paraId="0094A731" w14:textId="3252156F" w:rsidR="00BA160A" w:rsidRPr="00722521" w:rsidRDefault="00BA160A" w:rsidP="00D841A8">
      <w:pPr>
        <w:mirrorIndents/>
        <w:rPr>
          <w:b/>
          <w:bCs/>
          <w:sz w:val="17"/>
          <w:szCs w:val="17"/>
        </w:rPr>
      </w:pPr>
      <w:r w:rsidRPr="00722521">
        <w:rPr>
          <w:b/>
          <w:sz w:val="17"/>
          <w:szCs w:val="17"/>
          <w:highlight w:val="lightGray"/>
        </w:rPr>
        <w:t>Question 2.4.4 Please rate the impact of stakeholders groups within the ESAs on the overall work and achievements of the ESAs:</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543"/>
        <w:gridCol w:w="1328"/>
        <w:gridCol w:w="1328"/>
        <w:gridCol w:w="1328"/>
        <w:gridCol w:w="1328"/>
        <w:gridCol w:w="1328"/>
        <w:gridCol w:w="1328"/>
      </w:tblGrid>
      <w:tr w:rsidR="00BA160A" w:rsidRPr="00722521" w14:paraId="0CCEF341" w14:textId="77777777" w:rsidTr="00D841A8">
        <w:trPr>
          <w:trHeight w:hRule="exact" w:val="1958"/>
        </w:trPr>
        <w:tc>
          <w:tcPr>
            <w:tcW w:w="811" w:type="pct"/>
            <w:tcBorders>
              <w:top w:val="single" w:sz="8" w:space="0" w:color="BABABA"/>
              <w:left w:val="single" w:sz="8" w:space="0" w:color="BABABA"/>
              <w:bottom w:val="single" w:sz="8" w:space="0" w:color="BABABA"/>
              <w:right w:val="single" w:sz="8" w:space="0" w:color="BABABA"/>
            </w:tcBorders>
          </w:tcPr>
          <w:p w14:paraId="61DEB1EE" w14:textId="77777777" w:rsidR="00BA160A" w:rsidRPr="00722521" w:rsidRDefault="00BA160A" w:rsidP="00A903E6">
            <w:pPr>
              <w:mirrorIndents/>
              <w:rPr>
                <w:sz w:val="17"/>
                <w:szCs w:val="17"/>
              </w:rPr>
            </w:pPr>
          </w:p>
        </w:tc>
        <w:tc>
          <w:tcPr>
            <w:tcW w:w="698" w:type="pct"/>
            <w:tcBorders>
              <w:top w:val="single" w:sz="8" w:space="0" w:color="BABABA"/>
              <w:left w:val="single" w:sz="8" w:space="0" w:color="BABABA"/>
              <w:bottom w:val="single" w:sz="8" w:space="0" w:color="BABABA"/>
              <w:right w:val="single" w:sz="8" w:space="0" w:color="BABABA"/>
            </w:tcBorders>
            <w:hideMark/>
          </w:tcPr>
          <w:p w14:paraId="375CDAF8" w14:textId="77777777" w:rsidR="00BA160A" w:rsidRPr="00722521" w:rsidRDefault="00BA160A" w:rsidP="00A903E6">
            <w:pPr>
              <w:pStyle w:val="TableParagraph"/>
              <w:mirrorIndents/>
              <w:rPr>
                <w:szCs w:val="17"/>
              </w:rPr>
            </w:pPr>
            <w:r w:rsidRPr="00722521">
              <w:rPr>
                <w:w w:val="99"/>
                <w:szCs w:val="17"/>
              </w:rPr>
              <w:t>1</w:t>
            </w:r>
          </w:p>
          <w:p w14:paraId="0049236E" w14:textId="77777777" w:rsidR="00BA160A" w:rsidRPr="00722521" w:rsidRDefault="00BA160A" w:rsidP="00A903E6">
            <w:pPr>
              <w:pStyle w:val="TableParagraph"/>
              <w:ind w:hanging="1"/>
              <w:mirrorIndents/>
              <w:rPr>
                <w:szCs w:val="17"/>
              </w:rPr>
            </w:pPr>
            <w:r w:rsidRPr="00722521">
              <w:rPr>
                <w:szCs w:val="17"/>
              </w:rPr>
              <w:t>(less significant impact</w:t>
            </w:r>
          </w:p>
        </w:tc>
        <w:tc>
          <w:tcPr>
            <w:tcW w:w="698" w:type="pct"/>
            <w:tcBorders>
              <w:top w:val="single" w:sz="8" w:space="0" w:color="BABABA"/>
              <w:left w:val="single" w:sz="8" w:space="0" w:color="BABABA"/>
              <w:bottom w:val="single" w:sz="8" w:space="0" w:color="BABABA"/>
              <w:right w:val="single" w:sz="8" w:space="0" w:color="BABABA"/>
            </w:tcBorders>
            <w:hideMark/>
          </w:tcPr>
          <w:p w14:paraId="10E0E371" w14:textId="77777777" w:rsidR="00BA160A" w:rsidRPr="00722521" w:rsidRDefault="00BA160A" w:rsidP="00A903E6">
            <w:pPr>
              <w:pStyle w:val="TableParagraph"/>
              <w:mirrorIndents/>
              <w:rPr>
                <w:szCs w:val="17"/>
              </w:rPr>
            </w:pPr>
            <w:r w:rsidRPr="00722521">
              <w:rPr>
                <w:w w:val="99"/>
                <w:szCs w:val="17"/>
              </w:rPr>
              <w:t>2</w:t>
            </w:r>
          </w:p>
          <w:p w14:paraId="1E822D89" w14:textId="77777777" w:rsidR="00BA160A" w:rsidRPr="00722521" w:rsidRDefault="00BA160A" w:rsidP="00A903E6">
            <w:pPr>
              <w:pStyle w:val="TableParagraph"/>
              <w:ind w:hanging="1"/>
              <w:mirrorIndents/>
              <w:rPr>
                <w:szCs w:val="17"/>
              </w:rPr>
            </w:pPr>
            <w:r w:rsidRPr="00722521">
              <w:rPr>
                <w:szCs w:val="17"/>
              </w:rPr>
              <w:t>(not so significant impact)</w:t>
            </w:r>
          </w:p>
        </w:tc>
        <w:tc>
          <w:tcPr>
            <w:tcW w:w="698" w:type="pct"/>
            <w:tcBorders>
              <w:top w:val="single" w:sz="8" w:space="0" w:color="BABABA"/>
              <w:left w:val="single" w:sz="8" w:space="0" w:color="BABABA"/>
              <w:bottom w:val="single" w:sz="8" w:space="0" w:color="BABABA"/>
              <w:right w:val="single" w:sz="8" w:space="0" w:color="BABABA"/>
            </w:tcBorders>
            <w:hideMark/>
          </w:tcPr>
          <w:p w14:paraId="0319AD8E" w14:textId="77777777" w:rsidR="00BA160A" w:rsidRPr="00722521" w:rsidRDefault="00BA160A" w:rsidP="00A903E6">
            <w:pPr>
              <w:pStyle w:val="TableParagraph"/>
              <w:mirrorIndents/>
              <w:rPr>
                <w:szCs w:val="17"/>
              </w:rPr>
            </w:pPr>
            <w:r w:rsidRPr="00722521">
              <w:rPr>
                <w:w w:val="99"/>
                <w:szCs w:val="17"/>
              </w:rPr>
              <w:t>3</w:t>
            </w:r>
          </w:p>
          <w:p w14:paraId="0B23E2E7" w14:textId="77777777" w:rsidR="00BA160A" w:rsidRPr="00722521" w:rsidRDefault="00BA160A" w:rsidP="00A903E6">
            <w:pPr>
              <w:pStyle w:val="TableParagraph"/>
              <w:mirrorIndents/>
              <w:rPr>
                <w:szCs w:val="17"/>
              </w:rPr>
            </w:pPr>
            <w:r w:rsidRPr="00722521">
              <w:rPr>
                <w:szCs w:val="17"/>
              </w:rPr>
              <w:t>(neutral)</w:t>
            </w:r>
          </w:p>
        </w:tc>
        <w:tc>
          <w:tcPr>
            <w:tcW w:w="698" w:type="pct"/>
            <w:tcBorders>
              <w:top w:val="single" w:sz="8" w:space="0" w:color="BABABA"/>
              <w:left w:val="single" w:sz="8" w:space="0" w:color="BABABA"/>
              <w:bottom w:val="single" w:sz="8" w:space="0" w:color="BABABA"/>
              <w:right w:val="single" w:sz="8" w:space="0" w:color="BABABA"/>
            </w:tcBorders>
            <w:hideMark/>
          </w:tcPr>
          <w:p w14:paraId="7AC461E0" w14:textId="77777777" w:rsidR="00BA160A" w:rsidRPr="00722521" w:rsidRDefault="00BA160A" w:rsidP="00A903E6">
            <w:pPr>
              <w:pStyle w:val="TableParagraph"/>
              <w:mirrorIndents/>
              <w:rPr>
                <w:szCs w:val="17"/>
              </w:rPr>
            </w:pPr>
            <w:r w:rsidRPr="00722521">
              <w:rPr>
                <w:w w:val="99"/>
                <w:szCs w:val="17"/>
              </w:rPr>
              <w:t>4</w:t>
            </w:r>
          </w:p>
          <w:p w14:paraId="5AEBDAC8" w14:textId="77777777" w:rsidR="00BA160A" w:rsidRPr="00722521" w:rsidRDefault="00BA160A" w:rsidP="00A903E6">
            <w:pPr>
              <w:pStyle w:val="TableParagraph"/>
              <w:mirrorIndents/>
              <w:rPr>
                <w:szCs w:val="17"/>
              </w:rPr>
            </w:pPr>
            <w:r w:rsidRPr="00722521">
              <w:rPr>
                <w:szCs w:val="17"/>
              </w:rPr>
              <w:t>(significant impact)</w:t>
            </w:r>
          </w:p>
        </w:tc>
        <w:tc>
          <w:tcPr>
            <w:tcW w:w="698" w:type="pct"/>
            <w:tcBorders>
              <w:top w:val="single" w:sz="8" w:space="0" w:color="BABABA"/>
              <w:left w:val="single" w:sz="8" w:space="0" w:color="BABABA"/>
              <w:bottom w:val="single" w:sz="8" w:space="0" w:color="BABABA"/>
              <w:right w:val="single" w:sz="8" w:space="0" w:color="BABABA"/>
            </w:tcBorders>
            <w:hideMark/>
          </w:tcPr>
          <w:p w14:paraId="2535047F" w14:textId="77777777" w:rsidR="00BA160A" w:rsidRPr="00722521" w:rsidRDefault="00BA160A" w:rsidP="00A903E6">
            <w:pPr>
              <w:pStyle w:val="TableParagraph"/>
              <w:mirrorIndents/>
              <w:rPr>
                <w:szCs w:val="17"/>
              </w:rPr>
            </w:pPr>
            <w:r w:rsidRPr="00722521">
              <w:rPr>
                <w:w w:val="99"/>
                <w:szCs w:val="17"/>
              </w:rPr>
              <w:t>5</w:t>
            </w:r>
          </w:p>
          <w:p w14:paraId="7DFA4DCE" w14:textId="77777777" w:rsidR="00BA160A" w:rsidRPr="00722521" w:rsidRDefault="00BA160A" w:rsidP="00A903E6">
            <w:pPr>
              <w:pStyle w:val="TableParagraph"/>
              <w:mirrorIndents/>
              <w:rPr>
                <w:szCs w:val="17"/>
              </w:rPr>
            </w:pPr>
            <w:r w:rsidRPr="00722521">
              <w:rPr>
                <w:szCs w:val="17"/>
              </w:rPr>
              <w:t>(most significant impact)</w:t>
            </w:r>
          </w:p>
        </w:tc>
        <w:tc>
          <w:tcPr>
            <w:tcW w:w="698" w:type="pct"/>
            <w:tcBorders>
              <w:top w:val="single" w:sz="8" w:space="0" w:color="BABABA"/>
              <w:left w:val="single" w:sz="8" w:space="0" w:color="BABABA"/>
              <w:bottom w:val="single" w:sz="8" w:space="0" w:color="BABABA"/>
              <w:right w:val="single" w:sz="8" w:space="0" w:color="BABABA"/>
            </w:tcBorders>
            <w:hideMark/>
          </w:tcPr>
          <w:p w14:paraId="0687D798"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24668A28" w14:textId="77777777" w:rsidR="00BA160A" w:rsidRPr="00722521" w:rsidRDefault="00BA160A" w:rsidP="00A903E6">
            <w:pPr>
              <w:pStyle w:val="TableParagraph"/>
              <w:mirrorIndents/>
              <w:rPr>
                <w:szCs w:val="17"/>
              </w:rPr>
            </w:pPr>
            <w:r w:rsidRPr="00722521">
              <w:rPr>
                <w:szCs w:val="17"/>
              </w:rPr>
              <w:t>Not applicable</w:t>
            </w:r>
          </w:p>
        </w:tc>
      </w:tr>
      <w:tr w:rsidR="00BA160A" w:rsidRPr="00722521" w14:paraId="65C263A4" w14:textId="77777777" w:rsidTr="00D841A8">
        <w:trPr>
          <w:trHeight w:hRule="exact" w:val="1818"/>
        </w:trPr>
        <w:tc>
          <w:tcPr>
            <w:tcW w:w="811" w:type="pct"/>
            <w:tcBorders>
              <w:top w:val="single" w:sz="8" w:space="0" w:color="BABABA"/>
              <w:left w:val="single" w:sz="8" w:space="0" w:color="BABABA"/>
              <w:bottom w:val="single" w:sz="8" w:space="0" w:color="BABABA"/>
              <w:right w:val="single" w:sz="8" w:space="0" w:color="BABABA"/>
            </w:tcBorders>
            <w:hideMark/>
          </w:tcPr>
          <w:p w14:paraId="7A56CC77" w14:textId="77777777" w:rsidR="00BA160A" w:rsidRPr="00722521" w:rsidRDefault="00BA160A" w:rsidP="00A903E6">
            <w:pPr>
              <w:pStyle w:val="TableParagraph"/>
              <w:mirrorIndents/>
              <w:rPr>
                <w:szCs w:val="17"/>
              </w:rPr>
            </w:pPr>
            <w:r w:rsidRPr="00722521">
              <w:rPr>
                <w:w w:val="105"/>
                <w:szCs w:val="17"/>
              </w:rPr>
              <w:lastRenderedPageBreak/>
              <w:t>EIOPA</w:t>
            </w:r>
          </w:p>
          <w:p w14:paraId="6EEEF8D9" w14:textId="77777777" w:rsidR="00BA160A" w:rsidRPr="00722521" w:rsidRDefault="00BA160A" w:rsidP="00A903E6">
            <w:pPr>
              <w:pStyle w:val="TableParagraph"/>
              <w:mirrorIndents/>
              <w:rPr>
                <w:szCs w:val="17"/>
              </w:rPr>
            </w:pPr>
            <w:r w:rsidRPr="00722521">
              <w:rPr>
                <w:w w:val="105"/>
                <w:szCs w:val="17"/>
              </w:rPr>
              <w:t xml:space="preserve">Insurance &amp; </w:t>
            </w:r>
            <w:r w:rsidRPr="00722521">
              <w:rPr>
                <w:szCs w:val="17"/>
              </w:rPr>
              <w:t xml:space="preserve">Reinsurance </w:t>
            </w:r>
            <w:r w:rsidRPr="00722521">
              <w:rPr>
                <w:w w:val="105"/>
                <w:szCs w:val="17"/>
              </w:rPr>
              <w:t>Stakeholder Group</w:t>
            </w:r>
          </w:p>
        </w:tc>
        <w:tc>
          <w:tcPr>
            <w:tcW w:w="698" w:type="pct"/>
            <w:tcBorders>
              <w:top w:val="single" w:sz="8" w:space="0" w:color="BABABA"/>
              <w:left w:val="single" w:sz="8" w:space="0" w:color="BABABA"/>
              <w:bottom w:val="single" w:sz="8" w:space="0" w:color="BABABA"/>
              <w:right w:val="single" w:sz="8" w:space="0" w:color="BABABA"/>
            </w:tcBorders>
          </w:tcPr>
          <w:p w14:paraId="779D5768"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6F5E5E99"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13E15479"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4CC178B8"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015730E0" w14:textId="09AEE5D8" w:rsidR="00BA160A" w:rsidRPr="00722521" w:rsidRDefault="00060427" w:rsidP="00A903E6">
            <w:pPr>
              <w:pStyle w:val="TableParagraph"/>
              <w:mirrorIndents/>
              <w:rPr>
                <w:b/>
                <w:szCs w:val="17"/>
              </w:rPr>
            </w:pPr>
            <w:r w:rsidRPr="00722521">
              <w:rPr>
                <w:b/>
                <w:szCs w:val="17"/>
              </w:rPr>
              <w:t>x</w:t>
            </w:r>
          </w:p>
        </w:tc>
        <w:tc>
          <w:tcPr>
            <w:tcW w:w="698" w:type="pct"/>
            <w:tcBorders>
              <w:top w:val="single" w:sz="8" w:space="0" w:color="BABABA"/>
              <w:left w:val="single" w:sz="8" w:space="0" w:color="BABABA"/>
              <w:bottom w:val="single" w:sz="8" w:space="0" w:color="BABABA"/>
              <w:right w:val="single" w:sz="8" w:space="0" w:color="BABABA"/>
            </w:tcBorders>
          </w:tcPr>
          <w:p w14:paraId="5DAD8B35" w14:textId="77777777" w:rsidR="00BA160A" w:rsidRPr="00722521" w:rsidRDefault="00BA160A" w:rsidP="00A903E6">
            <w:pPr>
              <w:pStyle w:val="TableParagraph"/>
              <w:mirrorIndents/>
              <w:rPr>
                <w:b/>
                <w:szCs w:val="17"/>
              </w:rPr>
            </w:pPr>
          </w:p>
        </w:tc>
      </w:tr>
      <w:tr w:rsidR="00BA160A" w:rsidRPr="00722521" w14:paraId="714F577B" w14:textId="77777777" w:rsidTr="00D841A8">
        <w:trPr>
          <w:trHeight w:hRule="exact" w:val="1818"/>
        </w:trPr>
        <w:tc>
          <w:tcPr>
            <w:tcW w:w="811" w:type="pct"/>
            <w:tcBorders>
              <w:top w:val="single" w:sz="8" w:space="0" w:color="BABABA"/>
              <w:left w:val="single" w:sz="8" w:space="0" w:color="BABABA"/>
              <w:bottom w:val="single" w:sz="8" w:space="0" w:color="BABABA"/>
              <w:right w:val="single" w:sz="8" w:space="0" w:color="BABABA"/>
            </w:tcBorders>
            <w:hideMark/>
          </w:tcPr>
          <w:p w14:paraId="6D75804A" w14:textId="77777777" w:rsidR="00BA160A" w:rsidRPr="00722521" w:rsidRDefault="00BA160A" w:rsidP="00A903E6">
            <w:pPr>
              <w:pStyle w:val="TableParagraph"/>
              <w:mirrorIndents/>
              <w:rPr>
                <w:szCs w:val="17"/>
              </w:rPr>
            </w:pPr>
            <w:r w:rsidRPr="00722521">
              <w:rPr>
                <w:w w:val="105"/>
                <w:szCs w:val="17"/>
              </w:rPr>
              <w:t>EIOPA</w:t>
            </w:r>
          </w:p>
          <w:p w14:paraId="4FC77E6F" w14:textId="77777777" w:rsidR="00BA160A" w:rsidRPr="00722521" w:rsidRDefault="00BA160A" w:rsidP="00A903E6">
            <w:pPr>
              <w:pStyle w:val="TableParagraph"/>
              <w:mirrorIndents/>
              <w:rPr>
                <w:szCs w:val="17"/>
              </w:rPr>
            </w:pPr>
            <w:r w:rsidRPr="00722521">
              <w:rPr>
                <w:szCs w:val="17"/>
              </w:rPr>
              <w:t>Occupational Pensions Stakeholder Group</w:t>
            </w:r>
          </w:p>
        </w:tc>
        <w:tc>
          <w:tcPr>
            <w:tcW w:w="698" w:type="pct"/>
            <w:tcBorders>
              <w:top w:val="single" w:sz="8" w:space="0" w:color="BABABA"/>
              <w:left w:val="single" w:sz="8" w:space="0" w:color="BABABA"/>
              <w:bottom w:val="single" w:sz="8" w:space="0" w:color="BABABA"/>
              <w:right w:val="single" w:sz="8" w:space="0" w:color="BABABA"/>
            </w:tcBorders>
          </w:tcPr>
          <w:p w14:paraId="1066191E"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01C80B33"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2C23F1DC"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376BC426" w14:textId="5FBBAAFF" w:rsidR="00BA160A" w:rsidRPr="00722521" w:rsidRDefault="00060427" w:rsidP="00A903E6">
            <w:pPr>
              <w:pStyle w:val="TableParagraph"/>
              <w:mirrorIndents/>
              <w:rPr>
                <w:b/>
                <w:szCs w:val="17"/>
              </w:rPr>
            </w:pPr>
            <w:r w:rsidRPr="00722521">
              <w:rPr>
                <w:b/>
                <w:szCs w:val="17"/>
              </w:rPr>
              <w:t>x</w:t>
            </w:r>
          </w:p>
        </w:tc>
        <w:tc>
          <w:tcPr>
            <w:tcW w:w="698" w:type="pct"/>
            <w:tcBorders>
              <w:top w:val="single" w:sz="8" w:space="0" w:color="BABABA"/>
              <w:left w:val="single" w:sz="8" w:space="0" w:color="BABABA"/>
              <w:bottom w:val="single" w:sz="8" w:space="0" w:color="BABABA"/>
              <w:right w:val="single" w:sz="8" w:space="0" w:color="BABABA"/>
            </w:tcBorders>
          </w:tcPr>
          <w:p w14:paraId="251213E1"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43BE299D" w14:textId="77777777" w:rsidR="00BA160A" w:rsidRPr="00722521" w:rsidRDefault="00BA160A" w:rsidP="00A903E6">
            <w:pPr>
              <w:pStyle w:val="TableParagraph"/>
              <w:mirrorIndents/>
              <w:rPr>
                <w:b/>
                <w:szCs w:val="17"/>
              </w:rPr>
            </w:pPr>
          </w:p>
        </w:tc>
      </w:tr>
      <w:tr w:rsidR="00BA160A" w:rsidRPr="00722521" w14:paraId="29D418B9" w14:textId="77777777" w:rsidTr="00D841A8">
        <w:trPr>
          <w:trHeight w:hRule="exact" w:val="1818"/>
        </w:trPr>
        <w:tc>
          <w:tcPr>
            <w:tcW w:w="811" w:type="pct"/>
            <w:tcBorders>
              <w:top w:val="single" w:sz="8" w:space="0" w:color="BABABA"/>
              <w:left w:val="single" w:sz="8" w:space="0" w:color="BABABA"/>
              <w:bottom w:val="single" w:sz="8" w:space="0" w:color="BABABA"/>
              <w:right w:val="single" w:sz="8" w:space="0" w:color="BABABA"/>
            </w:tcBorders>
            <w:hideMark/>
          </w:tcPr>
          <w:p w14:paraId="0BDBF5A9" w14:textId="77777777" w:rsidR="00BA160A" w:rsidRPr="00722521" w:rsidRDefault="00BA160A" w:rsidP="00A903E6">
            <w:pPr>
              <w:pStyle w:val="TableParagraph"/>
              <w:mirrorIndents/>
              <w:rPr>
                <w:szCs w:val="17"/>
              </w:rPr>
            </w:pPr>
            <w:r w:rsidRPr="00722521">
              <w:rPr>
                <w:w w:val="105"/>
                <w:szCs w:val="17"/>
              </w:rPr>
              <w:t>ESMA</w:t>
            </w:r>
          </w:p>
          <w:p w14:paraId="106BFE22" w14:textId="77777777" w:rsidR="00BA160A" w:rsidRPr="00722521" w:rsidRDefault="00BA160A" w:rsidP="00A903E6">
            <w:pPr>
              <w:pStyle w:val="TableParagraph"/>
              <w:mirrorIndents/>
              <w:rPr>
                <w:szCs w:val="17"/>
              </w:rPr>
            </w:pPr>
            <w:r w:rsidRPr="00722521">
              <w:rPr>
                <w:w w:val="105"/>
                <w:szCs w:val="17"/>
              </w:rPr>
              <w:t>Securities and Markets</w:t>
            </w:r>
            <w:r w:rsidRPr="00722521">
              <w:rPr>
                <w:w w:val="102"/>
                <w:szCs w:val="17"/>
              </w:rPr>
              <w:t xml:space="preserve"> </w:t>
            </w:r>
            <w:r w:rsidRPr="00722521">
              <w:rPr>
                <w:szCs w:val="17"/>
              </w:rPr>
              <w:t xml:space="preserve">Stakeholder </w:t>
            </w:r>
            <w:r w:rsidRPr="00722521">
              <w:rPr>
                <w:w w:val="105"/>
                <w:szCs w:val="17"/>
              </w:rPr>
              <w:t>Group</w:t>
            </w:r>
          </w:p>
        </w:tc>
        <w:tc>
          <w:tcPr>
            <w:tcW w:w="698" w:type="pct"/>
            <w:tcBorders>
              <w:top w:val="single" w:sz="8" w:space="0" w:color="BABABA"/>
              <w:left w:val="single" w:sz="8" w:space="0" w:color="BABABA"/>
              <w:bottom w:val="single" w:sz="8" w:space="0" w:color="BABABA"/>
              <w:right w:val="single" w:sz="8" w:space="0" w:color="BABABA"/>
            </w:tcBorders>
          </w:tcPr>
          <w:p w14:paraId="11C4D3B3"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31BBCAC5"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2AB5B3E6"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62517BB4"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79DC1C30"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42F41B9C" w14:textId="3F639042" w:rsidR="00BA160A" w:rsidRPr="00722521" w:rsidRDefault="00060427" w:rsidP="00A903E6">
            <w:pPr>
              <w:pStyle w:val="TableParagraph"/>
              <w:mirrorIndents/>
              <w:rPr>
                <w:b/>
                <w:szCs w:val="17"/>
              </w:rPr>
            </w:pPr>
            <w:r w:rsidRPr="00722521">
              <w:rPr>
                <w:b/>
                <w:szCs w:val="17"/>
              </w:rPr>
              <w:t>x</w:t>
            </w:r>
          </w:p>
        </w:tc>
      </w:tr>
      <w:tr w:rsidR="00BA160A" w:rsidRPr="00722521" w14:paraId="3177208C" w14:textId="77777777" w:rsidTr="00D841A8">
        <w:trPr>
          <w:trHeight w:hRule="exact" w:val="1522"/>
        </w:trPr>
        <w:tc>
          <w:tcPr>
            <w:tcW w:w="811" w:type="pct"/>
            <w:tcBorders>
              <w:top w:val="single" w:sz="8" w:space="0" w:color="BABABA"/>
              <w:left w:val="single" w:sz="8" w:space="0" w:color="BABABA"/>
              <w:bottom w:val="single" w:sz="8" w:space="0" w:color="BABABA"/>
              <w:right w:val="single" w:sz="8" w:space="0" w:color="BABABA"/>
            </w:tcBorders>
            <w:hideMark/>
          </w:tcPr>
          <w:p w14:paraId="48C53E02" w14:textId="77777777" w:rsidR="00BA160A" w:rsidRPr="00722521" w:rsidRDefault="00BA160A" w:rsidP="00A903E6">
            <w:pPr>
              <w:pStyle w:val="TableParagraph"/>
              <w:mirrorIndents/>
              <w:rPr>
                <w:szCs w:val="17"/>
              </w:rPr>
            </w:pPr>
            <w:r w:rsidRPr="00722521">
              <w:rPr>
                <w:w w:val="105"/>
                <w:szCs w:val="17"/>
              </w:rPr>
              <w:t>EBA</w:t>
            </w:r>
          </w:p>
          <w:p w14:paraId="51E8B388" w14:textId="77777777" w:rsidR="00BA160A" w:rsidRPr="00722521" w:rsidRDefault="00BA160A" w:rsidP="00A903E6">
            <w:pPr>
              <w:pStyle w:val="TableParagraph"/>
              <w:mirrorIndents/>
              <w:rPr>
                <w:szCs w:val="17"/>
              </w:rPr>
            </w:pPr>
            <w:r w:rsidRPr="00722521">
              <w:rPr>
                <w:w w:val="105"/>
                <w:szCs w:val="17"/>
              </w:rPr>
              <w:t xml:space="preserve">Banking </w:t>
            </w:r>
            <w:r w:rsidRPr="00722521">
              <w:rPr>
                <w:szCs w:val="17"/>
              </w:rPr>
              <w:t xml:space="preserve">Stakeholder </w:t>
            </w:r>
            <w:r w:rsidRPr="00722521">
              <w:rPr>
                <w:w w:val="105"/>
                <w:szCs w:val="17"/>
              </w:rPr>
              <w:t>Group</w:t>
            </w:r>
          </w:p>
        </w:tc>
        <w:tc>
          <w:tcPr>
            <w:tcW w:w="698" w:type="pct"/>
            <w:tcBorders>
              <w:top w:val="single" w:sz="8" w:space="0" w:color="BABABA"/>
              <w:left w:val="single" w:sz="8" w:space="0" w:color="BABABA"/>
              <w:bottom w:val="single" w:sz="8" w:space="0" w:color="BABABA"/>
              <w:right w:val="single" w:sz="8" w:space="0" w:color="BABABA"/>
            </w:tcBorders>
          </w:tcPr>
          <w:p w14:paraId="257BC619"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5CBAF6BC"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2BACCB2E"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4EDEB57A"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07514270" w14:textId="77777777" w:rsidR="00BA160A" w:rsidRPr="00722521" w:rsidRDefault="00BA160A" w:rsidP="00A903E6">
            <w:pPr>
              <w:pStyle w:val="TableParagraph"/>
              <w:mirrorIndents/>
              <w:rPr>
                <w:b/>
                <w:szCs w:val="17"/>
              </w:rPr>
            </w:pPr>
          </w:p>
        </w:tc>
        <w:tc>
          <w:tcPr>
            <w:tcW w:w="698" w:type="pct"/>
            <w:tcBorders>
              <w:top w:val="single" w:sz="8" w:space="0" w:color="BABABA"/>
              <w:left w:val="single" w:sz="8" w:space="0" w:color="BABABA"/>
              <w:bottom w:val="single" w:sz="8" w:space="0" w:color="BABABA"/>
              <w:right w:val="single" w:sz="8" w:space="0" w:color="BABABA"/>
            </w:tcBorders>
          </w:tcPr>
          <w:p w14:paraId="1A5B090E" w14:textId="3E41E3D2" w:rsidR="00BA160A" w:rsidRPr="00722521" w:rsidRDefault="00060427" w:rsidP="00A903E6">
            <w:pPr>
              <w:pStyle w:val="TableParagraph"/>
              <w:mirrorIndents/>
              <w:rPr>
                <w:b/>
                <w:szCs w:val="17"/>
              </w:rPr>
            </w:pPr>
            <w:r w:rsidRPr="00722521">
              <w:rPr>
                <w:b/>
                <w:szCs w:val="17"/>
              </w:rPr>
              <w:t>x</w:t>
            </w:r>
          </w:p>
        </w:tc>
      </w:tr>
    </w:tbl>
    <w:p w14:paraId="5935F36D" w14:textId="77777777" w:rsidR="00D841A8" w:rsidRPr="00722521" w:rsidRDefault="00D841A8" w:rsidP="00A903E6">
      <w:pPr>
        <w:pStyle w:val="Textkrper"/>
        <w:mirrorIndents/>
        <w:rPr>
          <w:rFonts w:ascii="Verdana" w:hAnsi="Verdana"/>
          <w:sz w:val="17"/>
          <w:szCs w:val="17"/>
        </w:rPr>
      </w:pPr>
    </w:p>
    <w:p w14:paraId="1242D710" w14:textId="079E2674"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explain your answers to question 2.4.4:</w:t>
      </w:r>
    </w:p>
    <w:p w14:paraId="235F26D7" w14:textId="77777777" w:rsidR="00BA160A" w:rsidRPr="00722521" w:rsidRDefault="00BA160A" w:rsidP="00A903E6">
      <w:pPr>
        <w:mirrorIndents/>
        <w:rPr>
          <w:sz w:val="17"/>
          <w:szCs w:val="17"/>
        </w:rPr>
      </w:pPr>
    </w:p>
    <w:p w14:paraId="3DABF4BB" w14:textId="5B9149F5" w:rsidR="00060427" w:rsidRPr="00722521" w:rsidRDefault="00722521" w:rsidP="00060427">
      <w:pPr>
        <w:mirrorIndents/>
        <w:rPr>
          <w:sz w:val="17"/>
          <w:szCs w:val="17"/>
        </w:rPr>
      </w:pPr>
      <w:r>
        <w:rPr>
          <w:sz w:val="17"/>
          <w:szCs w:val="17"/>
        </w:rPr>
        <w:t>VVO</w:t>
      </w:r>
      <w:r w:rsidR="006514C4" w:rsidRPr="00722521">
        <w:rPr>
          <w:sz w:val="17"/>
          <w:szCs w:val="17"/>
        </w:rPr>
        <w:t xml:space="preserve"> </w:t>
      </w:r>
      <w:r w:rsidR="00060427" w:rsidRPr="00722521">
        <w:rPr>
          <w:sz w:val="17"/>
          <w:szCs w:val="17"/>
        </w:rPr>
        <w:t>believe</w:t>
      </w:r>
      <w:r w:rsidR="006514C4" w:rsidRPr="00722521">
        <w:rPr>
          <w:sz w:val="17"/>
          <w:szCs w:val="17"/>
        </w:rPr>
        <w:t>s</w:t>
      </w:r>
      <w:r w:rsidR="00060427" w:rsidRPr="00722521">
        <w:rPr>
          <w:sz w:val="17"/>
          <w:szCs w:val="17"/>
        </w:rPr>
        <w:t xml:space="preserve"> that the IRSG and the OPSG play significant roles for the work of EIOPA</w:t>
      </w:r>
      <w:r w:rsidR="006514C4" w:rsidRPr="00722521">
        <w:rPr>
          <w:sz w:val="17"/>
          <w:szCs w:val="17"/>
        </w:rPr>
        <w:t>, in pa</w:t>
      </w:r>
      <w:r w:rsidR="00060427" w:rsidRPr="00722521">
        <w:rPr>
          <w:sz w:val="17"/>
          <w:szCs w:val="17"/>
        </w:rPr>
        <w:t xml:space="preserve">rticularly the IRSG </w:t>
      </w:r>
      <w:r w:rsidR="006514C4" w:rsidRPr="00722521">
        <w:rPr>
          <w:sz w:val="17"/>
          <w:szCs w:val="17"/>
        </w:rPr>
        <w:t xml:space="preserve">which </w:t>
      </w:r>
      <w:r w:rsidR="00060427" w:rsidRPr="00722521">
        <w:rPr>
          <w:sz w:val="17"/>
          <w:szCs w:val="17"/>
        </w:rPr>
        <w:t xml:space="preserve">is in the focus of many of the </w:t>
      </w:r>
      <w:r w:rsidR="006514C4" w:rsidRPr="00722521">
        <w:rPr>
          <w:sz w:val="17"/>
          <w:szCs w:val="17"/>
        </w:rPr>
        <w:t xml:space="preserve">EIOPA </w:t>
      </w:r>
      <w:r w:rsidR="00060427" w:rsidRPr="00722521">
        <w:rPr>
          <w:sz w:val="17"/>
          <w:szCs w:val="17"/>
        </w:rPr>
        <w:t xml:space="preserve">policy initiatives. It has to be noted that the IRSG’s mandate is difficult to be fulfilled on the sometimes very technical dimension of the subjects, its set-up and constitution. </w:t>
      </w:r>
    </w:p>
    <w:p w14:paraId="73A3475A" w14:textId="0D0B7E83" w:rsidR="00060427" w:rsidRPr="00722521" w:rsidRDefault="00060427" w:rsidP="00060427">
      <w:pPr>
        <w:mirrorIndents/>
        <w:rPr>
          <w:sz w:val="17"/>
          <w:szCs w:val="17"/>
        </w:rPr>
      </w:pPr>
      <w:r w:rsidRPr="00722521">
        <w:rPr>
          <w:sz w:val="17"/>
          <w:szCs w:val="17"/>
        </w:rPr>
        <w:t>It is important that the different members of the groups do not limit the ability of contributions. As per the nature of the topics, the impact of the subject matter on the different individuals in the stakeholder groups can vary significantly. The provision that one third of the members of a stakeholder groups can issue a statement of advice no agreement at group level is, therefore, an important prerequisite to ensure the functioning of the groups.</w:t>
      </w:r>
    </w:p>
    <w:p w14:paraId="0D011D3E" w14:textId="7ECB8918" w:rsidR="00315D35" w:rsidRPr="00722521" w:rsidRDefault="00315D35" w:rsidP="00060427">
      <w:pPr>
        <w:mirrorIndents/>
        <w:rPr>
          <w:sz w:val="17"/>
          <w:szCs w:val="17"/>
        </w:rPr>
      </w:pPr>
    </w:p>
    <w:p w14:paraId="36E694F4" w14:textId="7A122845" w:rsidR="00315D35" w:rsidRPr="00722521" w:rsidRDefault="00722521" w:rsidP="00315D35">
      <w:pPr>
        <w:mirrorIndents/>
        <w:rPr>
          <w:sz w:val="17"/>
          <w:szCs w:val="17"/>
        </w:rPr>
      </w:pPr>
      <w:r>
        <w:rPr>
          <w:sz w:val="17"/>
          <w:szCs w:val="17"/>
        </w:rPr>
        <w:t>VVO</w:t>
      </w:r>
      <w:r w:rsidR="00315D35" w:rsidRPr="00722521">
        <w:rPr>
          <w:sz w:val="17"/>
          <w:szCs w:val="17"/>
        </w:rPr>
        <w:t xml:space="preserve"> </w:t>
      </w:r>
      <w:r w:rsidR="00A16D06" w:rsidRPr="00722521">
        <w:rPr>
          <w:sz w:val="17"/>
          <w:szCs w:val="17"/>
        </w:rPr>
        <w:t>highlights</w:t>
      </w:r>
      <w:r w:rsidR="00315D35" w:rsidRPr="00722521">
        <w:rPr>
          <w:sz w:val="17"/>
          <w:szCs w:val="17"/>
        </w:rPr>
        <w:t xml:space="preserve"> that the IRSG </w:t>
      </w:r>
      <w:r w:rsidR="00E04D15" w:rsidRPr="00722521">
        <w:rPr>
          <w:sz w:val="17"/>
          <w:szCs w:val="17"/>
        </w:rPr>
        <w:t>c</w:t>
      </w:r>
      <w:r w:rsidR="00315D35" w:rsidRPr="00722521">
        <w:rPr>
          <w:sz w:val="17"/>
          <w:szCs w:val="17"/>
        </w:rPr>
        <w:t>ould also be able to provide its advice on EIOPA policies in accordance with Article 29 EIOPA Regulation (Article 37.6 EIOPA Regulation). Particularly on the increasingly used (supervisory) statements by the Authority</w:t>
      </w:r>
      <w:r w:rsidR="00E04D15" w:rsidRPr="00722521">
        <w:rPr>
          <w:sz w:val="17"/>
          <w:szCs w:val="17"/>
        </w:rPr>
        <w:t>. Therefore, the industry welcomes that EIOPA seems to have taken the approach to systematically consult the IRSG.</w:t>
      </w:r>
      <w:r w:rsidR="00315D35" w:rsidRPr="00722521">
        <w:rPr>
          <w:sz w:val="17"/>
          <w:szCs w:val="17"/>
        </w:rPr>
        <w:t xml:space="preserve"> </w:t>
      </w:r>
      <w:r w:rsidR="00E04D15" w:rsidRPr="00722521">
        <w:rPr>
          <w:sz w:val="17"/>
          <w:szCs w:val="17"/>
        </w:rPr>
        <w:t>A</w:t>
      </w:r>
      <w:r w:rsidR="00315D35" w:rsidRPr="00722521">
        <w:rPr>
          <w:sz w:val="17"/>
          <w:szCs w:val="17"/>
        </w:rPr>
        <w:t>n early and due involvement of the IRSG is important to ensure a balanced approach and avoid collateral effects.</w:t>
      </w:r>
    </w:p>
    <w:p w14:paraId="6157590D" w14:textId="77777777" w:rsidR="00315D35" w:rsidRPr="00722521" w:rsidRDefault="00315D35" w:rsidP="00060427">
      <w:pPr>
        <w:mirrorIndents/>
        <w:rPr>
          <w:sz w:val="17"/>
          <w:szCs w:val="17"/>
        </w:rPr>
      </w:pPr>
    </w:p>
    <w:p w14:paraId="18DF248C" w14:textId="77777777" w:rsidR="00BA160A" w:rsidRPr="00722521" w:rsidRDefault="00BA160A" w:rsidP="00A903E6">
      <w:pPr>
        <w:mirrorIndents/>
        <w:rPr>
          <w:sz w:val="17"/>
          <w:szCs w:val="17"/>
        </w:rPr>
      </w:pPr>
    </w:p>
    <w:p w14:paraId="16D47036" w14:textId="3F1B6F3D"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 xml:space="preserve">Question 2.4.5 In the framework of 2019 ESAs’ review, please assess the significance of the recent changes in the composition, selection, term of office and advice of the </w:t>
      </w:r>
      <w:proofErr w:type="gramStart"/>
      <w:r w:rsidRPr="00722521">
        <w:rPr>
          <w:rFonts w:ascii="Verdana" w:hAnsi="Verdana"/>
          <w:sz w:val="17"/>
          <w:szCs w:val="17"/>
          <w:highlight w:val="lightGray"/>
        </w:rPr>
        <w:t>stakeholders</w:t>
      </w:r>
      <w:proofErr w:type="gramEnd"/>
      <w:r w:rsidRPr="00722521">
        <w:rPr>
          <w:rFonts w:ascii="Verdana" w:hAnsi="Verdana"/>
          <w:sz w:val="17"/>
          <w:szCs w:val="17"/>
          <w:highlight w:val="lightGray"/>
        </w:rPr>
        <w:t xml:space="preserve"> groups (Article 37 ESAs Regulations)?</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530"/>
        <w:gridCol w:w="1331"/>
        <w:gridCol w:w="1330"/>
        <w:gridCol w:w="1330"/>
        <w:gridCol w:w="1330"/>
        <w:gridCol w:w="1330"/>
        <w:gridCol w:w="1330"/>
      </w:tblGrid>
      <w:tr w:rsidR="00BA160A" w:rsidRPr="00722521" w14:paraId="370F44E3" w14:textId="77777777" w:rsidTr="00D841A8">
        <w:trPr>
          <w:trHeight w:hRule="exact" w:val="1958"/>
        </w:trPr>
        <w:tc>
          <w:tcPr>
            <w:tcW w:w="804" w:type="pct"/>
            <w:tcBorders>
              <w:top w:val="single" w:sz="8" w:space="0" w:color="BABABA"/>
              <w:left w:val="single" w:sz="8" w:space="0" w:color="BABABA"/>
              <w:bottom w:val="single" w:sz="8" w:space="0" w:color="BABABA"/>
              <w:right w:val="single" w:sz="8" w:space="0" w:color="BABABA"/>
            </w:tcBorders>
          </w:tcPr>
          <w:p w14:paraId="6EE17D7D"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single" w:sz="8" w:space="0" w:color="BABABA"/>
              <w:right w:val="single" w:sz="8" w:space="0" w:color="BABABA"/>
            </w:tcBorders>
            <w:hideMark/>
          </w:tcPr>
          <w:p w14:paraId="5B981540" w14:textId="77777777" w:rsidR="00BA160A" w:rsidRPr="00722521" w:rsidRDefault="00BA160A" w:rsidP="00A903E6">
            <w:pPr>
              <w:pStyle w:val="TableParagraph"/>
              <w:mirrorIndents/>
              <w:rPr>
                <w:szCs w:val="17"/>
              </w:rPr>
            </w:pPr>
            <w:r w:rsidRPr="00722521">
              <w:rPr>
                <w:w w:val="99"/>
                <w:szCs w:val="17"/>
              </w:rPr>
              <w:t>1</w:t>
            </w:r>
          </w:p>
          <w:p w14:paraId="7474275E" w14:textId="77777777" w:rsidR="00BA160A" w:rsidRPr="00722521" w:rsidRDefault="00BA160A" w:rsidP="00A903E6">
            <w:pPr>
              <w:pStyle w:val="TableParagraph"/>
              <w:ind w:hanging="1"/>
              <w:mirrorIndents/>
              <w:rPr>
                <w:szCs w:val="17"/>
              </w:rPr>
            </w:pPr>
            <w:r w:rsidRPr="00722521">
              <w:rPr>
                <w:szCs w:val="17"/>
              </w:rPr>
              <w:t>(less significant impact</w:t>
            </w:r>
          </w:p>
        </w:tc>
        <w:tc>
          <w:tcPr>
            <w:tcW w:w="699" w:type="pct"/>
            <w:tcBorders>
              <w:top w:val="single" w:sz="8" w:space="0" w:color="BABABA"/>
              <w:left w:val="single" w:sz="8" w:space="0" w:color="BABABA"/>
              <w:bottom w:val="single" w:sz="8" w:space="0" w:color="BABABA"/>
              <w:right w:val="single" w:sz="8" w:space="0" w:color="BABABA"/>
            </w:tcBorders>
            <w:hideMark/>
          </w:tcPr>
          <w:p w14:paraId="2717294D" w14:textId="77777777" w:rsidR="00BA160A" w:rsidRPr="00722521" w:rsidRDefault="00BA160A" w:rsidP="00A903E6">
            <w:pPr>
              <w:pStyle w:val="TableParagraph"/>
              <w:mirrorIndents/>
              <w:rPr>
                <w:szCs w:val="17"/>
              </w:rPr>
            </w:pPr>
            <w:r w:rsidRPr="00722521">
              <w:rPr>
                <w:w w:val="99"/>
                <w:szCs w:val="17"/>
              </w:rPr>
              <w:t>2</w:t>
            </w:r>
          </w:p>
          <w:p w14:paraId="3E983508" w14:textId="77777777" w:rsidR="00BA160A" w:rsidRPr="00722521" w:rsidRDefault="00BA160A" w:rsidP="00A903E6">
            <w:pPr>
              <w:pStyle w:val="TableParagraph"/>
              <w:ind w:hanging="1"/>
              <w:mirrorIndents/>
              <w:rPr>
                <w:szCs w:val="17"/>
              </w:rPr>
            </w:pPr>
            <w:r w:rsidRPr="00722521">
              <w:rPr>
                <w:szCs w:val="17"/>
              </w:rPr>
              <w:t>(not so significant impact)</w:t>
            </w:r>
          </w:p>
        </w:tc>
        <w:tc>
          <w:tcPr>
            <w:tcW w:w="699" w:type="pct"/>
            <w:tcBorders>
              <w:top w:val="single" w:sz="8" w:space="0" w:color="BABABA"/>
              <w:left w:val="single" w:sz="8" w:space="0" w:color="BABABA"/>
              <w:bottom w:val="single" w:sz="8" w:space="0" w:color="BABABA"/>
              <w:right w:val="single" w:sz="8" w:space="0" w:color="BABABA"/>
            </w:tcBorders>
            <w:hideMark/>
          </w:tcPr>
          <w:p w14:paraId="70374760" w14:textId="77777777" w:rsidR="00BA160A" w:rsidRPr="00722521" w:rsidRDefault="00BA160A" w:rsidP="00A903E6">
            <w:pPr>
              <w:pStyle w:val="TableParagraph"/>
              <w:mirrorIndents/>
              <w:rPr>
                <w:szCs w:val="17"/>
              </w:rPr>
            </w:pPr>
            <w:r w:rsidRPr="00722521">
              <w:rPr>
                <w:w w:val="99"/>
                <w:szCs w:val="17"/>
              </w:rPr>
              <w:t>3</w:t>
            </w:r>
          </w:p>
          <w:p w14:paraId="13BA150E" w14:textId="77777777" w:rsidR="00BA160A" w:rsidRPr="00722521" w:rsidRDefault="00BA160A" w:rsidP="00A903E6">
            <w:pPr>
              <w:pStyle w:val="TableParagraph"/>
              <w:mirrorIndents/>
              <w:rPr>
                <w:szCs w:val="17"/>
              </w:rPr>
            </w:pPr>
            <w:r w:rsidRPr="00722521">
              <w:rPr>
                <w:szCs w:val="17"/>
              </w:rPr>
              <w:t>(neutral)</w:t>
            </w:r>
          </w:p>
        </w:tc>
        <w:tc>
          <w:tcPr>
            <w:tcW w:w="699" w:type="pct"/>
            <w:tcBorders>
              <w:top w:val="single" w:sz="8" w:space="0" w:color="BABABA"/>
              <w:left w:val="single" w:sz="8" w:space="0" w:color="BABABA"/>
              <w:bottom w:val="single" w:sz="8" w:space="0" w:color="BABABA"/>
              <w:right w:val="single" w:sz="8" w:space="0" w:color="BABABA"/>
            </w:tcBorders>
            <w:hideMark/>
          </w:tcPr>
          <w:p w14:paraId="64C67235" w14:textId="77777777" w:rsidR="00BA160A" w:rsidRPr="00722521" w:rsidRDefault="00BA160A" w:rsidP="00A903E6">
            <w:pPr>
              <w:pStyle w:val="TableParagraph"/>
              <w:mirrorIndents/>
              <w:rPr>
                <w:szCs w:val="17"/>
              </w:rPr>
            </w:pPr>
            <w:r w:rsidRPr="00722521">
              <w:rPr>
                <w:w w:val="99"/>
                <w:szCs w:val="17"/>
              </w:rPr>
              <w:t>4</w:t>
            </w:r>
          </w:p>
          <w:p w14:paraId="2C1836F8" w14:textId="77777777" w:rsidR="00BA160A" w:rsidRPr="00722521" w:rsidRDefault="00BA160A" w:rsidP="00A903E6">
            <w:pPr>
              <w:pStyle w:val="TableParagraph"/>
              <w:mirrorIndents/>
              <w:rPr>
                <w:szCs w:val="17"/>
              </w:rPr>
            </w:pPr>
            <w:r w:rsidRPr="00722521">
              <w:rPr>
                <w:szCs w:val="17"/>
              </w:rPr>
              <w:t>(significant impact)</w:t>
            </w:r>
          </w:p>
        </w:tc>
        <w:tc>
          <w:tcPr>
            <w:tcW w:w="699" w:type="pct"/>
            <w:tcBorders>
              <w:top w:val="single" w:sz="8" w:space="0" w:color="BABABA"/>
              <w:left w:val="single" w:sz="8" w:space="0" w:color="BABABA"/>
              <w:bottom w:val="single" w:sz="8" w:space="0" w:color="BABABA"/>
              <w:right w:val="single" w:sz="8" w:space="0" w:color="BABABA"/>
            </w:tcBorders>
            <w:hideMark/>
          </w:tcPr>
          <w:p w14:paraId="38018829" w14:textId="77777777" w:rsidR="00BA160A" w:rsidRPr="00722521" w:rsidRDefault="00BA160A" w:rsidP="00A903E6">
            <w:pPr>
              <w:pStyle w:val="TableParagraph"/>
              <w:mirrorIndents/>
              <w:rPr>
                <w:szCs w:val="17"/>
              </w:rPr>
            </w:pPr>
            <w:r w:rsidRPr="00722521">
              <w:rPr>
                <w:w w:val="99"/>
                <w:szCs w:val="17"/>
              </w:rPr>
              <w:t>5</w:t>
            </w:r>
          </w:p>
          <w:p w14:paraId="2DD14BFC" w14:textId="77777777" w:rsidR="00BA160A" w:rsidRPr="00722521" w:rsidRDefault="00BA160A" w:rsidP="00A903E6">
            <w:pPr>
              <w:pStyle w:val="TableParagraph"/>
              <w:mirrorIndents/>
              <w:rPr>
                <w:szCs w:val="17"/>
              </w:rPr>
            </w:pPr>
            <w:r w:rsidRPr="00722521">
              <w:rPr>
                <w:szCs w:val="17"/>
              </w:rPr>
              <w:t>(most significant impact)</w:t>
            </w:r>
          </w:p>
        </w:tc>
        <w:tc>
          <w:tcPr>
            <w:tcW w:w="699" w:type="pct"/>
            <w:tcBorders>
              <w:top w:val="single" w:sz="8" w:space="0" w:color="BABABA"/>
              <w:left w:val="single" w:sz="8" w:space="0" w:color="BABABA"/>
              <w:bottom w:val="single" w:sz="8" w:space="0" w:color="BABABA"/>
              <w:right w:val="single" w:sz="8" w:space="0" w:color="BABABA"/>
            </w:tcBorders>
            <w:hideMark/>
          </w:tcPr>
          <w:p w14:paraId="515CDA23"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72295784" w14:textId="77777777" w:rsidR="00BA160A" w:rsidRPr="00722521" w:rsidRDefault="00BA160A" w:rsidP="00A903E6">
            <w:pPr>
              <w:pStyle w:val="TableParagraph"/>
              <w:ind w:hanging="1"/>
              <w:mirrorIndents/>
              <w:rPr>
                <w:szCs w:val="17"/>
              </w:rPr>
            </w:pPr>
            <w:r w:rsidRPr="00722521">
              <w:rPr>
                <w:szCs w:val="17"/>
              </w:rPr>
              <w:t>Not applicable</w:t>
            </w:r>
          </w:p>
        </w:tc>
      </w:tr>
      <w:tr w:rsidR="00BA160A" w:rsidRPr="00722521" w14:paraId="1B99F2BB" w14:textId="77777777" w:rsidTr="00D841A8">
        <w:trPr>
          <w:trHeight w:hRule="exact" w:val="911"/>
        </w:trPr>
        <w:tc>
          <w:tcPr>
            <w:tcW w:w="804" w:type="pct"/>
            <w:tcBorders>
              <w:top w:val="single" w:sz="8" w:space="0" w:color="BABABA"/>
              <w:left w:val="single" w:sz="8" w:space="0" w:color="BABABA"/>
              <w:bottom w:val="single" w:sz="8" w:space="0" w:color="BABABA"/>
              <w:right w:val="single" w:sz="8" w:space="0" w:color="BABABA"/>
            </w:tcBorders>
            <w:hideMark/>
          </w:tcPr>
          <w:p w14:paraId="5FD27B86" w14:textId="77777777" w:rsidR="00BA160A" w:rsidRPr="00722521" w:rsidRDefault="00BA160A" w:rsidP="00A903E6">
            <w:pPr>
              <w:pStyle w:val="TableParagraph"/>
              <w:mirrorIndents/>
              <w:rPr>
                <w:szCs w:val="17"/>
              </w:rPr>
            </w:pPr>
            <w:r w:rsidRPr="00722521">
              <w:rPr>
                <w:szCs w:val="17"/>
              </w:rPr>
              <w:t xml:space="preserve">Composition </w:t>
            </w:r>
            <w:r w:rsidRPr="00722521">
              <w:rPr>
                <w:w w:val="105"/>
                <w:szCs w:val="17"/>
              </w:rPr>
              <w:t xml:space="preserve">of </w:t>
            </w:r>
            <w:r w:rsidRPr="00722521">
              <w:rPr>
                <w:szCs w:val="17"/>
              </w:rPr>
              <w:t xml:space="preserve">stakeholders </w:t>
            </w:r>
            <w:r w:rsidRPr="00722521">
              <w:rPr>
                <w:w w:val="105"/>
                <w:szCs w:val="17"/>
              </w:rPr>
              <w:t>groups</w:t>
            </w:r>
          </w:p>
        </w:tc>
        <w:tc>
          <w:tcPr>
            <w:tcW w:w="699" w:type="pct"/>
            <w:tcBorders>
              <w:top w:val="single" w:sz="8" w:space="0" w:color="BABABA"/>
              <w:left w:val="single" w:sz="8" w:space="0" w:color="BABABA"/>
              <w:bottom w:val="single" w:sz="8" w:space="0" w:color="BABABA"/>
              <w:right w:val="single" w:sz="8" w:space="0" w:color="BABABA"/>
            </w:tcBorders>
          </w:tcPr>
          <w:p w14:paraId="33C4A700"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EE776C0"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D567557"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4CA0B0CF"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7FCB85E8" w14:textId="579DBF38"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1ADC9702" w14:textId="77777777" w:rsidR="00BA160A" w:rsidRPr="00722521" w:rsidRDefault="00BA160A" w:rsidP="00A903E6">
            <w:pPr>
              <w:pStyle w:val="TableParagraph"/>
              <w:mirrorIndents/>
              <w:rPr>
                <w:b/>
                <w:szCs w:val="17"/>
              </w:rPr>
            </w:pPr>
          </w:p>
        </w:tc>
      </w:tr>
      <w:tr w:rsidR="00BA160A" w:rsidRPr="00722521" w14:paraId="545508CB" w14:textId="77777777" w:rsidTr="00D841A8">
        <w:trPr>
          <w:trHeight w:hRule="exact" w:val="711"/>
        </w:trPr>
        <w:tc>
          <w:tcPr>
            <w:tcW w:w="804" w:type="pct"/>
            <w:tcBorders>
              <w:top w:val="single" w:sz="8" w:space="0" w:color="BABABA"/>
              <w:left w:val="single" w:sz="8" w:space="0" w:color="BABABA"/>
              <w:bottom w:val="single" w:sz="8" w:space="0" w:color="BABABA"/>
              <w:right w:val="single" w:sz="8" w:space="0" w:color="BABABA"/>
            </w:tcBorders>
            <w:hideMark/>
          </w:tcPr>
          <w:p w14:paraId="7C01C2F3" w14:textId="77777777" w:rsidR="00BA160A" w:rsidRPr="00722521" w:rsidRDefault="00BA160A" w:rsidP="00A903E6">
            <w:pPr>
              <w:pStyle w:val="TableParagraph"/>
              <w:mirrorIndents/>
              <w:rPr>
                <w:szCs w:val="17"/>
              </w:rPr>
            </w:pPr>
            <w:r w:rsidRPr="00722521">
              <w:rPr>
                <w:w w:val="105"/>
                <w:szCs w:val="17"/>
              </w:rPr>
              <w:t>Selection of</w:t>
            </w:r>
            <w:r w:rsidRPr="00722521">
              <w:rPr>
                <w:w w:val="102"/>
                <w:szCs w:val="17"/>
              </w:rPr>
              <w:t xml:space="preserve"> </w:t>
            </w:r>
            <w:r w:rsidRPr="00722521">
              <w:rPr>
                <w:w w:val="105"/>
                <w:szCs w:val="17"/>
              </w:rPr>
              <w:t>members</w:t>
            </w:r>
          </w:p>
        </w:tc>
        <w:tc>
          <w:tcPr>
            <w:tcW w:w="699" w:type="pct"/>
            <w:tcBorders>
              <w:top w:val="single" w:sz="8" w:space="0" w:color="BABABA"/>
              <w:left w:val="single" w:sz="8" w:space="0" w:color="BABABA"/>
              <w:bottom w:val="single" w:sz="8" w:space="0" w:color="BABABA"/>
              <w:right w:val="single" w:sz="8" w:space="0" w:color="BABABA"/>
            </w:tcBorders>
          </w:tcPr>
          <w:p w14:paraId="11ED39E4"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E0F25E6"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CBB6804"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346470F6" w14:textId="3B079257"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4623FD86"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D4893A6" w14:textId="77777777" w:rsidR="00BA160A" w:rsidRPr="00722521" w:rsidRDefault="00BA160A" w:rsidP="00A903E6">
            <w:pPr>
              <w:pStyle w:val="TableParagraph"/>
              <w:mirrorIndents/>
              <w:rPr>
                <w:b/>
                <w:szCs w:val="17"/>
              </w:rPr>
            </w:pPr>
          </w:p>
        </w:tc>
      </w:tr>
      <w:tr w:rsidR="00BA160A" w:rsidRPr="00722521" w14:paraId="06D63618" w14:textId="77777777" w:rsidTr="00D841A8">
        <w:trPr>
          <w:trHeight w:hRule="exact" w:val="640"/>
        </w:trPr>
        <w:tc>
          <w:tcPr>
            <w:tcW w:w="804" w:type="pct"/>
            <w:tcBorders>
              <w:top w:val="single" w:sz="8" w:space="0" w:color="BABABA"/>
              <w:left w:val="single" w:sz="8" w:space="0" w:color="BABABA"/>
              <w:bottom w:val="single" w:sz="8" w:space="0" w:color="BABABA"/>
              <w:right w:val="single" w:sz="8" w:space="0" w:color="BABABA"/>
            </w:tcBorders>
            <w:hideMark/>
          </w:tcPr>
          <w:p w14:paraId="5D3F2425" w14:textId="77777777" w:rsidR="00BA160A" w:rsidRPr="00722521" w:rsidRDefault="00BA160A" w:rsidP="00A903E6">
            <w:pPr>
              <w:pStyle w:val="TableParagraph"/>
              <w:mirrorIndents/>
              <w:rPr>
                <w:szCs w:val="17"/>
              </w:rPr>
            </w:pPr>
            <w:r w:rsidRPr="00722521">
              <w:rPr>
                <w:w w:val="105"/>
                <w:szCs w:val="17"/>
              </w:rPr>
              <w:t>Term of office</w:t>
            </w:r>
          </w:p>
        </w:tc>
        <w:tc>
          <w:tcPr>
            <w:tcW w:w="699" w:type="pct"/>
            <w:tcBorders>
              <w:top w:val="single" w:sz="8" w:space="0" w:color="BABABA"/>
              <w:left w:val="single" w:sz="8" w:space="0" w:color="BABABA"/>
              <w:bottom w:val="single" w:sz="8" w:space="0" w:color="BABABA"/>
              <w:right w:val="single" w:sz="8" w:space="0" w:color="BABABA"/>
            </w:tcBorders>
          </w:tcPr>
          <w:p w14:paraId="7F18D5FA"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3EC2A861"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8B92A97" w14:textId="609FBF0E"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680AACA7"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16E2A24"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151B695" w14:textId="77777777" w:rsidR="00BA160A" w:rsidRPr="00722521" w:rsidRDefault="00BA160A" w:rsidP="00A903E6">
            <w:pPr>
              <w:pStyle w:val="TableParagraph"/>
              <w:mirrorIndents/>
              <w:rPr>
                <w:b/>
                <w:szCs w:val="17"/>
              </w:rPr>
            </w:pPr>
          </w:p>
        </w:tc>
      </w:tr>
      <w:tr w:rsidR="00BA160A" w:rsidRPr="00722521" w14:paraId="0DC4B0EC" w14:textId="77777777" w:rsidTr="00D841A8">
        <w:trPr>
          <w:trHeight w:hRule="exact" w:val="1215"/>
        </w:trPr>
        <w:tc>
          <w:tcPr>
            <w:tcW w:w="804" w:type="pct"/>
            <w:tcBorders>
              <w:top w:val="single" w:sz="8" w:space="0" w:color="BABABA"/>
              <w:left w:val="single" w:sz="8" w:space="0" w:color="BABABA"/>
              <w:bottom w:val="single" w:sz="8" w:space="0" w:color="BABABA"/>
              <w:right w:val="single" w:sz="8" w:space="0" w:color="BABABA"/>
            </w:tcBorders>
            <w:hideMark/>
          </w:tcPr>
          <w:p w14:paraId="62E5E087" w14:textId="77777777" w:rsidR="00BA160A" w:rsidRPr="00722521" w:rsidRDefault="00BA160A" w:rsidP="00A903E6">
            <w:pPr>
              <w:pStyle w:val="TableParagraph"/>
              <w:mirrorIndents/>
              <w:rPr>
                <w:szCs w:val="17"/>
              </w:rPr>
            </w:pPr>
            <w:r w:rsidRPr="00722521">
              <w:rPr>
                <w:szCs w:val="17"/>
              </w:rPr>
              <w:t>A third of its members can issue a separate advice</w:t>
            </w:r>
          </w:p>
        </w:tc>
        <w:tc>
          <w:tcPr>
            <w:tcW w:w="699" w:type="pct"/>
            <w:tcBorders>
              <w:top w:val="single" w:sz="8" w:space="0" w:color="BABABA"/>
              <w:left w:val="single" w:sz="8" w:space="0" w:color="BABABA"/>
              <w:bottom w:val="single" w:sz="8" w:space="0" w:color="BABABA"/>
              <w:right w:val="single" w:sz="8" w:space="0" w:color="BABABA"/>
            </w:tcBorders>
          </w:tcPr>
          <w:p w14:paraId="322BAE6E"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03E09B8"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CFF623A" w14:textId="5FDB6BB9"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5912984" w14:textId="4AC39429" w:rsidR="00BA160A" w:rsidRPr="00722521" w:rsidRDefault="006514C4"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74FE562B" w14:textId="488CE289"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62C54FA" w14:textId="77777777" w:rsidR="00BA160A" w:rsidRPr="00722521" w:rsidRDefault="00BA160A" w:rsidP="00A903E6">
            <w:pPr>
              <w:pStyle w:val="TableParagraph"/>
              <w:mirrorIndents/>
              <w:rPr>
                <w:b/>
                <w:szCs w:val="17"/>
              </w:rPr>
            </w:pPr>
          </w:p>
        </w:tc>
      </w:tr>
    </w:tbl>
    <w:p w14:paraId="6F42FA2E" w14:textId="77777777" w:rsidR="00BA160A" w:rsidRPr="00722521" w:rsidRDefault="00BA160A" w:rsidP="00A903E6">
      <w:pPr>
        <w:pStyle w:val="Textkrper"/>
        <w:mirrorIndents/>
        <w:rPr>
          <w:rFonts w:ascii="Verdana" w:hAnsi="Verdana"/>
          <w:sz w:val="17"/>
          <w:szCs w:val="17"/>
        </w:rPr>
      </w:pPr>
    </w:p>
    <w:p w14:paraId="7784A0BB" w14:textId="77777777"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Please explain your answers to question 2.4.5:</w:t>
      </w:r>
    </w:p>
    <w:p w14:paraId="33962BEA" w14:textId="2D8B27B3" w:rsidR="00BA160A" w:rsidRPr="00722521" w:rsidRDefault="00BA160A" w:rsidP="00A903E6">
      <w:pPr>
        <w:mirrorIndents/>
        <w:rPr>
          <w:sz w:val="17"/>
          <w:szCs w:val="17"/>
        </w:rPr>
      </w:pPr>
    </w:p>
    <w:p w14:paraId="42E1CBBB" w14:textId="018A28B7" w:rsidR="006514C4" w:rsidRPr="00722521" w:rsidRDefault="00722521" w:rsidP="00060427">
      <w:pPr>
        <w:mirrorIndents/>
        <w:rPr>
          <w:sz w:val="17"/>
          <w:szCs w:val="17"/>
        </w:rPr>
      </w:pPr>
      <w:r>
        <w:rPr>
          <w:sz w:val="17"/>
          <w:szCs w:val="17"/>
        </w:rPr>
        <w:t>VVO</w:t>
      </w:r>
      <w:r w:rsidR="00060427" w:rsidRPr="00722521">
        <w:rPr>
          <w:sz w:val="17"/>
          <w:szCs w:val="17"/>
        </w:rPr>
        <w:t xml:space="preserve"> believes that the amendments to the composition of the groups as laid down in Article 37.3 EIOPA Regulation </w:t>
      </w:r>
      <w:r w:rsidR="006514C4" w:rsidRPr="00722521">
        <w:rPr>
          <w:sz w:val="17"/>
          <w:szCs w:val="17"/>
        </w:rPr>
        <w:t>ha</w:t>
      </w:r>
      <w:r w:rsidR="00132F6E" w:rsidRPr="00722521">
        <w:rPr>
          <w:sz w:val="17"/>
          <w:szCs w:val="17"/>
        </w:rPr>
        <w:t>ve</w:t>
      </w:r>
      <w:r w:rsidR="006514C4" w:rsidRPr="00722521">
        <w:rPr>
          <w:sz w:val="17"/>
          <w:szCs w:val="17"/>
        </w:rPr>
        <w:t xml:space="preserve"> been</w:t>
      </w:r>
      <w:r w:rsidR="00060427" w:rsidRPr="00722521">
        <w:rPr>
          <w:sz w:val="17"/>
          <w:szCs w:val="17"/>
        </w:rPr>
        <w:t xml:space="preserve"> a significant improvement.</w:t>
      </w:r>
    </w:p>
    <w:p w14:paraId="702D2DC2" w14:textId="77777777" w:rsidR="006514C4" w:rsidRPr="00722521" w:rsidRDefault="006514C4" w:rsidP="00060427">
      <w:pPr>
        <w:mirrorIndents/>
        <w:rPr>
          <w:sz w:val="17"/>
          <w:szCs w:val="17"/>
        </w:rPr>
      </w:pPr>
    </w:p>
    <w:p w14:paraId="57C6C78B" w14:textId="062A9DAB" w:rsidR="00D841A8" w:rsidRPr="00722521" w:rsidRDefault="006514C4" w:rsidP="00A903E6">
      <w:pPr>
        <w:mirrorIndents/>
        <w:rPr>
          <w:sz w:val="17"/>
          <w:szCs w:val="17"/>
        </w:rPr>
      </w:pPr>
      <w:r w:rsidRPr="00722521">
        <w:rPr>
          <w:sz w:val="17"/>
          <w:szCs w:val="17"/>
        </w:rPr>
        <w:t xml:space="preserve">The ensured balance between industry and the </w:t>
      </w:r>
      <w:r w:rsidR="00060427" w:rsidRPr="00722521">
        <w:rPr>
          <w:sz w:val="17"/>
          <w:szCs w:val="17"/>
        </w:rPr>
        <w:t>combin</w:t>
      </w:r>
      <w:r w:rsidRPr="00722521">
        <w:rPr>
          <w:sz w:val="17"/>
          <w:szCs w:val="17"/>
        </w:rPr>
        <w:t>ed</w:t>
      </w:r>
      <w:r w:rsidR="00060427" w:rsidRPr="00722521">
        <w:rPr>
          <w:sz w:val="17"/>
          <w:szCs w:val="17"/>
        </w:rPr>
        <w:t xml:space="preserve"> group of users </w:t>
      </w:r>
      <w:r w:rsidRPr="00722521">
        <w:rPr>
          <w:sz w:val="17"/>
          <w:szCs w:val="17"/>
        </w:rPr>
        <w:t xml:space="preserve">/ </w:t>
      </w:r>
      <w:r w:rsidR="00060427" w:rsidRPr="00722521">
        <w:rPr>
          <w:sz w:val="17"/>
          <w:szCs w:val="17"/>
        </w:rPr>
        <w:t>consumer representatives is an improvement to ensure a technically sound and balanced IRSG.</w:t>
      </w:r>
    </w:p>
    <w:p w14:paraId="565F57E7" w14:textId="77777777" w:rsidR="00D841A8" w:rsidRPr="00722521" w:rsidRDefault="00D841A8" w:rsidP="00A903E6">
      <w:pPr>
        <w:mirrorIndents/>
        <w:rPr>
          <w:sz w:val="17"/>
          <w:szCs w:val="17"/>
        </w:rPr>
      </w:pPr>
    </w:p>
    <w:p w14:paraId="231F7E9C" w14:textId="7484D5FD"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Question 2.4.6 Does the composition of stakeholders groups ensure a sufficiently balanced representation of stakeholders in the relevant sectors?</w:t>
      </w:r>
    </w:p>
    <w:p w14:paraId="1C2B3878" w14:textId="656D40DD" w:rsidR="00D841A8" w:rsidRPr="00722521" w:rsidRDefault="00BA160A" w:rsidP="00D841A8">
      <w:pPr>
        <w:pStyle w:val="CEABullet-Level1"/>
        <w:rPr>
          <w:color w:val="auto"/>
          <w:highlight w:val="lightGray"/>
        </w:rPr>
      </w:pPr>
      <w:r w:rsidRPr="00722521">
        <w:rPr>
          <w:color w:val="auto"/>
          <w:highlight w:val="lightGray"/>
        </w:rPr>
        <w:t xml:space="preserve">Yes </w:t>
      </w:r>
    </w:p>
    <w:p w14:paraId="0A48EEE8" w14:textId="3EC4BA48" w:rsidR="00BA160A" w:rsidRPr="00722521" w:rsidRDefault="00BA160A" w:rsidP="00D841A8">
      <w:pPr>
        <w:pStyle w:val="CEABullet-Level1"/>
        <w:rPr>
          <w:color w:val="auto"/>
          <w:highlight w:val="lightGray"/>
        </w:rPr>
      </w:pPr>
      <w:r w:rsidRPr="00722521">
        <w:rPr>
          <w:color w:val="auto"/>
          <w:highlight w:val="lightGray"/>
        </w:rPr>
        <w:t>No</w:t>
      </w:r>
    </w:p>
    <w:p w14:paraId="2B01F1A8" w14:textId="77777777" w:rsidR="00BA160A" w:rsidRPr="00722521" w:rsidRDefault="00BA160A" w:rsidP="00D841A8">
      <w:pPr>
        <w:pStyle w:val="CEABullet-Level1"/>
        <w:rPr>
          <w:color w:val="auto"/>
          <w:highlight w:val="lightGray"/>
        </w:rPr>
      </w:pPr>
      <w:r w:rsidRPr="00722521">
        <w:rPr>
          <w:color w:val="auto"/>
          <w:highlight w:val="lightGray"/>
        </w:rPr>
        <w:t>Don’t know / no opinion / not relevant</w:t>
      </w:r>
    </w:p>
    <w:p w14:paraId="04A0766D" w14:textId="5ADA991C" w:rsidR="00BA160A" w:rsidRPr="00722521" w:rsidRDefault="00BA160A" w:rsidP="00A903E6">
      <w:pPr>
        <w:mirrorIndents/>
        <w:rPr>
          <w:sz w:val="17"/>
          <w:szCs w:val="17"/>
        </w:rPr>
      </w:pPr>
    </w:p>
    <w:p w14:paraId="0F30BD69" w14:textId="6CACAC13" w:rsidR="006514C4" w:rsidRPr="00722521" w:rsidRDefault="006514C4" w:rsidP="00A903E6">
      <w:pPr>
        <w:mirrorIndents/>
        <w:rPr>
          <w:sz w:val="17"/>
          <w:szCs w:val="17"/>
        </w:rPr>
      </w:pPr>
      <w:r w:rsidRPr="00722521">
        <w:rPr>
          <w:sz w:val="17"/>
          <w:szCs w:val="17"/>
        </w:rPr>
        <w:t>Yes</w:t>
      </w:r>
    </w:p>
    <w:p w14:paraId="37525182" w14:textId="77777777" w:rsidR="006514C4" w:rsidRPr="00722521" w:rsidRDefault="006514C4" w:rsidP="00A903E6">
      <w:pPr>
        <w:mirrorIndents/>
        <w:rPr>
          <w:sz w:val="17"/>
          <w:szCs w:val="17"/>
        </w:rPr>
      </w:pPr>
    </w:p>
    <w:p w14:paraId="1AEBF683" w14:textId="77777777"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2.4.6:</w:t>
      </w:r>
    </w:p>
    <w:p w14:paraId="296120BE" w14:textId="4E4C5E01" w:rsidR="00BA160A" w:rsidRPr="00722521" w:rsidRDefault="00BA160A" w:rsidP="00A903E6">
      <w:pPr>
        <w:mirrorIndents/>
        <w:rPr>
          <w:sz w:val="17"/>
          <w:szCs w:val="17"/>
        </w:rPr>
      </w:pPr>
    </w:p>
    <w:p w14:paraId="07CCD423" w14:textId="0B3B40A5" w:rsidR="00D841A8" w:rsidRPr="00722521" w:rsidRDefault="006514C4" w:rsidP="00A903E6">
      <w:pPr>
        <w:mirrorIndents/>
        <w:rPr>
          <w:sz w:val="17"/>
          <w:szCs w:val="17"/>
        </w:rPr>
      </w:pPr>
      <w:r w:rsidRPr="00722521">
        <w:rPr>
          <w:sz w:val="17"/>
          <w:szCs w:val="17"/>
        </w:rPr>
        <w:t>See answer to question 2.4.5.</w:t>
      </w:r>
    </w:p>
    <w:p w14:paraId="6CE65775" w14:textId="77777777" w:rsidR="00D841A8" w:rsidRPr="00722521" w:rsidRDefault="00D841A8" w:rsidP="00A903E6">
      <w:pPr>
        <w:mirrorIndents/>
        <w:rPr>
          <w:sz w:val="17"/>
          <w:szCs w:val="17"/>
        </w:rPr>
      </w:pPr>
    </w:p>
    <w:p w14:paraId="0E31E83A" w14:textId="7E84C7C9"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 xml:space="preserve">Question 2.4.7 In your experience, are the ESAs’ </w:t>
      </w:r>
      <w:proofErr w:type="gramStart"/>
      <w:r w:rsidRPr="00722521">
        <w:rPr>
          <w:rFonts w:ascii="Verdana" w:hAnsi="Verdana"/>
          <w:sz w:val="17"/>
          <w:szCs w:val="17"/>
          <w:highlight w:val="lightGray"/>
        </w:rPr>
        <w:t>stakeholders</w:t>
      </w:r>
      <w:proofErr w:type="gramEnd"/>
      <w:r w:rsidRPr="00722521">
        <w:rPr>
          <w:rFonts w:ascii="Verdana" w:hAnsi="Verdana"/>
          <w:sz w:val="17"/>
          <w:szCs w:val="17"/>
          <w:highlight w:val="lightGray"/>
        </w:rPr>
        <w:t xml:space="preserve"> groups sufficiently accessible and transparent in their work?</w:t>
      </w:r>
    </w:p>
    <w:p w14:paraId="47C2D852" w14:textId="4BEA81DD" w:rsidR="00D841A8" w:rsidRPr="00722521" w:rsidRDefault="00BA160A" w:rsidP="00D841A8">
      <w:pPr>
        <w:pStyle w:val="CEABullet-Level1"/>
        <w:rPr>
          <w:color w:val="auto"/>
          <w:highlight w:val="lightGray"/>
        </w:rPr>
      </w:pPr>
      <w:r w:rsidRPr="00722521">
        <w:rPr>
          <w:color w:val="auto"/>
          <w:highlight w:val="lightGray"/>
        </w:rPr>
        <w:t xml:space="preserve">Yes </w:t>
      </w:r>
    </w:p>
    <w:p w14:paraId="2BA6AC53" w14:textId="1ECD5F04" w:rsidR="00BA160A" w:rsidRPr="00722521" w:rsidRDefault="00BA160A" w:rsidP="00D841A8">
      <w:pPr>
        <w:pStyle w:val="CEABullet-Level1"/>
        <w:rPr>
          <w:color w:val="auto"/>
          <w:highlight w:val="lightGray"/>
        </w:rPr>
      </w:pPr>
      <w:r w:rsidRPr="00722521">
        <w:rPr>
          <w:color w:val="auto"/>
          <w:highlight w:val="lightGray"/>
        </w:rPr>
        <w:t>No</w:t>
      </w:r>
    </w:p>
    <w:p w14:paraId="342DA8EC" w14:textId="77777777" w:rsidR="00BA160A" w:rsidRPr="00722521" w:rsidRDefault="00BA160A" w:rsidP="00D841A8">
      <w:pPr>
        <w:pStyle w:val="CEABullet-Level1"/>
        <w:rPr>
          <w:color w:val="auto"/>
          <w:highlight w:val="lightGray"/>
        </w:rPr>
      </w:pPr>
      <w:r w:rsidRPr="00722521">
        <w:rPr>
          <w:color w:val="auto"/>
          <w:highlight w:val="lightGray"/>
        </w:rPr>
        <w:t>Don’t know / no opinion / not relevant</w:t>
      </w:r>
    </w:p>
    <w:p w14:paraId="56B6251F" w14:textId="68D354F9" w:rsidR="00BA160A" w:rsidRPr="00722521" w:rsidRDefault="00BA160A" w:rsidP="00A903E6">
      <w:pPr>
        <w:mirrorIndents/>
        <w:rPr>
          <w:sz w:val="17"/>
          <w:szCs w:val="17"/>
        </w:rPr>
      </w:pPr>
    </w:p>
    <w:p w14:paraId="0E6FB2CC" w14:textId="3A449107" w:rsidR="006514C4" w:rsidRPr="00722521" w:rsidRDefault="006514C4" w:rsidP="00A903E6">
      <w:pPr>
        <w:mirrorIndents/>
        <w:rPr>
          <w:sz w:val="17"/>
          <w:szCs w:val="17"/>
        </w:rPr>
      </w:pPr>
      <w:r w:rsidRPr="00722521">
        <w:rPr>
          <w:sz w:val="17"/>
          <w:szCs w:val="17"/>
        </w:rPr>
        <w:t>Yes</w:t>
      </w:r>
    </w:p>
    <w:p w14:paraId="737C9C98" w14:textId="77777777" w:rsidR="006514C4" w:rsidRPr="00722521" w:rsidRDefault="006514C4" w:rsidP="00A903E6">
      <w:pPr>
        <w:mirrorIndents/>
        <w:rPr>
          <w:sz w:val="17"/>
          <w:szCs w:val="17"/>
        </w:rPr>
      </w:pPr>
    </w:p>
    <w:p w14:paraId="24BB09BA" w14:textId="77777777"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Please indicate the areas where the transparency could be improved:</w:t>
      </w:r>
    </w:p>
    <w:p w14:paraId="1EC96175" w14:textId="69921583" w:rsidR="00BA160A" w:rsidRPr="00722521" w:rsidRDefault="00BA160A" w:rsidP="00A903E6">
      <w:pPr>
        <w:mirrorIndents/>
        <w:rPr>
          <w:sz w:val="17"/>
          <w:szCs w:val="17"/>
        </w:rPr>
      </w:pPr>
    </w:p>
    <w:p w14:paraId="2450293E" w14:textId="78076EB4" w:rsidR="00D841A8" w:rsidRPr="00722521" w:rsidRDefault="00433B03" w:rsidP="00A903E6">
      <w:pPr>
        <w:mirrorIndents/>
        <w:rPr>
          <w:sz w:val="17"/>
          <w:szCs w:val="17"/>
        </w:rPr>
      </w:pPr>
      <w:r w:rsidRPr="00722521">
        <w:rPr>
          <w:sz w:val="17"/>
          <w:szCs w:val="17"/>
        </w:rPr>
        <w:lastRenderedPageBreak/>
        <w:t xml:space="preserve">The transparency of stakeholder groups’ advices is valuable, and </w:t>
      </w:r>
      <w:r w:rsidR="00722521">
        <w:rPr>
          <w:sz w:val="17"/>
          <w:szCs w:val="17"/>
        </w:rPr>
        <w:t>VVO</w:t>
      </w:r>
      <w:r w:rsidRPr="00722521">
        <w:rPr>
          <w:sz w:val="17"/>
          <w:szCs w:val="17"/>
        </w:rPr>
        <w:t xml:space="preserve"> notes a significant improvement recently in their timely publication.</w:t>
      </w:r>
    </w:p>
    <w:p w14:paraId="035BA29B" w14:textId="32785C9B" w:rsidR="00D841A8" w:rsidRPr="00722521" w:rsidRDefault="00D841A8" w:rsidP="00A903E6">
      <w:pPr>
        <w:mirrorIndents/>
        <w:rPr>
          <w:sz w:val="17"/>
          <w:szCs w:val="17"/>
        </w:rPr>
      </w:pPr>
    </w:p>
    <w:p w14:paraId="2EAC821F" w14:textId="77777777" w:rsidR="00BA160A" w:rsidRPr="00722521" w:rsidRDefault="00BA160A" w:rsidP="00A903E6">
      <w:pPr>
        <w:pStyle w:val="Listenabsatz"/>
        <w:numPr>
          <w:ilvl w:val="1"/>
          <w:numId w:val="14"/>
        </w:numPr>
        <w:tabs>
          <w:tab w:val="left" w:pos="566"/>
        </w:tabs>
        <w:ind w:left="232" w:hanging="450"/>
        <w:mirrorIndents/>
        <w:rPr>
          <w:rFonts w:ascii="Verdana" w:hAnsi="Verdana"/>
          <w:b/>
          <w:szCs w:val="17"/>
        </w:rPr>
      </w:pPr>
      <w:r w:rsidRPr="00722521">
        <w:rPr>
          <w:rFonts w:ascii="Verdana" w:hAnsi="Verdana"/>
          <w:b/>
          <w:szCs w:val="17"/>
        </w:rPr>
        <w:t>Joint bodies of the ESAs</w:t>
      </w:r>
    </w:p>
    <w:p w14:paraId="2B08B714" w14:textId="77777777" w:rsidR="00BA160A" w:rsidRPr="00722521" w:rsidRDefault="00BA160A" w:rsidP="00A903E6">
      <w:pPr>
        <w:pStyle w:val="Textkrper"/>
        <w:mirrorIndents/>
        <w:rPr>
          <w:rFonts w:ascii="Verdana" w:hAnsi="Verdana"/>
          <w:sz w:val="17"/>
          <w:szCs w:val="17"/>
        </w:rPr>
      </w:pPr>
    </w:p>
    <w:p w14:paraId="08644F9D" w14:textId="77777777" w:rsidR="00BA160A" w:rsidRPr="00722521" w:rsidRDefault="00BA160A" w:rsidP="00A903E6">
      <w:pPr>
        <w:pStyle w:val="Textkrper"/>
        <w:mirrorIndents/>
        <w:rPr>
          <w:rFonts w:ascii="Verdana" w:hAnsi="Verdana"/>
          <w:sz w:val="17"/>
          <w:szCs w:val="17"/>
        </w:rPr>
      </w:pPr>
    </w:p>
    <w:p w14:paraId="0B4EE93E"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2.5.1 Please assess the aspects described below regarding the Board of Appeal (</w:t>
      </w:r>
      <w:proofErr w:type="spellStart"/>
      <w:r w:rsidRPr="00722521">
        <w:rPr>
          <w:rFonts w:ascii="Verdana" w:hAnsi="Verdana"/>
          <w:sz w:val="17"/>
          <w:szCs w:val="17"/>
          <w:highlight w:val="lightGray"/>
        </w:rPr>
        <w:t>BoA</w:t>
      </w:r>
      <w:proofErr w:type="spellEnd"/>
      <w:r w:rsidRPr="00722521">
        <w:rPr>
          <w:rFonts w:ascii="Verdana" w:hAnsi="Verdana"/>
          <w:sz w:val="17"/>
          <w:szCs w:val="17"/>
          <w:highlight w:val="lightGray"/>
        </w:rPr>
        <w:t>) of the ESAs:</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530"/>
        <w:gridCol w:w="1331"/>
        <w:gridCol w:w="1330"/>
        <w:gridCol w:w="1330"/>
        <w:gridCol w:w="1330"/>
        <w:gridCol w:w="1330"/>
        <w:gridCol w:w="1330"/>
      </w:tblGrid>
      <w:tr w:rsidR="00BA160A" w:rsidRPr="00722521" w14:paraId="25F08156" w14:textId="77777777" w:rsidTr="00D841A8">
        <w:trPr>
          <w:trHeight w:hRule="exact" w:val="375"/>
        </w:trPr>
        <w:tc>
          <w:tcPr>
            <w:tcW w:w="804" w:type="pct"/>
            <w:vMerge w:val="restart"/>
            <w:tcBorders>
              <w:top w:val="single" w:sz="8" w:space="0" w:color="BABABA"/>
              <w:left w:val="single" w:sz="8" w:space="0" w:color="BABABA"/>
              <w:bottom w:val="single" w:sz="8" w:space="0" w:color="BABABA"/>
              <w:right w:val="single" w:sz="8" w:space="0" w:color="BABABA"/>
            </w:tcBorders>
          </w:tcPr>
          <w:p w14:paraId="6D56B3A1"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tcPr>
          <w:p w14:paraId="32362BF6"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tcPr>
          <w:p w14:paraId="63415B99"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tcPr>
          <w:p w14:paraId="5D63F79D"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tcPr>
          <w:p w14:paraId="5F1F259D"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tcPr>
          <w:p w14:paraId="48F2E13C"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hideMark/>
          </w:tcPr>
          <w:p w14:paraId="28B79589" w14:textId="77777777" w:rsidR="00BA160A" w:rsidRPr="00722521" w:rsidRDefault="00BA160A" w:rsidP="00A903E6">
            <w:pPr>
              <w:pStyle w:val="TableParagraph"/>
              <w:mirrorIndents/>
              <w:rPr>
                <w:szCs w:val="17"/>
              </w:rPr>
            </w:pPr>
            <w:r w:rsidRPr="00722521">
              <w:rPr>
                <w:w w:val="105"/>
                <w:szCs w:val="17"/>
              </w:rPr>
              <w:t>Don't</w:t>
            </w:r>
          </w:p>
        </w:tc>
      </w:tr>
      <w:tr w:rsidR="00BA160A" w:rsidRPr="00722521" w14:paraId="669145F8" w14:textId="77777777" w:rsidTr="00D841A8">
        <w:trPr>
          <w:trHeight w:hRule="exact" w:val="593"/>
        </w:trPr>
        <w:tc>
          <w:tcPr>
            <w:tcW w:w="804" w:type="pct"/>
            <w:vMerge/>
            <w:tcBorders>
              <w:top w:val="single" w:sz="8" w:space="0" w:color="BABABA"/>
              <w:left w:val="single" w:sz="8" w:space="0" w:color="BABABA"/>
              <w:bottom w:val="single" w:sz="8" w:space="0" w:color="BABABA"/>
              <w:right w:val="single" w:sz="8" w:space="0" w:color="BABABA"/>
            </w:tcBorders>
            <w:vAlign w:val="center"/>
            <w:hideMark/>
          </w:tcPr>
          <w:p w14:paraId="169E8E8C" w14:textId="77777777" w:rsidR="00BA160A" w:rsidRPr="00722521" w:rsidRDefault="00BA160A" w:rsidP="00A903E6">
            <w:pPr>
              <w:jc w:val="left"/>
              <w:rPr>
                <w:rFonts w:eastAsia="Microsoft Sans Serif" w:cs="Microsoft Sans Serif"/>
                <w:sz w:val="17"/>
                <w:szCs w:val="17"/>
              </w:rPr>
            </w:pPr>
          </w:p>
        </w:tc>
        <w:tc>
          <w:tcPr>
            <w:tcW w:w="699" w:type="pct"/>
            <w:tcBorders>
              <w:top w:val="nil"/>
              <w:left w:val="single" w:sz="8" w:space="0" w:color="BABABA"/>
              <w:bottom w:val="nil"/>
              <w:right w:val="single" w:sz="8" w:space="0" w:color="BABABA"/>
            </w:tcBorders>
            <w:hideMark/>
          </w:tcPr>
          <w:p w14:paraId="5BCF3D37" w14:textId="77777777" w:rsidR="00BA160A" w:rsidRPr="00722521" w:rsidRDefault="00BA160A" w:rsidP="00A903E6">
            <w:pPr>
              <w:pStyle w:val="TableParagraph"/>
              <w:mirrorIndents/>
              <w:rPr>
                <w:szCs w:val="17"/>
              </w:rPr>
            </w:pPr>
            <w:r w:rsidRPr="00722521">
              <w:rPr>
                <w:w w:val="99"/>
                <w:szCs w:val="17"/>
              </w:rPr>
              <w:t>1</w:t>
            </w:r>
          </w:p>
        </w:tc>
        <w:tc>
          <w:tcPr>
            <w:tcW w:w="699" w:type="pct"/>
            <w:tcBorders>
              <w:top w:val="nil"/>
              <w:left w:val="single" w:sz="8" w:space="0" w:color="BABABA"/>
              <w:bottom w:val="nil"/>
              <w:right w:val="single" w:sz="8" w:space="0" w:color="BABABA"/>
            </w:tcBorders>
            <w:hideMark/>
          </w:tcPr>
          <w:p w14:paraId="386C5533" w14:textId="77777777" w:rsidR="00BA160A" w:rsidRPr="00722521" w:rsidRDefault="00BA160A" w:rsidP="00A903E6">
            <w:pPr>
              <w:pStyle w:val="TableParagraph"/>
              <w:mirrorIndents/>
              <w:rPr>
                <w:szCs w:val="17"/>
              </w:rPr>
            </w:pPr>
            <w:r w:rsidRPr="00722521">
              <w:rPr>
                <w:w w:val="99"/>
                <w:szCs w:val="17"/>
              </w:rPr>
              <w:t>2</w:t>
            </w:r>
          </w:p>
        </w:tc>
        <w:tc>
          <w:tcPr>
            <w:tcW w:w="699" w:type="pct"/>
            <w:tcBorders>
              <w:top w:val="nil"/>
              <w:left w:val="single" w:sz="8" w:space="0" w:color="BABABA"/>
              <w:bottom w:val="nil"/>
              <w:right w:val="single" w:sz="8" w:space="0" w:color="BABABA"/>
            </w:tcBorders>
            <w:hideMark/>
          </w:tcPr>
          <w:p w14:paraId="2F0D66C9" w14:textId="77777777" w:rsidR="00BA160A" w:rsidRPr="00722521" w:rsidRDefault="00BA160A" w:rsidP="00A903E6">
            <w:pPr>
              <w:pStyle w:val="TableParagraph"/>
              <w:mirrorIndents/>
              <w:rPr>
                <w:szCs w:val="17"/>
              </w:rPr>
            </w:pPr>
            <w:r w:rsidRPr="00722521">
              <w:rPr>
                <w:w w:val="99"/>
                <w:szCs w:val="17"/>
              </w:rPr>
              <w:t>3</w:t>
            </w:r>
          </w:p>
        </w:tc>
        <w:tc>
          <w:tcPr>
            <w:tcW w:w="699" w:type="pct"/>
            <w:tcBorders>
              <w:top w:val="nil"/>
              <w:left w:val="single" w:sz="8" w:space="0" w:color="BABABA"/>
              <w:bottom w:val="nil"/>
              <w:right w:val="single" w:sz="8" w:space="0" w:color="BABABA"/>
            </w:tcBorders>
            <w:hideMark/>
          </w:tcPr>
          <w:p w14:paraId="302CFE05" w14:textId="77777777" w:rsidR="00BA160A" w:rsidRPr="00722521" w:rsidRDefault="00BA160A" w:rsidP="00A903E6">
            <w:pPr>
              <w:pStyle w:val="TableParagraph"/>
              <w:mirrorIndents/>
              <w:rPr>
                <w:szCs w:val="17"/>
              </w:rPr>
            </w:pPr>
            <w:r w:rsidRPr="00722521">
              <w:rPr>
                <w:w w:val="99"/>
                <w:szCs w:val="17"/>
              </w:rPr>
              <w:t>4</w:t>
            </w:r>
          </w:p>
        </w:tc>
        <w:tc>
          <w:tcPr>
            <w:tcW w:w="699" w:type="pct"/>
            <w:tcBorders>
              <w:top w:val="nil"/>
              <w:left w:val="single" w:sz="8" w:space="0" w:color="BABABA"/>
              <w:bottom w:val="nil"/>
              <w:right w:val="single" w:sz="8" w:space="0" w:color="BABABA"/>
            </w:tcBorders>
            <w:hideMark/>
          </w:tcPr>
          <w:p w14:paraId="4919C6DB" w14:textId="77777777" w:rsidR="00BA160A" w:rsidRPr="00722521" w:rsidRDefault="00BA160A" w:rsidP="00A903E6">
            <w:pPr>
              <w:pStyle w:val="TableParagraph"/>
              <w:mirrorIndents/>
              <w:rPr>
                <w:szCs w:val="17"/>
              </w:rPr>
            </w:pPr>
            <w:r w:rsidRPr="00722521">
              <w:rPr>
                <w:w w:val="99"/>
                <w:szCs w:val="17"/>
              </w:rPr>
              <w:t>5</w:t>
            </w:r>
          </w:p>
        </w:tc>
        <w:tc>
          <w:tcPr>
            <w:tcW w:w="699" w:type="pct"/>
            <w:tcBorders>
              <w:top w:val="nil"/>
              <w:left w:val="single" w:sz="8" w:space="0" w:color="BABABA"/>
              <w:bottom w:val="nil"/>
              <w:right w:val="single" w:sz="8" w:space="0" w:color="BABABA"/>
            </w:tcBorders>
            <w:hideMark/>
          </w:tcPr>
          <w:p w14:paraId="7CEE8C82" w14:textId="77777777" w:rsidR="00BA160A" w:rsidRPr="00722521" w:rsidRDefault="00BA160A" w:rsidP="00A903E6">
            <w:pPr>
              <w:pStyle w:val="TableParagraph"/>
              <w:ind w:hanging="136"/>
              <w:mirrorIndents/>
              <w:rPr>
                <w:szCs w:val="17"/>
              </w:rPr>
            </w:pPr>
            <w:r w:rsidRPr="00722521">
              <w:rPr>
                <w:w w:val="105"/>
                <w:szCs w:val="17"/>
              </w:rPr>
              <w:t>know - No</w:t>
            </w:r>
          </w:p>
        </w:tc>
      </w:tr>
      <w:tr w:rsidR="00BA160A" w:rsidRPr="00722521" w14:paraId="4972A997" w14:textId="77777777" w:rsidTr="00D841A8">
        <w:trPr>
          <w:trHeight w:hRule="exact" w:val="302"/>
        </w:trPr>
        <w:tc>
          <w:tcPr>
            <w:tcW w:w="804" w:type="pct"/>
            <w:vMerge/>
            <w:tcBorders>
              <w:top w:val="single" w:sz="8" w:space="0" w:color="BABABA"/>
              <w:left w:val="single" w:sz="8" w:space="0" w:color="BABABA"/>
              <w:bottom w:val="single" w:sz="8" w:space="0" w:color="BABABA"/>
              <w:right w:val="single" w:sz="8" w:space="0" w:color="BABABA"/>
            </w:tcBorders>
            <w:vAlign w:val="center"/>
            <w:hideMark/>
          </w:tcPr>
          <w:p w14:paraId="6E3626EA" w14:textId="77777777" w:rsidR="00BA160A" w:rsidRPr="00722521" w:rsidRDefault="00BA160A" w:rsidP="00A903E6">
            <w:pPr>
              <w:jc w:val="left"/>
              <w:rPr>
                <w:rFonts w:eastAsia="Microsoft Sans Serif" w:cs="Microsoft Sans Serif"/>
                <w:sz w:val="17"/>
                <w:szCs w:val="17"/>
              </w:rPr>
            </w:pPr>
          </w:p>
        </w:tc>
        <w:tc>
          <w:tcPr>
            <w:tcW w:w="699" w:type="pct"/>
            <w:tcBorders>
              <w:top w:val="nil"/>
              <w:left w:val="single" w:sz="8" w:space="0" w:color="BABABA"/>
              <w:bottom w:val="nil"/>
              <w:right w:val="single" w:sz="8" w:space="0" w:color="BABABA"/>
            </w:tcBorders>
            <w:hideMark/>
          </w:tcPr>
          <w:p w14:paraId="2E7FC776" w14:textId="77777777" w:rsidR="00BA160A" w:rsidRPr="00722521" w:rsidRDefault="00BA160A" w:rsidP="00A903E6">
            <w:pPr>
              <w:pStyle w:val="TableParagraph"/>
              <w:mirrorIndents/>
              <w:rPr>
                <w:szCs w:val="17"/>
              </w:rPr>
            </w:pPr>
            <w:r w:rsidRPr="00722521">
              <w:rPr>
                <w:szCs w:val="17"/>
              </w:rPr>
              <w:t>(least</w:t>
            </w:r>
          </w:p>
        </w:tc>
        <w:tc>
          <w:tcPr>
            <w:tcW w:w="699" w:type="pct"/>
            <w:tcBorders>
              <w:top w:val="nil"/>
              <w:left w:val="single" w:sz="8" w:space="0" w:color="BABABA"/>
              <w:bottom w:val="nil"/>
              <w:right w:val="single" w:sz="8" w:space="0" w:color="BABABA"/>
            </w:tcBorders>
            <w:hideMark/>
          </w:tcPr>
          <w:p w14:paraId="7713B56F" w14:textId="77777777" w:rsidR="00BA160A" w:rsidRPr="00722521" w:rsidRDefault="00BA160A" w:rsidP="00A903E6">
            <w:pPr>
              <w:pStyle w:val="TableParagraph"/>
              <w:mirrorIndents/>
              <w:rPr>
                <w:szCs w:val="17"/>
              </w:rPr>
            </w:pPr>
            <w:r w:rsidRPr="00722521">
              <w:rPr>
                <w:w w:val="105"/>
                <w:szCs w:val="17"/>
              </w:rPr>
              <w:t>(not so</w:t>
            </w:r>
          </w:p>
        </w:tc>
        <w:tc>
          <w:tcPr>
            <w:tcW w:w="699" w:type="pct"/>
            <w:tcBorders>
              <w:top w:val="nil"/>
              <w:left w:val="single" w:sz="8" w:space="0" w:color="BABABA"/>
              <w:bottom w:val="nil"/>
              <w:right w:val="single" w:sz="8" w:space="0" w:color="BABABA"/>
            </w:tcBorders>
            <w:hideMark/>
          </w:tcPr>
          <w:p w14:paraId="4A244CAC" w14:textId="77777777" w:rsidR="00BA160A" w:rsidRPr="00722521" w:rsidRDefault="00BA160A" w:rsidP="00A903E6">
            <w:pPr>
              <w:pStyle w:val="TableParagraph"/>
              <w:mirrorIndents/>
              <w:rPr>
                <w:szCs w:val="17"/>
              </w:rPr>
            </w:pPr>
            <w:r w:rsidRPr="00722521">
              <w:rPr>
                <w:szCs w:val="17"/>
              </w:rPr>
              <w:t>(neutral)</w:t>
            </w:r>
          </w:p>
        </w:tc>
        <w:tc>
          <w:tcPr>
            <w:tcW w:w="699" w:type="pct"/>
            <w:tcBorders>
              <w:top w:val="nil"/>
              <w:left w:val="single" w:sz="8" w:space="0" w:color="BABABA"/>
              <w:bottom w:val="nil"/>
              <w:right w:val="single" w:sz="8" w:space="0" w:color="BABABA"/>
            </w:tcBorders>
            <w:hideMark/>
          </w:tcPr>
          <w:p w14:paraId="6D9E4B4E" w14:textId="77777777" w:rsidR="00BA160A" w:rsidRPr="00722521" w:rsidRDefault="00BA160A" w:rsidP="00A903E6">
            <w:pPr>
              <w:pStyle w:val="TableParagraph"/>
              <w:mirrorIndents/>
              <w:rPr>
                <w:szCs w:val="17"/>
              </w:rPr>
            </w:pPr>
            <w:r w:rsidRPr="00722521">
              <w:rPr>
                <w:w w:val="105"/>
                <w:szCs w:val="17"/>
              </w:rPr>
              <w:t>(rather</w:t>
            </w:r>
          </w:p>
        </w:tc>
        <w:tc>
          <w:tcPr>
            <w:tcW w:w="699" w:type="pct"/>
            <w:tcBorders>
              <w:top w:val="nil"/>
              <w:left w:val="single" w:sz="8" w:space="0" w:color="BABABA"/>
              <w:bottom w:val="nil"/>
              <w:right w:val="single" w:sz="8" w:space="0" w:color="BABABA"/>
            </w:tcBorders>
            <w:hideMark/>
          </w:tcPr>
          <w:p w14:paraId="6CBBF3F5" w14:textId="77777777" w:rsidR="00BA160A" w:rsidRPr="00722521" w:rsidRDefault="00BA160A" w:rsidP="00A903E6">
            <w:pPr>
              <w:pStyle w:val="TableParagraph"/>
              <w:mirrorIndents/>
              <w:rPr>
                <w:szCs w:val="17"/>
              </w:rPr>
            </w:pPr>
            <w:r w:rsidRPr="00722521">
              <w:rPr>
                <w:w w:val="105"/>
                <w:szCs w:val="17"/>
              </w:rPr>
              <w:t>(most</w:t>
            </w:r>
          </w:p>
        </w:tc>
        <w:tc>
          <w:tcPr>
            <w:tcW w:w="699" w:type="pct"/>
            <w:tcBorders>
              <w:top w:val="nil"/>
              <w:left w:val="single" w:sz="8" w:space="0" w:color="BABABA"/>
              <w:bottom w:val="nil"/>
              <w:right w:val="single" w:sz="8" w:space="0" w:color="BABABA"/>
            </w:tcBorders>
            <w:hideMark/>
          </w:tcPr>
          <w:p w14:paraId="018AEB54" w14:textId="77777777" w:rsidR="00BA160A" w:rsidRPr="00722521" w:rsidRDefault="00BA160A" w:rsidP="00A903E6">
            <w:pPr>
              <w:pStyle w:val="TableParagraph"/>
              <w:mirrorIndents/>
              <w:rPr>
                <w:szCs w:val="17"/>
              </w:rPr>
            </w:pPr>
            <w:r w:rsidRPr="00722521">
              <w:rPr>
                <w:szCs w:val="17"/>
              </w:rPr>
              <w:t>opinion -</w:t>
            </w:r>
          </w:p>
        </w:tc>
      </w:tr>
      <w:tr w:rsidR="00BA160A" w:rsidRPr="00722521" w14:paraId="3259622F" w14:textId="77777777" w:rsidTr="00D841A8">
        <w:trPr>
          <w:trHeight w:hRule="exact" w:val="291"/>
        </w:trPr>
        <w:tc>
          <w:tcPr>
            <w:tcW w:w="804" w:type="pct"/>
            <w:vMerge/>
            <w:tcBorders>
              <w:top w:val="single" w:sz="8" w:space="0" w:color="BABABA"/>
              <w:left w:val="single" w:sz="8" w:space="0" w:color="BABABA"/>
              <w:bottom w:val="single" w:sz="8" w:space="0" w:color="BABABA"/>
              <w:right w:val="single" w:sz="8" w:space="0" w:color="BABABA"/>
            </w:tcBorders>
            <w:vAlign w:val="center"/>
            <w:hideMark/>
          </w:tcPr>
          <w:p w14:paraId="4EE0E8E9" w14:textId="77777777" w:rsidR="00BA160A" w:rsidRPr="00722521" w:rsidRDefault="00BA160A" w:rsidP="00A903E6">
            <w:pPr>
              <w:jc w:val="left"/>
              <w:rPr>
                <w:rFonts w:eastAsia="Microsoft Sans Serif" w:cs="Microsoft Sans Serif"/>
                <w:sz w:val="17"/>
                <w:szCs w:val="17"/>
              </w:rPr>
            </w:pPr>
          </w:p>
        </w:tc>
        <w:tc>
          <w:tcPr>
            <w:tcW w:w="699" w:type="pct"/>
            <w:tcBorders>
              <w:top w:val="nil"/>
              <w:left w:val="single" w:sz="8" w:space="0" w:color="BABABA"/>
              <w:bottom w:val="nil"/>
              <w:right w:val="single" w:sz="8" w:space="0" w:color="BABABA"/>
            </w:tcBorders>
            <w:hideMark/>
          </w:tcPr>
          <w:p w14:paraId="25541CE5" w14:textId="77777777" w:rsidR="00BA160A" w:rsidRPr="00722521" w:rsidRDefault="00BA160A" w:rsidP="00A903E6">
            <w:pPr>
              <w:pStyle w:val="TableParagraph"/>
              <w:mirrorIndents/>
              <w:rPr>
                <w:szCs w:val="17"/>
              </w:rPr>
            </w:pPr>
            <w:r w:rsidRPr="00722521">
              <w:rPr>
                <w:szCs w:val="17"/>
              </w:rPr>
              <w:t>effective</w:t>
            </w:r>
          </w:p>
        </w:tc>
        <w:tc>
          <w:tcPr>
            <w:tcW w:w="699" w:type="pct"/>
            <w:tcBorders>
              <w:top w:val="nil"/>
              <w:left w:val="single" w:sz="8" w:space="0" w:color="BABABA"/>
              <w:bottom w:val="nil"/>
              <w:right w:val="single" w:sz="8" w:space="0" w:color="BABABA"/>
            </w:tcBorders>
            <w:hideMark/>
          </w:tcPr>
          <w:p w14:paraId="26E54666" w14:textId="77777777" w:rsidR="00BA160A" w:rsidRPr="00722521" w:rsidRDefault="00BA160A" w:rsidP="00A903E6">
            <w:pPr>
              <w:pStyle w:val="TableParagraph"/>
              <w:mirrorIndents/>
              <w:rPr>
                <w:szCs w:val="17"/>
              </w:rPr>
            </w:pPr>
            <w:r w:rsidRPr="00722521">
              <w:rPr>
                <w:szCs w:val="17"/>
              </w:rPr>
              <w:t>effective)</w:t>
            </w:r>
          </w:p>
        </w:tc>
        <w:tc>
          <w:tcPr>
            <w:tcW w:w="699" w:type="pct"/>
            <w:tcBorders>
              <w:top w:val="nil"/>
              <w:left w:val="single" w:sz="8" w:space="0" w:color="BABABA"/>
              <w:bottom w:val="nil"/>
              <w:right w:val="single" w:sz="8" w:space="0" w:color="BABABA"/>
            </w:tcBorders>
          </w:tcPr>
          <w:p w14:paraId="44CA7C4A" w14:textId="77777777" w:rsidR="00BA160A" w:rsidRPr="00722521" w:rsidRDefault="00BA160A" w:rsidP="00A903E6">
            <w:pPr>
              <w:mirrorIndents/>
              <w:rPr>
                <w:sz w:val="17"/>
                <w:szCs w:val="17"/>
              </w:rPr>
            </w:pPr>
          </w:p>
        </w:tc>
        <w:tc>
          <w:tcPr>
            <w:tcW w:w="699" w:type="pct"/>
            <w:tcBorders>
              <w:top w:val="nil"/>
              <w:left w:val="single" w:sz="8" w:space="0" w:color="BABABA"/>
              <w:bottom w:val="nil"/>
              <w:right w:val="single" w:sz="8" w:space="0" w:color="BABABA"/>
            </w:tcBorders>
            <w:hideMark/>
          </w:tcPr>
          <w:p w14:paraId="270EF66E" w14:textId="77777777" w:rsidR="00BA160A" w:rsidRPr="00722521" w:rsidRDefault="00BA160A" w:rsidP="00A903E6">
            <w:pPr>
              <w:pStyle w:val="TableParagraph"/>
              <w:mirrorIndents/>
              <w:rPr>
                <w:szCs w:val="17"/>
              </w:rPr>
            </w:pPr>
            <w:r w:rsidRPr="00722521">
              <w:rPr>
                <w:szCs w:val="17"/>
              </w:rPr>
              <w:t>effective)</w:t>
            </w:r>
          </w:p>
        </w:tc>
        <w:tc>
          <w:tcPr>
            <w:tcW w:w="699" w:type="pct"/>
            <w:tcBorders>
              <w:top w:val="nil"/>
              <w:left w:val="single" w:sz="8" w:space="0" w:color="BABABA"/>
              <w:bottom w:val="nil"/>
              <w:right w:val="single" w:sz="8" w:space="0" w:color="BABABA"/>
            </w:tcBorders>
            <w:hideMark/>
          </w:tcPr>
          <w:p w14:paraId="0410A1BF" w14:textId="77777777" w:rsidR="00BA160A" w:rsidRPr="00722521" w:rsidRDefault="00BA160A" w:rsidP="00A903E6">
            <w:pPr>
              <w:pStyle w:val="TableParagraph"/>
              <w:mirrorIndents/>
              <w:rPr>
                <w:szCs w:val="17"/>
              </w:rPr>
            </w:pPr>
            <w:r w:rsidRPr="00722521">
              <w:rPr>
                <w:szCs w:val="17"/>
              </w:rPr>
              <w:t>effective)</w:t>
            </w:r>
          </w:p>
        </w:tc>
        <w:tc>
          <w:tcPr>
            <w:tcW w:w="699" w:type="pct"/>
            <w:tcBorders>
              <w:top w:val="nil"/>
              <w:left w:val="single" w:sz="8" w:space="0" w:color="BABABA"/>
              <w:bottom w:val="nil"/>
              <w:right w:val="single" w:sz="8" w:space="0" w:color="BABABA"/>
            </w:tcBorders>
            <w:hideMark/>
          </w:tcPr>
          <w:p w14:paraId="0D19D051" w14:textId="77777777" w:rsidR="00BA160A" w:rsidRPr="00722521" w:rsidRDefault="00BA160A" w:rsidP="00A903E6">
            <w:pPr>
              <w:pStyle w:val="TableParagraph"/>
              <w:mirrorIndents/>
              <w:rPr>
                <w:szCs w:val="17"/>
              </w:rPr>
            </w:pPr>
            <w:r w:rsidRPr="00722521">
              <w:rPr>
                <w:w w:val="105"/>
                <w:szCs w:val="17"/>
              </w:rPr>
              <w:t>Not</w:t>
            </w:r>
          </w:p>
        </w:tc>
      </w:tr>
      <w:tr w:rsidR="00BA160A" w:rsidRPr="00722521" w14:paraId="4789D683" w14:textId="77777777" w:rsidTr="00D841A8">
        <w:trPr>
          <w:trHeight w:hRule="exact" w:val="398"/>
        </w:trPr>
        <w:tc>
          <w:tcPr>
            <w:tcW w:w="804" w:type="pct"/>
            <w:vMerge/>
            <w:tcBorders>
              <w:top w:val="single" w:sz="8" w:space="0" w:color="BABABA"/>
              <w:left w:val="single" w:sz="8" w:space="0" w:color="BABABA"/>
              <w:bottom w:val="single" w:sz="8" w:space="0" w:color="BABABA"/>
              <w:right w:val="single" w:sz="8" w:space="0" w:color="BABABA"/>
            </w:tcBorders>
            <w:vAlign w:val="center"/>
            <w:hideMark/>
          </w:tcPr>
          <w:p w14:paraId="2A1865BD" w14:textId="77777777" w:rsidR="00BA160A" w:rsidRPr="00722521" w:rsidRDefault="00BA160A" w:rsidP="00A903E6">
            <w:pPr>
              <w:jc w:val="left"/>
              <w:rPr>
                <w:rFonts w:eastAsia="Microsoft Sans Serif" w:cs="Microsoft Sans Serif"/>
                <w:sz w:val="17"/>
                <w:szCs w:val="17"/>
              </w:rPr>
            </w:pPr>
          </w:p>
        </w:tc>
        <w:tc>
          <w:tcPr>
            <w:tcW w:w="699" w:type="pct"/>
            <w:tcBorders>
              <w:top w:val="nil"/>
              <w:left w:val="single" w:sz="8" w:space="0" w:color="BABABA"/>
              <w:bottom w:val="single" w:sz="8" w:space="0" w:color="BABABA"/>
              <w:right w:val="single" w:sz="8" w:space="0" w:color="BABABA"/>
            </w:tcBorders>
          </w:tcPr>
          <w:p w14:paraId="0503D423"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7EEDF956"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0A83420B"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688965C1"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7A117B12"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hideMark/>
          </w:tcPr>
          <w:p w14:paraId="0BAB5934" w14:textId="77777777" w:rsidR="00BA160A" w:rsidRPr="00722521" w:rsidRDefault="00BA160A" w:rsidP="00A903E6">
            <w:pPr>
              <w:pStyle w:val="TableParagraph"/>
              <w:mirrorIndents/>
              <w:rPr>
                <w:szCs w:val="17"/>
              </w:rPr>
            </w:pPr>
            <w:r w:rsidRPr="00722521">
              <w:rPr>
                <w:szCs w:val="17"/>
              </w:rPr>
              <w:t>applicable</w:t>
            </w:r>
          </w:p>
        </w:tc>
      </w:tr>
      <w:tr w:rsidR="00BA160A" w:rsidRPr="00722521" w14:paraId="396E61E8" w14:textId="77777777" w:rsidTr="00D841A8">
        <w:trPr>
          <w:trHeight w:hRule="exact" w:val="633"/>
        </w:trPr>
        <w:tc>
          <w:tcPr>
            <w:tcW w:w="804" w:type="pct"/>
            <w:tcBorders>
              <w:top w:val="single" w:sz="8" w:space="0" w:color="BABABA"/>
              <w:left w:val="single" w:sz="8" w:space="0" w:color="BABABA"/>
              <w:bottom w:val="single" w:sz="8" w:space="0" w:color="BABABA"/>
              <w:right w:val="single" w:sz="8" w:space="0" w:color="BABABA"/>
            </w:tcBorders>
            <w:hideMark/>
          </w:tcPr>
          <w:p w14:paraId="0DF74964" w14:textId="77777777" w:rsidR="00BA160A" w:rsidRPr="00722521" w:rsidRDefault="00BA160A" w:rsidP="00A903E6">
            <w:pPr>
              <w:pStyle w:val="TableParagraph"/>
              <w:mirrorIndents/>
              <w:rPr>
                <w:szCs w:val="17"/>
              </w:rPr>
            </w:pPr>
            <w:proofErr w:type="spellStart"/>
            <w:r w:rsidRPr="00722521">
              <w:rPr>
                <w:szCs w:val="17"/>
              </w:rPr>
              <w:t>Organisation</w:t>
            </w:r>
            <w:proofErr w:type="spellEnd"/>
          </w:p>
        </w:tc>
        <w:tc>
          <w:tcPr>
            <w:tcW w:w="699" w:type="pct"/>
            <w:tcBorders>
              <w:top w:val="single" w:sz="8" w:space="0" w:color="BABABA"/>
              <w:left w:val="single" w:sz="8" w:space="0" w:color="BABABA"/>
              <w:bottom w:val="single" w:sz="8" w:space="0" w:color="BABABA"/>
              <w:right w:val="single" w:sz="8" w:space="0" w:color="BABABA"/>
            </w:tcBorders>
          </w:tcPr>
          <w:p w14:paraId="7D0805EF"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4E0AE4E3" w14:textId="14A7D6A2"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2809D0A7"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A4E6089"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E0A995E"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274E47C" w14:textId="77777777" w:rsidR="00BA160A" w:rsidRPr="00722521" w:rsidRDefault="00BA160A" w:rsidP="00A903E6">
            <w:pPr>
              <w:pStyle w:val="TableParagraph"/>
              <w:mirrorIndents/>
              <w:rPr>
                <w:b/>
                <w:szCs w:val="17"/>
              </w:rPr>
            </w:pPr>
          </w:p>
        </w:tc>
      </w:tr>
      <w:tr w:rsidR="00BA160A" w:rsidRPr="00722521" w14:paraId="2E4A6730" w14:textId="77777777" w:rsidTr="00D841A8">
        <w:trPr>
          <w:trHeight w:hRule="exact" w:val="1226"/>
        </w:trPr>
        <w:tc>
          <w:tcPr>
            <w:tcW w:w="804" w:type="pct"/>
            <w:tcBorders>
              <w:top w:val="single" w:sz="8" w:space="0" w:color="BABABA"/>
              <w:left w:val="single" w:sz="8" w:space="0" w:color="BABABA"/>
              <w:bottom w:val="single" w:sz="8" w:space="0" w:color="BABABA"/>
              <w:right w:val="single" w:sz="8" w:space="0" w:color="BABABA"/>
            </w:tcBorders>
            <w:hideMark/>
          </w:tcPr>
          <w:p w14:paraId="5AAEDA98" w14:textId="77777777" w:rsidR="00BA160A" w:rsidRPr="00722521" w:rsidRDefault="00BA160A" w:rsidP="00A903E6">
            <w:pPr>
              <w:pStyle w:val="TableParagraph"/>
              <w:mirrorIndents/>
              <w:rPr>
                <w:szCs w:val="17"/>
              </w:rPr>
            </w:pPr>
            <w:r w:rsidRPr="00722521">
              <w:rPr>
                <w:szCs w:val="17"/>
              </w:rPr>
              <w:t>Functioning and time limits</w:t>
            </w:r>
          </w:p>
        </w:tc>
        <w:tc>
          <w:tcPr>
            <w:tcW w:w="699" w:type="pct"/>
            <w:tcBorders>
              <w:top w:val="single" w:sz="8" w:space="0" w:color="BABABA"/>
              <w:left w:val="single" w:sz="8" w:space="0" w:color="BABABA"/>
              <w:bottom w:val="single" w:sz="8" w:space="0" w:color="BABABA"/>
              <w:right w:val="single" w:sz="8" w:space="0" w:color="BABABA"/>
            </w:tcBorders>
          </w:tcPr>
          <w:p w14:paraId="0F26FC83"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3D7454E8"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3D74DADB"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41EBAF18" w14:textId="58A53ED6"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0E950477"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DBB1CBE" w14:textId="157A4C13" w:rsidR="00BA160A" w:rsidRPr="00722521" w:rsidRDefault="00433B03" w:rsidP="00A903E6">
            <w:pPr>
              <w:pStyle w:val="TableParagraph"/>
              <w:mirrorIndents/>
              <w:rPr>
                <w:b/>
                <w:szCs w:val="17"/>
              </w:rPr>
            </w:pPr>
            <w:r w:rsidRPr="00722521">
              <w:rPr>
                <w:b/>
                <w:szCs w:val="17"/>
              </w:rPr>
              <w:t>x</w:t>
            </w:r>
          </w:p>
        </w:tc>
      </w:tr>
      <w:tr w:rsidR="00BA160A" w:rsidRPr="00722521" w14:paraId="5D4860A4" w14:textId="77777777" w:rsidTr="00D841A8">
        <w:trPr>
          <w:trHeight w:hRule="exact" w:val="1522"/>
        </w:trPr>
        <w:tc>
          <w:tcPr>
            <w:tcW w:w="804" w:type="pct"/>
            <w:tcBorders>
              <w:top w:val="single" w:sz="8" w:space="0" w:color="BABABA"/>
              <w:left w:val="single" w:sz="8" w:space="0" w:color="BABABA"/>
              <w:bottom w:val="single" w:sz="8" w:space="0" w:color="BABABA"/>
              <w:right w:val="single" w:sz="8" w:space="0" w:color="BABABA"/>
            </w:tcBorders>
            <w:hideMark/>
          </w:tcPr>
          <w:p w14:paraId="77655ED2" w14:textId="77777777" w:rsidR="00BA160A" w:rsidRPr="00722521" w:rsidRDefault="00BA160A" w:rsidP="00A903E6">
            <w:pPr>
              <w:pStyle w:val="TableParagraph"/>
              <w:mirrorIndents/>
              <w:rPr>
                <w:szCs w:val="17"/>
              </w:rPr>
            </w:pPr>
            <w:r w:rsidRPr="00722521">
              <w:rPr>
                <w:w w:val="105"/>
                <w:szCs w:val="17"/>
              </w:rPr>
              <w:t>One joint Board of Appeal for the 3 ESAs</w:t>
            </w:r>
          </w:p>
        </w:tc>
        <w:tc>
          <w:tcPr>
            <w:tcW w:w="699" w:type="pct"/>
            <w:tcBorders>
              <w:top w:val="single" w:sz="8" w:space="0" w:color="BABABA"/>
              <w:left w:val="single" w:sz="8" w:space="0" w:color="BABABA"/>
              <w:bottom w:val="single" w:sz="8" w:space="0" w:color="BABABA"/>
              <w:right w:val="single" w:sz="8" w:space="0" w:color="BABABA"/>
            </w:tcBorders>
          </w:tcPr>
          <w:p w14:paraId="797EA034"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7065A88E"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4CD1C834"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0CDB481" w14:textId="593E4A12"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2F5A4CC6"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F781849" w14:textId="77777777" w:rsidR="00BA160A" w:rsidRPr="00722521" w:rsidRDefault="00BA160A" w:rsidP="00A903E6">
            <w:pPr>
              <w:pStyle w:val="TableParagraph"/>
              <w:mirrorIndents/>
              <w:rPr>
                <w:b/>
                <w:szCs w:val="17"/>
              </w:rPr>
            </w:pPr>
          </w:p>
        </w:tc>
      </w:tr>
      <w:tr w:rsidR="00BA160A" w:rsidRPr="00722521" w14:paraId="2967964A" w14:textId="77777777" w:rsidTr="00D841A8">
        <w:trPr>
          <w:trHeight w:hRule="exact" w:val="1225"/>
        </w:trPr>
        <w:tc>
          <w:tcPr>
            <w:tcW w:w="804" w:type="pct"/>
            <w:tcBorders>
              <w:top w:val="single" w:sz="8" w:space="0" w:color="BABABA"/>
              <w:left w:val="single" w:sz="8" w:space="0" w:color="BABABA"/>
              <w:bottom w:val="single" w:sz="8" w:space="0" w:color="BABABA"/>
              <w:right w:val="single" w:sz="8" w:space="0" w:color="BABABA"/>
            </w:tcBorders>
            <w:hideMark/>
          </w:tcPr>
          <w:p w14:paraId="3CB04F4A" w14:textId="77777777" w:rsidR="00BA160A" w:rsidRPr="00722521" w:rsidRDefault="00BA160A" w:rsidP="00A903E6">
            <w:pPr>
              <w:pStyle w:val="TableParagraph"/>
              <w:mirrorIndents/>
              <w:rPr>
                <w:szCs w:val="17"/>
              </w:rPr>
            </w:pPr>
            <w:r w:rsidRPr="00722521">
              <w:rPr>
                <w:w w:val="105"/>
                <w:szCs w:val="17"/>
              </w:rPr>
              <w:t xml:space="preserve">The </w:t>
            </w:r>
            <w:r w:rsidRPr="00722521">
              <w:rPr>
                <w:szCs w:val="17"/>
              </w:rPr>
              <w:t xml:space="preserve">composition </w:t>
            </w:r>
            <w:r w:rsidRPr="00722521">
              <w:rPr>
                <w:w w:val="105"/>
                <w:szCs w:val="17"/>
              </w:rPr>
              <w:t xml:space="preserve">of the </w:t>
            </w:r>
            <w:proofErr w:type="spellStart"/>
            <w:r w:rsidRPr="00722521">
              <w:rPr>
                <w:w w:val="105"/>
                <w:szCs w:val="17"/>
              </w:rPr>
              <w:t>BoA</w:t>
            </w:r>
            <w:proofErr w:type="spellEnd"/>
          </w:p>
        </w:tc>
        <w:tc>
          <w:tcPr>
            <w:tcW w:w="699" w:type="pct"/>
            <w:tcBorders>
              <w:top w:val="single" w:sz="8" w:space="0" w:color="BABABA"/>
              <w:left w:val="single" w:sz="8" w:space="0" w:color="BABABA"/>
              <w:bottom w:val="single" w:sz="8" w:space="0" w:color="BABABA"/>
              <w:right w:val="single" w:sz="8" w:space="0" w:color="BABABA"/>
            </w:tcBorders>
          </w:tcPr>
          <w:p w14:paraId="6124BDB9"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2FB4DE0"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3CF41CF2"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7673CD1" w14:textId="3C8F2F79"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30409B16"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86EB020" w14:textId="77777777" w:rsidR="00BA160A" w:rsidRPr="00722521" w:rsidRDefault="00BA160A" w:rsidP="00A903E6">
            <w:pPr>
              <w:pStyle w:val="TableParagraph"/>
              <w:mirrorIndents/>
              <w:rPr>
                <w:b/>
                <w:szCs w:val="17"/>
              </w:rPr>
            </w:pPr>
          </w:p>
        </w:tc>
      </w:tr>
    </w:tbl>
    <w:p w14:paraId="251E5262" w14:textId="77777777" w:rsidR="00BA160A" w:rsidRPr="00722521" w:rsidRDefault="00BA160A" w:rsidP="00A903E6">
      <w:pPr>
        <w:pStyle w:val="Textkrper"/>
        <w:mirrorIndents/>
        <w:rPr>
          <w:rFonts w:ascii="Verdana" w:hAnsi="Verdana"/>
          <w:sz w:val="17"/>
          <w:szCs w:val="17"/>
        </w:rPr>
      </w:pPr>
    </w:p>
    <w:p w14:paraId="4149BDE5"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If you identify areas for improvement, please explain:</w:t>
      </w:r>
    </w:p>
    <w:p w14:paraId="37862CD4" w14:textId="7EE1B584" w:rsidR="00BA160A" w:rsidRPr="00722521" w:rsidRDefault="00BA160A" w:rsidP="00A903E6">
      <w:pPr>
        <w:mirrorIndents/>
        <w:rPr>
          <w:sz w:val="17"/>
          <w:szCs w:val="17"/>
        </w:rPr>
      </w:pPr>
    </w:p>
    <w:p w14:paraId="27408ED3" w14:textId="322AAD32" w:rsidR="00060427" w:rsidRPr="00722521" w:rsidRDefault="00722521" w:rsidP="00060427">
      <w:pPr>
        <w:mirrorIndents/>
        <w:rPr>
          <w:sz w:val="17"/>
          <w:szCs w:val="17"/>
        </w:rPr>
      </w:pPr>
      <w:r>
        <w:rPr>
          <w:sz w:val="17"/>
          <w:szCs w:val="17"/>
        </w:rPr>
        <w:t>VVO</w:t>
      </w:r>
      <w:r w:rsidR="00433B03" w:rsidRPr="00722521">
        <w:rPr>
          <w:sz w:val="17"/>
          <w:szCs w:val="17"/>
        </w:rPr>
        <w:t xml:space="preserve"> </w:t>
      </w:r>
      <w:r w:rsidR="00060427" w:rsidRPr="00722521">
        <w:rPr>
          <w:sz w:val="17"/>
          <w:szCs w:val="17"/>
        </w:rPr>
        <w:t>is concerned that there are limitations for the ability to appeal against the decisions of an Authority based on the prerequisite that the decision has to be addressed to the appealing person, or the appeal has to be against a decision which, although in the form of a decision addressed to another person, is of direct and individual concern to that person (Article 60.1 EIOPA Regulation).</w:t>
      </w:r>
    </w:p>
    <w:p w14:paraId="72B40EA3" w14:textId="77777777" w:rsidR="00060427" w:rsidRPr="00722521" w:rsidRDefault="00060427" w:rsidP="00060427">
      <w:pPr>
        <w:mirrorIndents/>
        <w:rPr>
          <w:sz w:val="17"/>
          <w:szCs w:val="17"/>
        </w:rPr>
      </w:pPr>
    </w:p>
    <w:p w14:paraId="00A28931" w14:textId="440FEC66" w:rsidR="00060427" w:rsidRPr="00722521" w:rsidRDefault="00060427" w:rsidP="00060427">
      <w:pPr>
        <w:mirrorIndents/>
        <w:rPr>
          <w:sz w:val="17"/>
          <w:szCs w:val="17"/>
        </w:rPr>
      </w:pPr>
      <w:r w:rsidRPr="00722521">
        <w:rPr>
          <w:sz w:val="17"/>
          <w:szCs w:val="17"/>
        </w:rPr>
        <w:t xml:space="preserve">While </w:t>
      </w:r>
      <w:r w:rsidR="00722521">
        <w:rPr>
          <w:sz w:val="17"/>
          <w:szCs w:val="17"/>
        </w:rPr>
        <w:t>VVO</w:t>
      </w:r>
      <w:r w:rsidR="00433B03" w:rsidRPr="00722521">
        <w:rPr>
          <w:sz w:val="17"/>
          <w:szCs w:val="17"/>
        </w:rPr>
        <w:t xml:space="preserve"> </w:t>
      </w:r>
      <w:r w:rsidRPr="00722521">
        <w:rPr>
          <w:sz w:val="17"/>
          <w:szCs w:val="17"/>
        </w:rPr>
        <w:t xml:space="preserve">acknowledges the improvement that a </w:t>
      </w:r>
      <w:r w:rsidR="00433B03" w:rsidRPr="00722521">
        <w:rPr>
          <w:sz w:val="17"/>
          <w:szCs w:val="17"/>
        </w:rPr>
        <w:t>supervised</w:t>
      </w:r>
      <w:r w:rsidRPr="00722521">
        <w:rPr>
          <w:sz w:val="17"/>
          <w:szCs w:val="17"/>
        </w:rPr>
        <w:t xml:space="preserve"> entity might call on the Board of Appeal with regards to decisions against the N</w:t>
      </w:r>
      <w:r w:rsidR="00433B03" w:rsidRPr="00722521">
        <w:rPr>
          <w:sz w:val="17"/>
          <w:szCs w:val="17"/>
        </w:rPr>
        <w:t>S</w:t>
      </w:r>
      <w:r w:rsidRPr="00722521">
        <w:rPr>
          <w:sz w:val="17"/>
          <w:szCs w:val="17"/>
        </w:rPr>
        <w:t xml:space="preserve">A which </w:t>
      </w:r>
      <w:r w:rsidR="00433B03" w:rsidRPr="00722521">
        <w:rPr>
          <w:sz w:val="17"/>
          <w:szCs w:val="17"/>
        </w:rPr>
        <w:t>supervises</w:t>
      </w:r>
      <w:r w:rsidRPr="00722521">
        <w:rPr>
          <w:sz w:val="17"/>
          <w:szCs w:val="17"/>
        </w:rPr>
        <w:t xml:space="preserve"> the entity, there is still no possibility for representative bodies to call on the Board of Appeal for decisions by the ESAs which concern the wider group of its membership. Due to the nature of EIOPA decisions being usually addressed to N</w:t>
      </w:r>
      <w:r w:rsidR="00433B03" w:rsidRPr="00722521">
        <w:rPr>
          <w:sz w:val="17"/>
          <w:szCs w:val="17"/>
        </w:rPr>
        <w:t>S</w:t>
      </w:r>
      <w:r w:rsidRPr="00722521">
        <w:rPr>
          <w:sz w:val="17"/>
          <w:szCs w:val="17"/>
        </w:rPr>
        <w:t xml:space="preserve">As, </w:t>
      </w:r>
      <w:r w:rsidR="00722521">
        <w:rPr>
          <w:sz w:val="17"/>
          <w:szCs w:val="17"/>
        </w:rPr>
        <w:t>VVO</w:t>
      </w:r>
      <w:r w:rsidRPr="00722521">
        <w:rPr>
          <w:sz w:val="17"/>
          <w:szCs w:val="17"/>
        </w:rPr>
        <w:t xml:space="preserve"> believes that a right of appeal should be granted to representative bodies proving that they represent a material group of natural or legal persons for which the provisions of Article 60.1 apply.</w:t>
      </w:r>
    </w:p>
    <w:p w14:paraId="33FD95E5" w14:textId="7833D5BD" w:rsidR="00A155F5" w:rsidRPr="00722521" w:rsidRDefault="00A155F5" w:rsidP="00A903E6">
      <w:pPr>
        <w:mirrorIndents/>
        <w:rPr>
          <w:sz w:val="17"/>
          <w:szCs w:val="17"/>
        </w:rPr>
      </w:pPr>
    </w:p>
    <w:p w14:paraId="779BB548" w14:textId="77777777" w:rsidR="00A155F5" w:rsidRPr="00722521" w:rsidRDefault="00A155F5" w:rsidP="00A903E6">
      <w:pPr>
        <w:mirrorIndents/>
        <w:rPr>
          <w:sz w:val="17"/>
          <w:szCs w:val="17"/>
        </w:rPr>
      </w:pPr>
    </w:p>
    <w:p w14:paraId="0CB99863"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2.5.2 Please assess the aspects described below regarding the Joint Committee of the ESAs:</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530"/>
        <w:gridCol w:w="1331"/>
        <w:gridCol w:w="1330"/>
        <w:gridCol w:w="1330"/>
        <w:gridCol w:w="1330"/>
        <w:gridCol w:w="1330"/>
        <w:gridCol w:w="1330"/>
      </w:tblGrid>
      <w:tr w:rsidR="00BA160A" w:rsidRPr="00722521" w14:paraId="4415C524" w14:textId="77777777" w:rsidTr="00D841A8">
        <w:trPr>
          <w:trHeight w:hRule="exact" w:val="375"/>
        </w:trPr>
        <w:tc>
          <w:tcPr>
            <w:tcW w:w="804" w:type="pct"/>
            <w:vMerge w:val="restart"/>
            <w:tcBorders>
              <w:top w:val="single" w:sz="8" w:space="0" w:color="BABABA"/>
              <w:left w:val="single" w:sz="8" w:space="0" w:color="BABABA"/>
              <w:bottom w:val="single" w:sz="8" w:space="0" w:color="BABABA"/>
              <w:right w:val="single" w:sz="8" w:space="0" w:color="BABABA"/>
            </w:tcBorders>
          </w:tcPr>
          <w:p w14:paraId="4717B53A"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tcPr>
          <w:p w14:paraId="739052CD"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tcPr>
          <w:p w14:paraId="02C56F6C"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tcPr>
          <w:p w14:paraId="6B5039E7"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tcPr>
          <w:p w14:paraId="7FCA518C"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tcPr>
          <w:p w14:paraId="0FA757BB" w14:textId="77777777" w:rsidR="00BA160A" w:rsidRPr="00722521" w:rsidRDefault="00BA160A" w:rsidP="00A903E6">
            <w:pPr>
              <w:mirrorIndents/>
              <w:rPr>
                <w:sz w:val="17"/>
                <w:szCs w:val="17"/>
              </w:rPr>
            </w:pPr>
          </w:p>
        </w:tc>
        <w:tc>
          <w:tcPr>
            <w:tcW w:w="699" w:type="pct"/>
            <w:tcBorders>
              <w:top w:val="single" w:sz="8" w:space="0" w:color="BABABA"/>
              <w:left w:val="single" w:sz="8" w:space="0" w:color="BABABA"/>
              <w:bottom w:val="nil"/>
              <w:right w:val="single" w:sz="8" w:space="0" w:color="BABABA"/>
            </w:tcBorders>
            <w:hideMark/>
          </w:tcPr>
          <w:p w14:paraId="21DD5BC1" w14:textId="77777777" w:rsidR="00BA160A" w:rsidRPr="00722521" w:rsidRDefault="00BA160A" w:rsidP="00A903E6">
            <w:pPr>
              <w:pStyle w:val="TableParagraph"/>
              <w:mirrorIndents/>
              <w:rPr>
                <w:szCs w:val="17"/>
              </w:rPr>
            </w:pPr>
            <w:r w:rsidRPr="00722521">
              <w:rPr>
                <w:w w:val="105"/>
                <w:szCs w:val="17"/>
              </w:rPr>
              <w:t>Don't</w:t>
            </w:r>
          </w:p>
        </w:tc>
      </w:tr>
      <w:tr w:rsidR="00BA160A" w:rsidRPr="00722521" w14:paraId="2D70D69F" w14:textId="77777777" w:rsidTr="00D841A8">
        <w:trPr>
          <w:trHeight w:hRule="exact" w:val="593"/>
        </w:trPr>
        <w:tc>
          <w:tcPr>
            <w:tcW w:w="804" w:type="pct"/>
            <w:vMerge/>
            <w:tcBorders>
              <w:top w:val="single" w:sz="8" w:space="0" w:color="BABABA"/>
              <w:left w:val="single" w:sz="8" w:space="0" w:color="BABABA"/>
              <w:bottom w:val="single" w:sz="8" w:space="0" w:color="BABABA"/>
              <w:right w:val="single" w:sz="8" w:space="0" w:color="BABABA"/>
            </w:tcBorders>
            <w:vAlign w:val="center"/>
            <w:hideMark/>
          </w:tcPr>
          <w:p w14:paraId="1238E19A" w14:textId="77777777" w:rsidR="00BA160A" w:rsidRPr="00722521" w:rsidRDefault="00BA160A" w:rsidP="00A903E6">
            <w:pPr>
              <w:jc w:val="left"/>
              <w:rPr>
                <w:rFonts w:eastAsia="Microsoft Sans Serif" w:cs="Microsoft Sans Serif"/>
                <w:sz w:val="17"/>
                <w:szCs w:val="17"/>
              </w:rPr>
            </w:pPr>
          </w:p>
        </w:tc>
        <w:tc>
          <w:tcPr>
            <w:tcW w:w="699" w:type="pct"/>
            <w:tcBorders>
              <w:top w:val="nil"/>
              <w:left w:val="single" w:sz="8" w:space="0" w:color="BABABA"/>
              <w:bottom w:val="nil"/>
              <w:right w:val="single" w:sz="8" w:space="0" w:color="BABABA"/>
            </w:tcBorders>
            <w:hideMark/>
          </w:tcPr>
          <w:p w14:paraId="2B339D86" w14:textId="77777777" w:rsidR="00BA160A" w:rsidRPr="00722521" w:rsidRDefault="00BA160A" w:rsidP="00A903E6">
            <w:pPr>
              <w:pStyle w:val="TableParagraph"/>
              <w:mirrorIndents/>
              <w:rPr>
                <w:szCs w:val="17"/>
              </w:rPr>
            </w:pPr>
            <w:r w:rsidRPr="00722521">
              <w:rPr>
                <w:w w:val="99"/>
                <w:szCs w:val="17"/>
              </w:rPr>
              <w:t>1</w:t>
            </w:r>
          </w:p>
        </w:tc>
        <w:tc>
          <w:tcPr>
            <w:tcW w:w="699" w:type="pct"/>
            <w:tcBorders>
              <w:top w:val="nil"/>
              <w:left w:val="single" w:sz="8" w:space="0" w:color="BABABA"/>
              <w:bottom w:val="nil"/>
              <w:right w:val="single" w:sz="8" w:space="0" w:color="BABABA"/>
            </w:tcBorders>
            <w:hideMark/>
          </w:tcPr>
          <w:p w14:paraId="762EE994" w14:textId="77777777" w:rsidR="00BA160A" w:rsidRPr="00722521" w:rsidRDefault="00BA160A" w:rsidP="00A903E6">
            <w:pPr>
              <w:pStyle w:val="TableParagraph"/>
              <w:mirrorIndents/>
              <w:rPr>
                <w:szCs w:val="17"/>
              </w:rPr>
            </w:pPr>
            <w:r w:rsidRPr="00722521">
              <w:rPr>
                <w:w w:val="99"/>
                <w:szCs w:val="17"/>
              </w:rPr>
              <w:t>2</w:t>
            </w:r>
          </w:p>
        </w:tc>
        <w:tc>
          <w:tcPr>
            <w:tcW w:w="699" w:type="pct"/>
            <w:tcBorders>
              <w:top w:val="nil"/>
              <w:left w:val="single" w:sz="8" w:space="0" w:color="BABABA"/>
              <w:bottom w:val="nil"/>
              <w:right w:val="single" w:sz="8" w:space="0" w:color="BABABA"/>
            </w:tcBorders>
            <w:hideMark/>
          </w:tcPr>
          <w:p w14:paraId="00C3D30C" w14:textId="77777777" w:rsidR="00BA160A" w:rsidRPr="00722521" w:rsidRDefault="00BA160A" w:rsidP="00A903E6">
            <w:pPr>
              <w:pStyle w:val="TableParagraph"/>
              <w:mirrorIndents/>
              <w:rPr>
                <w:szCs w:val="17"/>
              </w:rPr>
            </w:pPr>
            <w:r w:rsidRPr="00722521">
              <w:rPr>
                <w:w w:val="99"/>
                <w:szCs w:val="17"/>
              </w:rPr>
              <w:t>3</w:t>
            </w:r>
          </w:p>
        </w:tc>
        <w:tc>
          <w:tcPr>
            <w:tcW w:w="699" w:type="pct"/>
            <w:tcBorders>
              <w:top w:val="nil"/>
              <w:left w:val="single" w:sz="8" w:space="0" w:color="BABABA"/>
              <w:bottom w:val="nil"/>
              <w:right w:val="single" w:sz="8" w:space="0" w:color="BABABA"/>
            </w:tcBorders>
            <w:hideMark/>
          </w:tcPr>
          <w:p w14:paraId="738425A2" w14:textId="77777777" w:rsidR="00BA160A" w:rsidRPr="00722521" w:rsidRDefault="00BA160A" w:rsidP="00A903E6">
            <w:pPr>
              <w:pStyle w:val="TableParagraph"/>
              <w:mirrorIndents/>
              <w:rPr>
                <w:szCs w:val="17"/>
              </w:rPr>
            </w:pPr>
            <w:r w:rsidRPr="00722521">
              <w:rPr>
                <w:w w:val="99"/>
                <w:szCs w:val="17"/>
              </w:rPr>
              <w:t>4</w:t>
            </w:r>
          </w:p>
        </w:tc>
        <w:tc>
          <w:tcPr>
            <w:tcW w:w="699" w:type="pct"/>
            <w:tcBorders>
              <w:top w:val="nil"/>
              <w:left w:val="single" w:sz="8" w:space="0" w:color="BABABA"/>
              <w:bottom w:val="nil"/>
              <w:right w:val="single" w:sz="8" w:space="0" w:color="BABABA"/>
            </w:tcBorders>
            <w:hideMark/>
          </w:tcPr>
          <w:p w14:paraId="2FA4B37C" w14:textId="77777777" w:rsidR="00BA160A" w:rsidRPr="00722521" w:rsidRDefault="00BA160A" w:rsidP="00A903E6">
            <w:pPr>
              <w:pStyle w:val="TableParagraph"/>
              <w:mirrorIndents/>
              <w:rPr>
                <w:szCs w:val="17"/>
              </w:rPr>
            </w:pPr>
            <w:r w:rsidRPr="00722521">
              <w:rPr>
                <w:w w:val="99"/>
                <w:szCs w:val="17"/>
              </w:rPr>
              <w:t>5</w:t>
            </w:r>
          </w:p>
        </w:tc>
        <w:tc>
          <w:tcPr>
            <w:tcW w:w="699" w:type="pct"/>
            <w:tcBorders>
              <w:top w:val="nil"/>
              <w:left w:val="single" w:sz="8" w:space="0" w:color="BABABA"/>
              <w:bottom w:val="nil"/>
              <w:right w:val="single" w:sz="8" w:space="0" w:color="BABABA"/>
            </w:tcBorders>
            <w:hideMark/>
          </w:tcPr>
          <w:p w14:paraId="5C86762F" w14:textId="77777777" w:rsidR="00BA160A" w:rsidRPr="00722521" w:rsidRDefault="00BA160A" w:rsidP="00A903E6">
            <w:pPr>
              <w:pStyle w:val="TableParagraph"/>
              <w:ind w:hanging="136"/>
              <w:mirrorIndents/>
              <w:rPr>
                <w:szCs w:val="17"/>
              </w:rPr>
            </w:pPr>
            <w:r w:rsidRPr="00722521">
              <w:rPr>
                <w:w w:val="105"/>
                <w:szCs w:val="17"/>
              </w:rPr>
              <w:t>know - No</w:t>
            </w:r>
          </w:p>
        </w:tc>
      </w:tr>
      <w:tr w:rsidR="00BA160A" w:rsidRPr="00722521" w14:paraId="4734DE6B" w14:textId="77777777" w:rsidTr="00D841A8">
        <w:trPr>
          <w:trHeight w:hRule="exact" w:val="302"/>
        </w:trPr>
        <w:tc>
          <w:tcPr>
            <w:tcW w:w="804" w:type="pct"/>
            <w:vMerge/>
            <w:tcBorders>
              <w:top w:val="single" w:sz="8" w:space="0" w:color="BABABA"/>
              <w:left w:val="single" w:sz="8" w:space="0" w:color="BABABA"/>
              <w:bottom w:val="single" w:sz="8" w:space="0" w:color="BABABA"/>
              <w:right w:val="single" w:sz="8" w:space="0" w:color="BABABA"/>
            </w:tcBorders>
            <w:vAlign w:val="center"/>
            <w:hideMark/>
          </w:tcPr>
          <w:p w14:paraId="5CE65AAA" w14:textId="77777777" w:rsidR="00BA160A" w:rsidRPr="00722521" w:rsidRDefault="00BA160A" w:rsidP="00A903E6">
            <w:pPr>
              <w:jc w:val="left"/>
              <w:rPr>
                <w:rFonts w:eastAsia="Microsoft Sans Serif" w:cs="Microsoft Sans Serif"/>
                <w:sz w:val="17"/>
                <w:szCs w:val="17"/>
              </w:rPr>
            </w:pPr>
          </w:p>
        </w:tc>
        <w:tc>
          <w:tcPr>
            <w:tcW w:w="699" w:type="pct"/>
            <w:tcBorders>
              <w:top w:val="nil"/>
              <w:left w:val="single" w:sz="8" w:space="0" w:color="BABABA"/>
              <w:bottom w:val="nil"/>
              <w:right w:val="single" w:sz="8" w:space="0" w:color="BABABA"/>
            </w:tcBorders>
            <w:hideMark/>
          </w:tcPr>
          <w:p w14:paraId="0C3121D9" w14:textId="77777777" w:rsidR="00BA160A" w:rsidRPr="00722521" w:rsidRDefault="00BA160A" w:rsidP="00A903E6">
            <w:pPr>
              <w:pStyle w:val="TableParagraph"/>
              <w:mirrorIndents/>
              <w:rPr>
                <w:szCs w:val="17"/>
              </w:rPr>
            </w:pPr>
            <w:r w:rsidRPr="00722521">
              <w:rPr>
                <w:szCs w:val="17"/>
              </w:rPr>
              <w:t>(least</w:t>
            </w:r>
          </w:p>
        </w:tc>
        <w:tc>
          <w:tcPr>
            <w:tcW w:w="699" w:type="pct"/>
            <w:tcBorders>
              <w:top w:val="nil"/>
              <w:left w:val="single" w:sz="8" w:space="0" w:color="BABABA"/>
              <w:bottom w:val="nil"/>
              <w:right w:val="single" w:sz="8" w:space="0" w:color="BABABA"/>
            </w:tcBorders>
            <w:hideMark/>
          </w:tcPr>
          <w:p w14:paraId="53EC3F7F" w14:textId="77777777" w:rsidR="00BA160A" w:rsidRPr="00722521" w:rsidRDefault="00BA160A" w:rsidP="00A903E6">
            <w:pPr>
              <w:pStyle w:val="TableParagraph"/>
              <w:mirrorIndents/>
              <w:rPr>
                <w:szCs w:val="17"/>
              </w:rPr>
            </w:pPr>
            <w:r w:rsidRPr="00722521">
              <w:rPr>
                <w:w w:val="105"/>
                <w:szCs w:val="17"/>
              </w:rPr>
              <w:t>(not so</w:t>
            </w:r>
          </w:p>
        </w:tc>
        <w:tc>
          <w:tcPr>
            <w:tcW w:w="699" w:type="pct"/>
            <w:tcBorders>
              <w:top w:val="nil"/>
              <w:left w:val="single" w:sz="8" w:space="0" w:color="BABABA"/>
              <w:bottom w:val="nil"/>
              <w:right w:val="single" w:sz="8" w:space="0" w:color="BABABA"/>
            </w:tcBorders>
            <w:hideMark/>
          </w:tcPr>
          <w:p w14:paraId="294CD7C9" w14:textId="77777777" w:rsidR="00BA160A" w:rsidRPr="00722521" w:rsidRDefault="00BA160A" w:rsidP="00A903E6">
            <w:pPr>
              <w:pStyle w:val="TableParagraph"/>
              <w:mirrorIndents/>
              <w:rPr>
                <w:szCs w:val="17"/>
              </w:rPr>
            </w:pPr>
            <w:r w:rsidRPr="00722521">
              <w:rPr>
                <w:szCs w:val="17"/>
              </w:rPr>
              <w:t>(neutral)</w:t>
            </w:r>
          </w:p>
        </w:tc>
        <w:tc>
          <w:tcPr>
            <w:tcW w:w="699" w:type="pct"/>
            <w:tcBorders>
              <w:top w:val="nil"/>
              <w:left w:val="single" w:sz="8" w:space="0" w:color="BABABA"/>
              <w:bottom w:val="nil"/>
              <w:right w:val="single" w:sz="8" w:space="0" w:color="BABABA"/>
            </w:tcBorders>
            <w:hideMark/>
          </w:tcPr>
          <w:p w14:paraId="03FEFC09" w14:textId="77777777" w:rsidR="00BA160A" w:rsidRPr="00722521" w:rsidRDefault="00BA160A" w:rsidP="00A903E6">
            <w:pPr>
              <w:pStyle w:val="TableParagraph"/>
              <w:mirrorIndents/>
              <w:rPr>
                <w:szCs w:val="17"/>
              </w:rPr>
            </w:pPr>
            <w:r w:rsidRPr="00722521">
              <w:rPr>
                <w:w w:val="105"/>
                <w:szCs w:val="17"/>
              </w:rPr>
              <w:t>(rather</w:t>
            </w:r>
          </w:p>
        </w:tc>
        <w:tc>
          <w:tcPr>
            <w:tcW w:w="699" w:type="pct"/>
            <w:tcBorders>
              <w:top w:val="nil"/>
              <w:left w:val="single" w:sz="8" w:space="0" w:color="BABABA"/>
              <w:bottom w:val="nil"/>
              <w:right w:val="single" w:sz="8" w:space="0" w:color="BABABA"/>
            </w:tcBorders>
            <w:hideMark/>
          </w:tcPr>
          <w:p w14:paraId="681799B8" w14:textId="77777777" w:rsidR="00BA160A" w:rsidRPr="00722521" w:rsidRDefault="00BA160A" w:rsidP="00A903E6">
            <w:pPr>
              <w:pStyle w:val="TableParagraph"/>
              <w:mirrorIndents/>
              <w:rPr>
                <w:szCs w:val="17"/>
              </w:rPr>
            </w:pPr>
            <w:r w:rsidRPr="00722521">
              <w:rPr>
                <w:w w:val="105"/>
                <w:szCs w:val="17"/>
              </w:rPr>
              <w:t>(most</w:t>
            </w:r>
          </w:p>
        </w:tc>
        <w:tc>
          <w:tcPr>
            <w:tcW w:w="699" w:type="pct"/>
            <w:tcBorders>
              <w:top w:val="nil"/>
              <w:left w:val="single" w:sz="8" w:space="0" w:color="BABABA"/>
              <w:bottom w:val="nil"/>
              <w:right w:val="single" w:sz="8" w:space="0" w:color="BABABA"/>
            </w:tcBorders>
            <w:hideMark/>
          </w:tcPr>
          <w:p w14:paraId="6C710760" w14:textId="77777777" w:rsidR="00BA160A" w:rsidRPr="00722521" w:rsidRDefault="00BA160A" w:rsidP="00A903E6">
            <w:pPr>
              <w:pStyle w:val="TableParagraph"/>
              <w:mirrorIndents/>
              <w:rPr>
                <w:szCs w:val="17"/>
              </w:rPr>
            </w:pPr>
            <w:r w:rsidRPr="00722521">
              <w:rPr>
                <w:szCs w:val="17"/>
              </w:rPr>
              <w:t>opinion -</w:t>
            </w:r>
          </w:p>
        </w:tc>
      </w:tr>
      <w:tr w:rsidR="00BA160A" w:rsidRPr="00722521" w14:paraId="4276DCD8" w14:textId="77777777" w:rsidTr="00D841A8">
        <w:trPr>
          <w:trHeight w:hRule="exact" w:val="291"/>
        </w:trPr>
        <w:tc>
          <w:tcPr>
            <w:tcW w:w="804" w:type="pct"/>
            <w:vMerge/>
            <w:tcBorders>
              <w:top w:val="single" w:sz="8" w:space="0" w:color="BABABA"/>
              <w:left w:val="single" w:sz="8" w:space="0" w:color="BABABA"/>
              <w:bottom w:val="single" w:sz="8" w:space="0" w:color="BABABA"/>
              <w:right w:val="single" w:sz="8" w:space="0" w:color="BABABA"/>
            </w:tcBorders>
            <w:vAlign w:val="center"/>
            <w:hideMark/>
          </w:tcPr>
          <w:p w14:paraId="5245821E" w14:textId="77777777" w:rsidR="00BA160A" w:rsidRPr="00722521" w:rsidRDefault="00BA160A" w:rsidP="00A903E6">
            <w:pPr>
              <w:jc w:val="left"/>
              <w:rPr>
                <w:rFonts w:eastAsia="Microsoft Sans Serif" w:cs="Microsoft Sans Serif"/>
                <w:sz w:val="17"/>
                <w:szCs w:val="17"/>
              </w:rPr>
            </w:pPr>
          </w:p>
        </w:tc>
        <w:tc>
          <w:tcPr>
            <w:tcW w:w="699" w:type="pct"/>
            <w:tcBorders>
              <w:top w:val="nil"/>
              <w:left w:val="single" w:sz="8" w:space="0" w:color="BABABA"/>
              <w:bottom w:val="nil"/>
              <w:right w:val="single" w:sz="8" w:space="0" w:color="BABABA"/>
            </w:tcBorders>
            <w:hideMark/>
          </w:tcPr>
          <w:p w14:paraId="4F9D8B2B" w14:textId="77777777" w:rsidR="00BA160A" w:rsidRPr="00722521" w:rsidRDefault="00BA160A" w:rsidP="00A903E6">
            <w:pPr>
              <w:pStyle w:val="TableParagraph"/>
              <w:mirrorIndents/>
              <w:rPr>
                <w:szCs w:val="17"/>
              </w:rPr>
            </w:pPr>
            <w:r w:rsidRPr="00722521">
              <w:rPr>
                <w:szCs w:val="17"/>
              </w:rPr>
              <w:t>effective</w:t>
            </w:r>
          </w:p>
        </w:tc>
        <w:tc>
          <w:tcPr>
            <w:tcW w:w="699" w:type="pct"/>
            <w:tcBorders>
              <w:top w:val="nil"/>
              <w:left w:val="single" w:sz="8" w:space="0" w:color="BABABA"/>
              <w:bottom w:val="nil"/>
              <w:right w:val="single" w:sz="8" w:space="0" w:color="BABABA"/>
            </w:tcBorders>
            <w:hideMark/>
          </w:tcPr>
          <w:p w14:paraId="69F0DB64" w14:textId="77777777" w:rsidR="00BA160A" w:rsidRPr="00722521" w:rsidRDefault="00BA160A" w:rsidP="00A903E6">
            <w:pPr>
              <w:pStyle w:val="TableParagraph"/>
              <w:mirrorIndents/>
              <w:rPr>
                <w:szCs w:val="17"/>
              </w:rPr>
            </w:pPr>
            <w:r w:rsidRPr="00722521">
              <w:rPr>
                <w:szCs w:val="17"/>
              </w:rPr>
              <w:t>effective)</w:t>
            </w:r>
          </w:p>
        </w:tc>
        <w:tc>
          <w:tcPr>
            <w:tcW w:w="699" w:type="pct"/>
            <w:tcBorders>
              <w:top w:val="nil"/>
              <w:left w:val="single" w:sz="8" w:space="0" w:color="BABABA"/>
              <w:bottom w:val="nil"/>
              <w:right w:val="single" w:sz="8" w:space="0" w:color="BABABA"/>
            </w:tcBorders>
          </w:tcPr>
          <w:p w14:paraId="581D854F" w14:textId="77777777" w:rsidR="00BA160A" w:rsidRPr="00722521" w:rsidRDefault="00BA160A" w:rsidP="00A903E6">
            <w:pPr>
              <w:mirrorIndents/>
              <w:rPr>
                <w:sz w:val="17"/>
                <w:szCs w:val="17"/>
              </w:rPr>
            </w:pPr>
          </w:p>
        </w:tc>
        <w:tc>
          <w:tcPr>
            <w:tcW w:w="699" w:type="pct"/>
            <w:tcBorders>
              <w:top w:val="nil"/>
              <w:left w:val="single" w:sz="8" w:space="0" w:color="BABABA"/>
              <w:bottom w:val="nil"/>
              <w:right w:val="single" w:sz="8" w:space="0" w:color="BABABA"/>
            </w:tcBorders>
            <w:hideMark/>
          </w:tcPr>
          <w:p w14:paraId="7F901CCF" w14:textId="77777777" w:rsidR="00BA160A" w:rsidRPr="00722521" w:rsidRDefault="00BA160A" w:rsidP="00A903E6">
            <w:pPr>
              <w:pStyle w:val="TableParagraph"/>
              <w:mirrorIndents/>
              <w:rPr>
                <w:szCs w:val="17"/>
              </w:rPr>
            </w:pPr>
            <w:r w:rsidRPr="00722521">
              <w:rPr>
                <w:szCs w:val="17"/>
              </w:rPr>
              <w:t>effective)</w:t>
            </w:r>
          </w:p>
        </w:tc>
        <w:tc>
          <w:tcPr>
            <w:tcW w:w="699" w:type="pct"/>
            <w:tcBorders>
              <w:top w:val="nil"/>
              <w:left w:val="single" w:sz="8" w:space="0" w:color="BABABA"/>
              <w:bottom w:val="nil"/>
              <w:right w:val="single" w:sz="8" w:space="0" w:color="BABABA"/>
            </w:tcBorders>
            <w:hideMark/>
          </w:tcPr>
          <w:p w14:paraId="56AE2DBB" w14:textId="77777777" w:rsidR="00BA160A" w:rsidRPr="00722521" w:rsidRDefault="00BA160A" w:rsidP="00A903E6">
            <w:pPr>
              <w:pStyle w:val="TableParagraph"/>
              <w:mirrorIndents/>
              <w:rPr>
                <w:szCs w:val="17"/>
              </w:rPr>
            </w:pPr>
            <w:r w:rsidRPr="00722521">
              <w:rPr>
                <w:szCs w:val="17"/>
              </w:rPr>
              <w:t>effective)</w:t>
            </w:r>
          </w:p>
        </w:tc>
        <w:tc>
          <w:tcPr>
            <w:tcW w:w="699" w:type="pct"/>
            <w:tcBorders>
              <w:top w:val="nil"/>
              <w:left w:val="single" w:sz="8" w:space="0" w:color="BABABA"/>
              <w:bottom w:val="nil"/>
              <w:right w:val="single" w:sz="8" w:space="0" w:color="BABABA"/>
            </w:tcBorders>
            <w:hideMark/>
          </w:tcPr>
          <w:p w14:paraId="731D3493" w14:textId="77777777" w:rsidR="00BA160A" w:rsidRPr="00722521" w:rsidRDefault="00BA160A" w:rsidP="00A903E6">
            <w:pPr>
              <w:pStyle w:val="TableParagraph"/>
              <w:mirrorIndents/>
              <w:rPr>
                <w:szCs w:val="17"/>
              </w:rPr>
            </w:pPr>
            <w:r w:rsidRPr="00722521">
              <w:rPr>
                <w:w w:val="105"/>
                <w:szCs w:val="17"/>
              </w:rPr>
              <w:t>Not</w:t>
            </w:r>
          </w:p>
        </w:tc>
      </w:tr>
      <w:tr w:rsidR="00BA160A" w:rsidRPr="00722521" w14:paraId="046BA679" w14:textId="77777777" w:rsidTr="00D841A8">
        <w:trPr>
          <w:trHeight w:hRule="exact" w:val="398"/>
        </w:trPr>
        <w:tc>
          <w:tcPr>
            <w:tcW w:w="804" w:type="pct"/>
            <w:vMerge/>
            <w:tcBorders>
              <w:top w:val="single" w:sz="8" w:space="0" w:color="BABABA"/>
              <w:left w:val="single" w:sz="8" w:space="0" w:color="BABABA"/>
              <w:bottom w:val="single" w:sz="8" w:space="0" w:color="BABABA"/>
              <w:right w:val="single" w:sz="8" w:space="0" w:color="BABABA"/>
            </w:tcBorders>
            <w:vAlign w:val="center"/>
            <w:hideMark/>
          </w:tcPr>
          <w:p w14:paraId="6503249B" w14:textId="77777777" w:rsidR="00BA160A" w:rsidRPr="00722521" w:rsidRDefault="00BA160A" w:rsidP="00A903E6">
            <w:pPr>
              <w:jc w:val="left"/>
              <w:rPr>
                <w:rFonts w:eastAsia="Microsoft Sans Serif" w:cs="Microsoft Sans Serif"/>
                <w:sz w:val="17"/>
                <w:szCs w:val="17"/>
              </w:rPr>
            </w:pPr>
          </w:p>
        </w:tc>
        <w:tc>
          <w:tcPr>
            <w:tcW w:w="699" w:type="pct"/>
            <w:tcBorders>
              <w:top w:val="nil"/>
              <w:left w:val="single" w:sz="8" w:space="0" w:color="BABABA"/>
              <w:bottom w:val="single" w:sz="8" w:space="0" w:color="BABABA"/>
              <w:right w:val="single" w:sz="8" w:space="0" w:color="BABABA"/>
            </w:tcBorders>
          </w:tcPr>
          <w:p w14:paraId="44A03BDB"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52250977"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71E8E9F4"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0F6419AC"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tcPr>
          <w:p w14:paraId="0E39A1D8" w14:textId="77777777" w:rsidR="00BA160A" w:rsidRPr="00722521" w:rsidRDefault="00BA160A" w:rsidP="00A903E6">
            <w:pPr>
              <w:mirrorIndents/>
              <w:rPr>
                <w:sz w:val="17"/>
                <w:szCs w:val="17"/>
              </w:rPr>
            </w:pPr>
          </w:p>
        </w:tc>
        <w:tc>
          <w:tcPr>
            <w:tcW w:w="699" w:type="pct"/>
            <w:tcBorders>
              <w:top w:val="nil"/>
              <w:left w:val="single" w:sz="8" w:space="0" w:color="BABABA"/>
              <w:bottom w:val="single" w:sz="8" w:space="0" w:color="BABABA"/>
              <w:right w:val="single" w:sz="8" w:space="0" w:color="BABABA"/>
            </w:tcBorders>
            <w:hideMark/>
          </w:tcPr>
          <w:p w14:paraId="5402A473" w14:textId="77777777" w:rsidR="00BA160A" w:rsidRPr="00722521" w:rsidRDefault="00BA160A" w:rsidP="00A903E6">
            <w:pPr>
              <w:pStyle w:val="TableParagraph"/>
              <w:mirrorIndents/>
              <w:rPr>
                <w:szCs w:val="17"/>
              </w:rPr>
            </w:pPr>
            <w:r w:rsidRPr="00722521">
              <w:rPr>
                <w:szCs w:val="17"/>
              </w:rPr>
              <w:t>applicable</w:t>
            </w:r>
          </w:p>
        </w:tc>
      </w:tr>
      <w:tr w:rsidR="00BA160A" w:rsidRPr="00722521" w14:paraId="0577952F" w14:textId="77777777" w:rsidTr="00D841A8">
        <w:trPr>
          <w:trHeight w:hRule="exact" w:val="633"/>
        </w:trPr>
        <w:tc>
          <w:tcPr>
            <w:tcW w:w="804" w:type="pct"/>
            <w:tcBorders>
              <w:top w:val="single" w:sz="8" w:space="0" w:color="BABABA"/>
              <w:left w:val="single" w:sz="8" w:space="0" w:color="BABABA"/>
              <w:bottom w:val="single" w:sz="8" w:space="0" w:color="BABABA"/>
              <w:right w:val="single" w:sz="8" w:space="0" w:color="BABABA"/>
            </w:tcBorders>
            <w:hideMark/>
          </w:tcPr>
          <w:p w14:paraId="30DE2981" w14:textId="77777777" w:rsidR="00BA160A" w:rsidRPr="00722521" w:rsidRDefault="00BA160A" w:rsidP="00A903E6">
            <w:pPr>
              <w:pStyle w:val="TableParagraph"/>
              <w:mirrorIndents/>
              <w:rPr>
                <w:szCs w:val="17"/>
              </w:rPr>
            </w:pPr>
            <w:r w:rsidRPr="00722521">
              <w:rPr>
                <w:szCs w:val="17"/>
              </w:rPr>
              <w:t>Functioning</w:t>
            </w:r>
          </w:p>
        </w:tc>
        <w:tc>
          <w:tcPr>
            <w:tcW w:w="699" w:type="pct"/>
            <w:tcBorders>
              <w:top w:val="single" w:sz="8" w:space="0" w:color="BABABA"/>
              <w:left w:val="single" w:sz="8" w:space="0" w:color="BABABA"/>
              <w:bottom w:val="single" w:sz="8" w:space="0" w:color="BABABA"/>
              <w:right w:val="single" w:sz="8" w:space="0" w:color="BABABA"/>
            </w:tcBorders>
          </w:tcPr>
          <w:p w14:paraId="49D50531"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3C8A7A99"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8303C63" w14:textId="3B98A7AF"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39467725"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339E7619"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40793874" w14:textId="77777777" w:rsidR="00BA160A" w:rsidRPr="00722521" w:rsidRDefault="00BA160A" w:rsidP="00A903E6">
            <w:pPr>
              <w:pStyle w:val="TableParagraph"/>
              <w:mirrorIndents/>
              <w:rPr>
                <w:b/>
                <w:szCs w:val="17"/>
              </w:rPr>
            </w:pPr>
          </w:p>
        </w:tc>
      </w:tr>
      <w:tr w:rsidR="00BA160A" w:rsidRPr="00722521" w14:paraId="19FEBBA4" w14:textId="77777777" w:rsidTr="00D841A8">
        <w:trPr>
          <w:trHeight w:hRule="exact" w:val="929"/>
        </w:trPr>
        <w:tc>
          <w:tcPr>
            <w:tcW w:w="804" w:type="pct"/>
            <w:tcBorders>
              <w:top w:val="single" w:sz="8" w:space="0" w:color="BABABA"/>
              <w:left w:val="single" w:sz="8" w:space="0" w:color="BABABA"/>
              <w:bottom w:val="single" w:sz="8" w:space="0" w:color="BABABA"/>
              <w:right w:val="single" w:sz="8" w:space="0" w:color="BABABA"/>
            </w:tcBorders>
            <w:hideMark/>
          </w:tcPr>
          <w:p w14:paraId="57A2D3C9" w14:textId="77777777" w:rsidR="00BA160A" w:rsidRPr="00722521" w:rsidRDefault="00BA160A" w:rsidP="00A903E6">
            <w:pPr>
              <w:pStyle w:val="TableParagraph"/>
              <w:mirrorIndents/>
              <w:rPr>
                <w:szCs w:val="17"/>
              </w:rPr>
            </w:pPr>
            <w:r w:rsidRPr="00722521">
              <w:rPr>
                <w:w w:val="105"/>
                <w:szCs w:val="17"/>
              </w:rPr>
              <w:t xml:space="preserve">Working </w:t>
            </w:r>
            <w:r w:rsidRPr="00722521">
              <w:rPr>
                <w:szCs w:val="17"/>
              </w:rPr>
              <w:t>methods</w:t>
            </w:r>
          </w:p>
        </w:tc>
        <w:tc>
          <w:tcPr>
            <w:tcW w:w="699" w:type="pct"/>
            <w:tcBorders>
              <w:top w:val="single" w:sz="8" w:space="0" w:color="BABABA"/>
              <w:left w:val="single" w:sz="8" w:space="0" w:color="BABABA"/>
              <w:bottom w:val="single" w:sz="8" w:space="0" w:color="BABABA"/>
              <w:right w:val="single" w:sz="8" w:space="0" w:color="BABABA"/>
            </w:tcBorders>
          </w:tcPr>
          <w:p w14:paraId="226B9186"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4E494C5"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963CDE2" w14:textId="0B182C15"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6C68D7EE"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4688284D"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0175A9C6" w14:textId="77777777" w:rsidR="00BA160A" w:rsidRPr="00722521" w:rsidRDefault="00BA160A" w:rsidP="00A903E6">
            <w:pPr>
              <w:pStyle w:val="TableParagraph"/>
              <w:mirrorIndents/>
              <w:rPr>
                <w:b/>
                <w:szCs w:val="17"/>
              </w:rPr>
            </w:pPr>
          </w:p>
        </w:tc>
      </w:tr>
      <w:tr w:rsidR="00BA160A" w:rsidRPr="00722521" w14:paraId="60B7B6F4" w14:textId="77777777" w:rsidTr="00D841A8">
        <w:trPr>
          <w:trHeight w:hRule="exact" w:val="1522"/>
        </w:trPr>
        <w:tc>
          <w:tcPr>
            <w:tcW w:w="804" w:type="pct"/>
            <w:tcBorders>
              <w:top w:val="single" w:sz="8" w:space="0" w:color="BABABA"/>
              <w:left w:val="single" w:sz="8" w:space="0" w:color="BABABA"/>
              <w:bottom w:val="single" w:sz="8" w:space="0" w:color="BABABA"/>
              <w:right w:val="single" w:sz="8" w:space="0" w:color="BABABA"/>
            </w:tcBorders>
            <w:hideMark/>
          </w:tcPr>
          <w:p w14:paraId="5C714A95" w14:textId="77777777" w:rsidR="00BA160A" w:rsidRPr="00722521" w:rsidRDefault="00BA160A" w:rsidP="00A903E6">
            <w:pPr>
              <w:pStyle w:val="TableParagraph"/>
              <w:mirrorIndents/>
              <w:rPr>
                <w:szCs w:val="17"/>
              </w:rPr>
            </w:pPr>
            <w:r w:rsidRPr="00722521">
              <w:rPr>
                <w:w w:val="105"/>
                <w:szCs w:val="17"/>
              </w:rPr>
              <w:t xml:space="preserve">Ensuring cross- sectoral </w:t>
            </w:r>
            <w:r w:rsidRPr="00722521">
              <w:rPr>
                <w:szCs w:val="17"/>
              </w:rPr>
              <w:t>cooperation</w:t>
            </w:r>
          </w:p>
        </w:tc>
        <w:tc>
          <w:tcPr>
            <w:tcW w:w="699" w:type="pct"/>
            <w:tcBorders>
              <w:top w:val="single" w:sz="8" w:space="0" w:color="BABABA"/>
              <w:left w:val="single" w:sz="8" w:space="0" w:color="BABABA"/>
              <w:bottom w:val="single" w:sz="8" w:space="0" w:color="BABABA"/>
              <w:right w:val="single" w:sz="8" w:space="0" w:color="BABABA"/>
            </w:tcBorders>
          </w:tcPr>
          <w:p w14:paraId="14D265D0"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86B6972"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73352BB7"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5FF5984F" w14:textId="13248CF2"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594A0C6A"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647849F" w14:textId="77777777" w:rsidR="00BA160A" w:rsidRPr="00722521" w:rsidRDefault="00BA160A" w:rsidP="00A903E6">
            <w:pPr>
              <w:pStyle w:val="TableParagraph"/>
              <w:mirrorIndents/>
              <w:rPr>
                <w:b/>
                <w:szCs w:val="17"/>
              </w:rPr>
            </w:pPr>
          </w:p>
        </w:tc>
      </w:tr>
      <w:tr w:rsidR="00BA160A" w:rsidRPr="00722521" w14:paraId="3F6DCC6C" w14:textId="77777777" w:rsidTr="00D841A8">
        <w:trPr>
          <w:trHeight w:hRule="exact" w:val="1226"/>
        </w:trPr>
        <w:tc>
          <w:tcPr>
            <w:tcW w:w="804" w:type="pct"/>
            <w:tcBorders>
              <w:top w:val="single" w:sz="8" w:space="0" w:color="BABABA"/>
              <w:left w:val="single" w:sz="8" w:space="0" w:color="BABABA"/>
              <w:bottom w:val="single" w:sz="8" w:space="0" w:color="BABABA"/>
              <w:right w:val="single" w:sz="8" w:space="0" w:color="BABABA"/>
            </w:tcBorders>
            <w:hideMark/>
          </w:tcPr>
          <w:p w14:paraId="02F29DC3" w14:textId="77777777" w:rsidR="00BA160A" w:rsidRPr="00722521" w:rsidRDefault="00BA160A" w:rsidP="00A903E6">
            <w:pPr>
              <w:pStyle w:val="TableParagraph"/>
              <w:mirrorIndents/>
              <w:rPr>
                <w:szCs w:val="17"/>
              </w:rPr>
            </w:pPr>
            <w:r w:rsidRPr="00722521">
              <w:rPr>
                <w:w w:val="105"/>
                <w:szCs w:val="17"/>
              </w:rPr>
              <w:t xml:space="preserve">Ensuring consistent </w:t>
            </w:r>
            <w:r w:rsidRPr="00722521">
              <w:rPr>
                <w:szCs w:val="17"/>
              </w:rPr>
              <w:t>approaches</w:t>
            </w:r>
          </w:p>
        </w:tc>
        <w:tc>
          <w:tcPr>
            <w:tcW w:w="699" w:type="pct"/>
            <w:tcBorders>
              <w:top w:val="single" w:sz="8" w:space="0" w:color="BABABA"/>
              <w:left w:val="single" w:sz="8" w:space="0" w:color="BABABA"/>
              <w:bottom w:val="single" w:sz="8" w:space="0" w:color="BABABA"/>
              <w:right w:val="single" w:sz="8" w:space="0" w:color="BABABA"/>
            </w:tcBorders>
          </w:tcPr>
          <w:p w14:paraId="429BD8BD"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EBB8D51"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6E895BE" w14:textId="189A87CD"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12349E02"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9EA5EDD"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0A677E88" w14:textId="77777777" w:rsidR="00BA160A" w:rsidRPr="00722521" w:rsidRDefault="00BA160A" w:rsidP="00A903E6">
            <w:pPr>
              <w:pStyle w:val="TableParagraph"/>
              <w:mirrorIndents/>
              <w:rPr>
                <w:b/>
                <w:szCs w:val="17"/>
              </w:rPr>
            </w:pPr>
          </w:p>
        </w:tc>
      </w:tr>
      <w:tr w:rsidR="00BA160A" w:rsidRPr="00722521" w14:paraId="4DF34719" w14:textId="77777777" w:rsidTr="00D841A8">
        <w:trPr>
          <w:trHeight w:hRule="exact" w:val="1225"/>
        </w:trPr>
        <w:tc>
          <w:tcPr>
            <w:tcW w:w="804" w:type="pct"/>
            <w:tcBorders>
              <w:top w:val="single" w:sz="8" w:space="0" w:color="BABABA"/>
              <w:left w:val="single" w:sz="8" w:space="0" w:color="BABABA"/>
              <w:bottom w:val="single" w:sz="8" w:space="0" w:color="BABABA"/>
              <w:right w:val="single" w:sz="8" w:space="0" w:color="BABABA"/>
            </w:tcBorders>
            <w:hideMark/>
          </w:tcPr>
          <w:p w14:paraId="72481ABB" w14:textId="77777777" w:rsidR="00BA160A" w:rsidRPr="00722521" w:rsidRDefault="00BA160A" w:rsidP="00A903E6">
            <w:pPr>
              <w:pStyle w:val="TableParagraph"/>
              <w:mirrorIndents/>
              <w:rPr>
                <w:szCs w:val="17"/>
              </w:rPr>
            </w:pPr>
            <w:r w:rsidRPr="00722521">
              <w:rPr>
                <w:szCs w:val="17"/>
              </w:rPr>
              <w:t>Decision making process</w:t>
            </w:r>
          </w:p>
        </w:tc>
        <w:tc>
          <w:tcPr>
            <w:tcW w:w="699" w:type="pct"/>
            <w:tcBorders>
              <w:top w:val="single" w:sz="8" w:space="0" w:color="BABABA"/>
              <w:left w:val="single" w:sz="8" w:space="0" w:color="BABABA"/>
              <w:bottom w:val="single" w:sz="8" w:space="0" w:color="BABABA"/>
              <w:right w:val="single" w:sz="8" w:space="0" w:color="BABABA"/>
            </w:tcBorders>
          </w:tcPr>
          <w:p w14:paraId="242A2A82"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FBEC9E5"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08F56F38" w14:textId="4C73CE2D"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0837FEA7"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6F9BFE26"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B99FFB3" w14:textId="77777777" w:rsidR="00BA160A" w:rsidRPr="00722521" w:rsidRDefault="00BA160A" w:rsidP="00A903E6">
            <w:pPr>
              <w:pStyle w:val="TableParagraph"/>
              <w:mirrorIndents/>
              <w:rPr>
                <w:b/>
                <w:szCs w:val="17"/>
              </w:rPr>
            </w:pPr>
          </w:p>
        </w:tc>
      </w:tr>
      <w:tr w:rsidR="00BA160A" w:rsidRPr="00722521" w14:paraId="68D3CDB8" w14:textId="77777777" w:rsidTr="00D841A8">
        <w:trPr>
          <w:trHeight w:hRule="exact" w:val="1522"/>
        </w:trPr>
        <w:tc>
          <w:tcPr>
            <w:tcW w:w="804" w:type="pct"/>
            <w:tcBorders>
              <w:top w:val="single" w:sz="8" w:space="0" w:color="BABABA"/>
              <w:left w:val="single" w:sz="8" w:space="0" w:color="BABABA"/>
              <w:bottom w:val="single" w:sz="8" w:space="0" w:color="BABABA"/>
              <w:right w:val="single" w:sz="8" w:space="0" w:color="BABABA"/>
            </w:tcBorders>
            <w:hideMark/>
          </w:tcPr>
          <w:p w14:paraId="08FB7875" w14:textId="77777777" w:rsidR="00BA160A" w:rsidRPr="00722521" w:rsidRDefault="00BA160A" w:rsidP="00A903E6">
            <w:pPr>
              <w:pStyle w:val="TableParagraph"/>
              <w:mirrorIndents/>
              <w:rPr>
                <w:szCs w:val="17"/>
              </w:rPr>
            </w:pPr>
            <w:r w:rsidRPr="00722521">
              <w:rPr>
                <w:szCs w:val="17"/>
              </w:rPr>
              <w:t>The legal structure (no legal personality)</w:t>
            </w:r>
          </w:p>
        </w:tc>
        <w:tc>
          <w:tcPr>
            <w:tcW w:w="699" w:type="pct"/>
            <w:tcBorders>
              <w:top w:val="single" w:sz="8" w:space="0" w:color="BABABA"/>
              <w:left w:val="single" w:sz="8" w:space="0" w:color="BABABA"/>
              <w:bottom w:val="single" w:sz="8" w:space="0" w:color="BABABA"/>
              <w:right w:val="single" w:sz="8" w:space="0" w:color="BABABA"/>
            </w:tcBorders>
          </w:tcPr>
          <w:p w14:paraId="432C48B2"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4D3EB710"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34DB9452"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1F3D82EB" w14:textId="0145CE77" w:rsidR="00BA160A" w:rsidRPr="00722521" w:rsidRDefault="00060427" w:rsidP="00A903E6">
            <w:pPr>
              <w:pStyle w:val="TableParagraph"/>
              <w:mirrorIndents/>
              <w:rPr>
                <w:b/>
                <w:szCs w:val="17"/>
              </w:rPr>
            </w:pPr>
            <w:r w:rsidRPr="00722521">
              <w:rPr>
                <w:b/>
                <w:szCs w:val="17"/>
              </w:rPr>
              <w:t>x</w:t>
            </w:r>
          </w:p>
        </w:tc>
        <w:tc>
          <w:tcPr>
            <w:tcW w:w="699" w:type="pct"/>
            <w:tcBorders>
              <w:top w:val="single" w:sz="8" w:space="0" w:color="BABABA"/>
              <w:left w:val="single" w:sz="8" w:space="0" w:color="BABABA"/>
              <w:bottom w:val="single" w:sz="8" w:space="0" w:color="BABABA"/>
              <w:right w:val="single" w:sz="8" w:space="0" w:color="BABABA"/>
            </w:tcBorders>
          </w:tcPr>
          <w:p w14:paraId="6E971C11" w14:textId="77777777" w:rsidR="00BA160A" w:rsidRPr="00722521" w:rsidRDefault="00BA160A" w:rsidP="00A903E6">
            <w:pPr>
              <w:pStyle w:val="TableParagraph"/>
              <w:mirrorIndents/>
              <w:rPr>
                <w:b/>
                <w:szCs w:val="17"/>
              </w:rPr>
            </w:pPr>
          </w:p>
        </w:tc>
        <w:tc>
          <w:tcPr>
            <w:tcW w:w="699" w:type="pct"/>
            <w:tcBorders>
              <w:top w:val="single" w:sz="8" w:space="0" w:color="BABABA"/>
              <w:left w:val="single" w:sz="8" w:space="0" w:color="BABABA"/>
              <w:bottom w:val="single" w:sz="8" w:space="0" w:color="BABABA"/>
              <w:right w:val="single" w:sz="8" w:space="0" w:color="BABABA"/>
            </w:tcBorders>
          </w:tcPr>
          <w:p w14:paraId="2C52354E" w14:textId="77777777" w:rsidR="00BA160A" w:rsidRPr="00722521" w:rsidRDefault="00BA160A" w:rsidP="00A903E6">
            <w:pPr>
              <w:pStyle w:val="TableParagraph"/>
              <w:mirrorIndents/>
              <w:rPr>
                <w:b/>
                <w:szCs w:val="17"/>
              </w:rPr>
            </w:pPr>
          </w:p>
        </w:tc>
      </w:tr>
    </w:tbl>
    <w:p w14:paraId="309F3A16" w14:textId="77777777" w:rsidR="00D841A8" w:rsidRPr="00722521" w:rsidRDefault="00D841A8" w:rsidP="00D841A8">
      <w:pPr>
        <w:pStyle w:val="Textkrper"/>
        <w:ind w:left="0"/>
        <w:mirrorIndents/>
        <w:rPr>
          <w:rFonts w:ascii="Verdana" w:hAnsi="Verdana"/>
          <w:sz w:val="17"/>
          <w:szCs w:val="17"/>
        </w:rPr>
      </w:pPr>
    </w:p>
    <w:p w14:paraId="0178E3FC" w14:textId="7E3ACB89"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If you identify areas for improvement, please explain:</w:t>
      </w:r>
    </w:p>
    <w:p w14:paraId="1297BDFD" w14:textId="38ACA46E" w:rsidR="00BA160A" w:rsidRPr="00722521" w:rsidRDefault="00BA160A" w:rsidP="00A903E6">
      <w:pPr>
        <w:mirrorIndents/>
        <w:rPr>
          <w:sz w:val="17"/>
          <w:szCs w:val="17"/>
        </w:rPr>
      </w:pPr>
    </w:p>
    <w:p w14:paraId="3BB7C637" w14:textId="66976FB7" w:rsidR="00060427" w:rsidRPr="00722521" w:rsidRDefault="00722521" w:rsidP="00060427">
      <w:pPr>
        <w:mirrorIndents/>
        <w:rPr>
          <w:sz w:val="17"/>
          <w:szCs w:val="17"/>
        </w:rPr>
      </w:pPr>
      <w:r>
        <w:rPr>
          <w:sz w:val="17"/>
          <w:szCs w:val="17"/>
        </w:rPr>
        <w:t>VVO</w:t>
      </w:r>
      <w:r w:rsidR="00ED1443" w:rsidRPr="00722521">
        <w:rPr>
          <w:sz w:val="17"/>
          <w:szCs w:val="17"/>
        </w:rPr>
        <w:t xml:space="preserve"> </w:t>
      </w:r>
      <w:r w:rsidR="00060427" w:rsidRPr="00722521">
        <w:rPr>
          <w:sz w:val="17"/>
          <w:szCs w:val="17"/>
        </w:rPr>
        <w:t>believes that the Joint Committee of the ESAs plays an important role for the exchange of information and coordination of cross-sectoral supervisory policy. Nonetheless, certain flaws and challenges emerged in the cooperation of the ESAs and particularly where there is diverging impact of policies on the different sectors (</w:t>
      </w:r>
      <w:proofErr w:type="spellStart"/>
      <w:r w:rsidR="00060427" w:rsidRPr="00722521">
        <w:rPr>
          <w:sz w:val="17"/>
          <w:szCs w:val="17"/>
        </w:rPr>
        <w:t>eg</w:t>
      </w:r>
      <w:proofErr w:type="spellEnd"/>
      <w:r w:rsidR="00060427" w:rsidRPr="00722521">
        <w:rPr>
          <w:sz w:val="17"/>
          <w:szCs w:val="17"/>
        </w:rPr>
        <w:t xml:space="preserve"> of the Packaged Retail and Insurance-based Investment Product Regulation, PRIIPs). Therefore, it is important that the ESAs are operating as individual legal persons and that the Joint Committee remains as a coordinative group without an own legal personality.</w:t>
      </w:r>
    </w:p>
    <w:p w14:paraId="68F3A9B5" w14:textId="77777777" w:rsidR="00A155F5" w:rsidRPr="00722521" w:rsidRDefault="00A155F5" w:rsidP="00A903E6">
      <w:pPr>
        <w:mirrorIndents/>
        <w:rPr>
          <w:sz w:val="17"/>
          <w:szCs w:val="17"/>
        </w:rPr>
      </w:pPr>
    </w:p>
    <w:p w14:paraId="70470C34" w14:textId="77777777" w:rsidR="00BA160A" w:rsidRPr="00722521" w:rsidRDefault="00BA160A" w:rsidP="00D841A8">
      <w:pPr>
        <w:pStyle w:val="Textkrper"/>
        <w:ind w:left="0"/>
        <w:mirrorIndents/>
        <w:rPr>
          <w:rFonts w:ascii="Verdana" w:hAnsi="Verdana"/>
          <w:sz w:val="17"/>
          <w:szCs w:val="17"/>
        </w:rPr>
      </w:pPr>
      <w:r w:rsidRPr="00722521">
        <w:rPr>
          <w:rFonts w:ascii="Verdana" w:hAnsi="Verdana"/>
          <w:sz w:val="17"/>
          <w:szCs w:val="17"/>
          <w:highlight w:val="lightGray"/>
        </w:rPr>
        <w:t>Question 2.5.3 Please assess the work of the Joint Committee of the ESAs in the areas below:</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646"/>
        <w:gridCol w:w="1310"/>
        <w:gridCol w:w="1311"/>
        <w:gridCol w:w="1311"/>
        <w:gridCol w:w="1311"/>
        <w:gridCol w:w="1311"/>
        <w:gridCol w:w="1311"/>
      </w:tblGrid>
      <w:tr w:rsidR="00BA160A" w:rsidRPr="00722521" w14:paraId="5008BC4D" w14:textId="77777777" w:rsidTr="00D841A8">
        <w:trPr>
          <w:trHeight w:hRule="exact" w:val="1958"/>
        </w:trPr>
        <w:tc>
          <w:tcPr>
            <w:tcW w:w="866" w:type="pct"/>
            <w:tcBorders>
              <w:top w:val="single" w:sz="8" w:space="0" w:color="BABABA"/>
              <w:left w:val="single" w:sz="8" w:space="0" w:color="BABABA"/>
              <w:bottom w:val="single" w:sz="8" w:space="0" w:color="BABABA"/>
              <w:right w:val="single" w:sz="8" w:space="0" w:color="BABABA"/>
            </w:tcBorders>
          </w:tcPr>
          <w:p w14:paraId="70AC09CB" w14:textId="77777777" w:rsidR="00BA160A" w:rsidRPr="00722521" w:rsidRDefault="00BA160A" w:rsidP="00A903E6">
            <w:pPr>
              <w:mirrorIndents/>
              <w:rPr>
                <w:sz w:val="17"/>
                <w:szCs w:val="17"/>
              </w:rPr>
            </w:pPr>
          </w:p>
        </w:tc>
        <w:tc>
          <w:tcPr>
            <w:tcW w:w="689" w:type="pct"/>
            <w:tcBorders>
              <w:top w:val="single" w:sz="8" w:space="0" w:color="BABABA"/>
              <w:left w:val="single" w:sz="8" w:space="0" w:color="BABABA"/>
              <w:bottom w:val="single" w:sz="8" w:space="0" w:color="BABABA"/>
              <w:right w:val="single" w:sz="8" w:space="0" w:color="BABABA"/>
            </w:tcBorders>
            <w:hideMark/>
          </w:tcPr>
          <w:p w14:paraId="1300A7F6" w14:textId="77777777" w:rsidR="00BA160A" w:rsidRPr="00722521" w:rsidRDefault="00BA160A" w:rsidP="00A903E6">
            <w:pPr>
              <w:pStyle w:val="TableParagraph"/>
              <w:mirrorIndents/>
              <w:rPr>
                <w:szCs w:val="17"/>
              </w:rPr>
            </w:pPr>
            <w:r w:rsidRPr="00722521">
              <w:rPr>
                <w:w w:val="99"/>
                <w:szCs w:val="17"/>
              </w:rPr>
              <w:t>1</w:t>
            </w:r>
          </w:p>
          <w:p w14:paraId="1B383B8C" w14:textId="77777777" w:rsidR="00BA160A" w:rsidRPr="00722521" w:rsidRDefault="00BA160A" w:rsidP="00A903E6">
            <w:pPr>
              <w:pStyle w:val="TableParagraph"/>
              <w:ind w:hanging="1"/>
              <w:mirrorIndents/>
              <w:rPr>
                <w:szCs w:val="17"/>
              </w:rPr>
            </w:pPr>
            <w:r w:rsidRPr="00722521">
              <w:rPr>
                <w:szCs w:val="17"/>
              </w:rPr>
              <w:t>(less significant impact</w:t>
            </w:r>
          </w:p>
        </w:tc>
        <w:tc>
          <w:tcPr>
            <w:tcW w:w="689" w:type="pct"/>
            <w:tcBorders>
              <w:top w:val="single" w:sz="8" w:space="0" w:color="BABABA"/>
              <w:left w:val="single" w:sz="8" w:space="0" w:color="BABABA"/>
              <w:bottom w:val="single" w:sz="8" w:space="0" w:color="BABABA"/>
              <w:right w:val="single" w:sz="8" w:space="0" w:color="BABABA"/>
            </w:tcBorders>
            <w:hideMark/>
          </w:tcPr>
          <w:p w14:paraId="57511FA8" w14:textId="77777777" w:rsidR="00BA160A" w:rsidRPr="00722521" w:rsidRDefault="00BA160A" w:rsidP="00A903E6">
            <w:pPr>
              <w:pStyle w:val="TableParagraph"/>
              <w:mirrorIndents/>
              <w:rPr>
                <w:szCs w:val="17"/>
              </w:rPr>
            </w:pPr>
            <w:r w:rsidRPr="00722521">
              <w:rPr>
                <w:w w:val="99"/>
                <w:szCs w:val="17"/>
              </w:rPr>
              <w:t>2</w:t>
            </w:r>
          </w:p>
          <w:p w14:paraId="5E3859E7" w14:textId="77777777" w:rsidR="00BA160A" w:rsidRPr="00722521" w:rsidRDefault="00BA160A" w:rsidP="00A903E6">
            <w:pPr>
              <w:pStyle w:val="TableParagraph"/>
              <w:ind w:hanging="1"/>
              <w:mirrorIndents/>
              <w:rPr>
                <w:szCs w:val="17"/>
              </w:rPr>
            </w:pPr>
            <w:r w:rsidRPr="00722521">
              <w:rPr>
                <w:szCs w:val="17"/>
              </w:rPr>
              <w:t>(not so significant impact)</w:t>
            </w:r>
          </w:p>
        </w:tc>
        <w:tc>
          <w:tcPr>
            <w:tcW w:w="689" w:type="pct"/>
            <w:tcBorders>
              <w:top w:val="single" w:sz="8" w:space="0" w:color="BABABA"/>
              <w:left w:val="single" w:sz="8" w:space="0" w:color="BABABA"/>
              <w:bottom w:val="single" w:sz="8" w:space="0" w:color="BABABA"/>
              <w:right w:val="single" w:sz="8" w:space="0" w:color="BABABA"/>
            </w:tcBorders>
            <w:hideMark/>
          </w:tcPr>
          <w:p w14:paraId="32DDE602" w14:textId="77777777" w:rsidR="00BA160A" w:rsidRPr="00722521" w:rsidRDefault="00BA160A" w:rsidP="00A903E6">
            <w:pPr>
              <w:pStyle w:val="TableParagraph"/>
              <w:mirrorIndents/>
              <w:rPr>
                <w:szCs w:val="17"/>
              </w:rPr>
            </w:pPr>
            <w:r w:rsidRPr="00722521">
              <w:rPr>
                <w:w w:val="99"/>
                <w:szCs w:val="17"/>
              </w:rPr>
              <w:t>3</w:t>
            </w:r>
          </w:p>
          <w:p w14:paraId="05CDB492" w14:textId="77777777" w:rsidR="00BA160A" w:rsidRPr="00722521" w:rsidRDefault="00BA160A" w:rsidP="00A903E6">
            <w:pPr>
              <w:pStyle w:val="TableParagraph"/>
              <w:mirrorIndents/>
              <w:rPr>
                <w:szCs w:val="17"/>
              </w:rPr>
            </w:pPr>
            <w:r w:rsidRPr="00722521">
              <w:rPr>
                <w:szCs w:val="17"/>
              </w:rPr>
              <w:t>(neutral)</w:t>
            </w:r>
          </w:p>
        </w:tc>
        <w:tc>
          <w:tcPr>
            <w:tcW w:w="689" w:type="pct"/>
            <w:tcBorders>
              <w:top w:val="single" w:sz="8" w:space="0" w:color="BABABA"/>
              <w:left w:val="single" w:sz="8" w:space="0" w:color="BABABA"/>
              <w:bottom w:val="single" w:sz="8" w:space="0" w:color="BABABA"/>
              <w:right w:val="single" w:sz="8" w:space="0" w:color="BABABA"/>
            </w:tcBorders>
            <w:hideMark/>
          </w:tcPr>
          <w:p w14:paraId="3F94F059" w14:textId="77777777" w:rsidR="00BA160A" w:rsidRPr="00722521" w:rsidRDefault="00BA160A" w:rsidP="00A903E6">
            <w:pPr>
              <w:pStyle w:val="TableParagraph"/>
              <w:mirrorIndents/>
              <w:rPr>
                <w:szCs w:val="17"/>
              </w:rPr>
            </w:pPr>
            <w:r w:rsidRPr="00722521">
              <w:rPr>
                <w:w w:val="99"/>
                <w:szCs w:val="17"/>
              </w:rPr>
              <w:t>4</w:t>
            </w:r>
          </w:p>
          <w:p w14:paraId="4FD55FB9" w14:textId="77777777" w:rsidR="00BA160A" w:rsidRPr="00722521" w:rsidRDefault="00BA160A" w:rsidP="00A903E6">
            <w:pPr>
              <w:pStyle w:val="TableParagraph"/>
              <w:mirrorIndents/>
              <w:rPr>
                <w:szCs w:val="17"/>
              </w:rPr>
            </w:pPr>
            <w:r w:rsidRPr="00722521">
              <w:rPr>
                <w:szCs w:val="17"/>
              </w:rPr>
              <w:t>(significant impact)</w:t>
            </w:r>
          </w:p>
        </w:tc>
        <w:tc>
          <w:tcPr>
            <w:tcW w:w="689" w:type="pct"/>
            <w:tcBorders>
              <w:top w:val="single" w:sz="8" w:space="0" w:color="BABABA"/>
              <w:left w:val="single" w:sz="8" w:space="0" w:color="BABABA"/>
              <w:bottom w:val="single" w:sz="8" w:space="0" w:color="BABABA"/>
              <w:right w:val="single" w:sz="8" w:space="0" w:color="BABABA"/>
            </w:tcBorders>
            <w:hideMark/>
          </w:tcPr>
          <w:p w14:paraId="47C60A6F" w14:textId="77777777" w:rsidR="00BA160A" w:rsidRPr="00722521" w:rsidRDefault="00BA160A" w:rsidP="00A903E6">
            <w:pPr>
              <w:pStyle w:val="TableParagraph"/>
              <w:mirrorIndents/>
              <w:rPr>
                <w:szCs w:val="17"/>
              </w:rPr>
            </w:pPr>
            <w:r w:rsidRPr="00722521">
              <w:rPr>
                <w:w w:val="99"/>
                <w:szCs w:val="17"/>
              </w:rPr>
              <w:t>5</w:t>
            </w:r>
          </w:p>
          <w:p w14:paraId="138B1014" w14:textId="77777777" w:rsidR="00BA160A" w:rsidRPr="00722521" w:rsidRDefault="00BA160A" w:rsidP="00A903E6">
            <w:pPr>
              <w:pStyle w:val="TableParagraph"/>
              <w:mirrorIndents/>
              <w:rPr>
                <w:szCs w:val="17"/>
              </w:rPr>
            </w:pPr>
            <w:r w:rsidRPr="00722521">
              <w:rPr>
                <w:szCs w:val="17"/>
              </w:rPr>
              <w:t>(most significant impact)</w:t>
            </w:r>
          </w:p>
        </w:tc>
        <w:tc>
          <w:tcPr>
            <w:tcW w:w="689" w:type="pct"/>
            <w:tcBorders>
              <w:top w:val="single" w:sz="8" w:space="0" w:color="BABABA"/>
              <w:left w:val="single" w:sz="8" w:space="0" w:color="BABABA"/>
              <w:bottom w:val="single" w:sz="8" w:space="0" w:color="BABABA"/>
              <w:right w:val="single" w:sz="8" w:space="0" w:color="BABABA"/>
            </w:tcBorders>
            <w:hideMark/>
          </w:tcPr>
          <w:p w14:paraId="58F49B3E" w14:textId="77777777" w:rsidR="00BA160A" w:rsidRPr="00722521" w:rsidRDefault="00BA160A" w:rsidP="00A903E6">
            <w:pPr>
              <w:pStyle w:val="TableParagraph"/>
              <w:ind w:hanging="55"/>
              <w:mirrorIndents/>
              <w:rPr>
                <w:szCs w:val="17"/>
              </w:rPr>
            </w:pPr>
            <w:r w:rsidRPr="00722521">
              <w:rPr>
                <w:w w:val="105"/>
                <w:szCs w:val="17"/>
              </w:rPr>
              <w:t>Don't know - No opinion</w:t>
            </w:r>
            <w:r w:rsidRPr="00722521">
              <w:rPr>
                <w:spacing w:val="-19"/>
                <w:w w:val="105"/>
                <w:szCs w:val="17"/>
              </w:rPr>
              <w:t xml:space="preserve"> </w:t>
            </w:r>
            <w:r w:rsidRPr="00722521">
              <w:rPr>
                <w:w w:val="105"/>
                <w:szCs w:val="17"/>
              </w:rPr>
              <w:t>-</w:t>
            </w:r>
          </w:p>
          <w:p w14:paraId="3AF47A68" w14:textId="77777777" w:rsidR="00BA160A" w:rsidRPr="00722521" w:rsidRDefault="00BA160A" w:rsidP="00A903E6">
            <w:pPr>
              <w:pStyle w:val="TableParagraph"/>
              <w:ind w:hanging="1"/>
              <w:mirrorIndents/>
              <w:rPr>
                <w:szCs w:val="17"/>
              </w:rPr>
            </w:pPr>
            <w:r w:rsidRPr="00722521">
              <w:rPr>
                <w:szCs w:val="17"/>
              </w:rPr>
              <w:t>Not applicable</w:t>
            </w:r>
          </w:p>
        </w:tc>
      </w:tr>
      <w:tr w:rsidR="00BA160A" w:rsidRPr="00722521" w14:paraId="6C451C4F" w14:textId="77777777" w:rsidTr="00D841A8">
        <w:trPr>
          <w:trHeight w:hRule="exact" w:val="1522"/>
        </w:trPr>
        <w:tc>
          <w:tcPr>
            <w:tcW w:w="866" w:type="pct"/>
            <w:tcBorders>
              <w:top w:val="single" w:sz="8" w:space="0" w:color="BABABA"/>
              <w:left w:val="single" w:sz="8" w:space="0" w:color="BABABA"/>
              <w:bottom w:val="single" w:sz="8" w:space="0" w:color="BABABA"/>
              <w:right w:val="single" w:sz="8" w:space="0" w:color="BABABA"/>
            </w:tcBorders>
            <w:hideMark/>
          </w:tcPr>
          <w:p w14:paraId="7A2CAB9D" w14:textId="77777777" w:rsidR="00BA160A" w:rsidRPr="00722521" w:rsidRDefault="00BA160A" w:rsidP="00A903E6">
            <w:pPr>
              <w:pStyle w:val="TableParagraph"/>
              <w:mirrorIndents/>
              <w:rPr>
                <w:szCs w:val="17"/>
              </w:rPr>
            </w:pPr>
            <w:r w:rsidRPr="00722521">
              <w:rPr>
                <w:szCs w:val="17"/>
              </w:rPr>
              <w:t>Consumer Protection and Financial Innovation</w:t>
            </w:r>
          </w:p>
        </w:tc>
        <w:tc>
          <w:tcPr>
            <w:tcW w:w="689" w:type="pct"/>
            <w:tcBorders>
              <w:top w:val="single" w:sz="8" w:space="0" w:color="BABABA"/>
              <w:left w:val="single" w:sz="8" w:space="0" w:color="BABABA"/>
              <w:bottom w:val="single" w:sz="8" w:space="0" w:color="BABABA"/>
              <w:right w:val="single" w:sz="8" w:space="0" w:color="BABABA"/>
            </w:tcBorders>
          </w:tcPr>
          <w:p w14:paraId="073A7B97"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7C6F0982"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5193EA6F" w14:textId="30686C0F" w:rsidR="00BA160A" w:rsidRPr="00722521" w:rsidRDefault="00060427" w:rsidP="00A903E6">
            <w:pPr>
              <w:pStyle w:val="TableParagraph"/>
              <w:mirrorIndents/>
              <w:rPr>
                <w:b/>
                <w:szCs w:val="17"/>
              </w:rPr>
            </w:pPr>
            <w:r w:rsidRPr="00722521">
              <w:rPr>
                <w:b/>
                <w:szCs w:val="17"/>
              </w:rPr>
              <w:t>x</w:t>
            </w:r>
          </w:p>
        </w:tc>
        <w:tc>
          <w:tcPr>
            <w:tcW w:w="689" w:type="pct"/>
            <w:tcBorders>
              <w:top w:val="single" w:sz="8" w:space="0" w:color="BABABA"/>
              <w:left w:val="single" w:sz="8" w:space="0" w:color="BABABA"/>
              <w:bottom w:val="single" w:sz="8" w:space="0" w:color="BABABA"/>
              <w:right w:val="single" w:sz="8" w:space="0" w:color="BABABA"/>
            </w:tcBorders>
          </w:tcPr>
          <w:p w14:paraId="35A9ADC7"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5640DC0E"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3B9F607B" w14:textId="77777777" w:rsidR="00BA160A" w:rsidRPr="00722521" w:rsidRDefault="00BA160A" w:rsidP="00A903E6">
            <w:pPr>
              <w:pStyle w:val="TableParagraph"/>
              <w:mirrorIndents/>
              <w:rPr>
                <w:b/>
                <w:szCs w:val="17"/>
              </w:rPr>
            </w:pPr>
          </w:p>
        </w:tc>
      </w:tr>
      <w:tr w:rsidR="00BA160A" w:rsidRPr="00722521" w14:paraId="1C8E240C" w14:textId="77777777" w:rsidTr="001A1012">
        <w:trPr>
          <w:trHeight w:hRule="exact" w:val="2320"/>
        </w:trPr>
        <w:tc>
          <w:tcPr>
            <w:tcW w:w="866" w:type="pct"/>
            <w:tcBorders>
              <w:top w:val="single" w:sz="8" w:space="0" w:color="BABABA"/>
              <w:left w:val="single" w:sz="8" w:space="0" w:color="BABABA"/>
              <w:bottom w:val="single" w:sz="8" w:space="0" w:color="BABABA"/>
              <w:right w:val="single" w:sz="8" w:space="0" w:color="BABABA"/>
            </w:tcBorders>
            <w:hideMark/>
          </w:tcPr>
          <w:p w14:paraId="325BE36F" w14:textId="77777777" w:rsidR="00BA160A" w:rsidRPr="00722521" w:rsidRDefault="00BA160A" w:rsidP="00A903E6">
            <w:pPr>
              <w:pStyle w:val="TableParagraph"/>
              <w:mirrorIndents/>
              <w:rPr>
                <w:szCs w:val="17"/>
              </w:rPr>
            </w:pPr>
            <w:r w:rsidRPr="00722521">
              <w:rPr>
                <w:szCs w:val="17"/>
              </w:rPr>
              <w:t>Coordination and cooperation for bi-annual Joint Risk Reports, published in spring and autumn</w:t>
            </w:r>
          </w:p>
        </w:tc>
        <w:tc>
          <w:tcPr>
            <w:tcW w:w="689" w:type="pct"/>
            <w:tcBorders>
              <w:top w:val="single" w:sz="8" w:space="0" w:color="BABABA"/>
              <w:left w:val="single" w:sz="8" w:space="0" w:color="BABABA"/>
              <w:bottom w:val="single" w:sz="8" w:space="0" w:color="BABABA"/>
              <w:right w:val="single" w:sz="8" w:space="0" w:color="BABABA"/>
            </w:tcBorders>
          </w:tcPr>
          <w:p w14:paraId="7F6B7A29"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56CE7F58"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5E81F049"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452D8C39" w14:textId="7F358D85" w:rsidR="00BA160A" w:rsidRPr="00722521" w:rsidRDefault="00060427" w:rsidP="00A903E6">
            <w:pPr>
              <w:pStyle w:val="TableParagraph"/>
              <w:mirrorIndents/>
              <w:rPr>
                <w:b/>
                <w:szCs w:val="17"/>
              </w:rPr>
            </w:pPr>
            <w:r w:rsidRPr="00722521">
              <w:rPr>
                <w:b/>
                <w:szCs w:val="17"/>
              </w:rPr>
              <w:t>x</w:t>
            </w:r>
          </w:p>
        </w:tc>
        <w:tc>
          <w:tcPr>
            <w:tcW w:w="689" w:type="pct"/>
            <w:tcBorders>
              <w:top w:val="single" w:sz="8" w:space="0" w:color="BABABA"/>
              <w:left w:val="single" w:sz="8" w:space="0" w:color="BABABA"/>
              <w:bottom w:val="single" w:sz="8" w:space="0" w:color="BABABA"/>
              <w:right w:val="single" w:sz="8" w:space="0" w:color="BABABA"/>
            </w:tcBorders>
          </w:tcPr>
          <w:p w14:paraId="0A353F42"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2561307E" w14:textId="77777777" w:rsidR="00BA160A" w:rsidRPr="00722521" w:rsidRDefault="00BA160A" w:rsidP="00A903E6">
            <w:pPr>
              <w:pStyle w:val="TableParagraph"/>
              <w:mirrorIndents/>
              <w:rPr>
                <w:b/>
                <w:szCs w:val="17"/>
              </w:rPr>
            </w:pPr>
          </w:p>
        </w:tc>
      </w:tr>
      <w:tr w:rsidR="00BA160A" w:rsidRPr="00722521" w14:paraId="1E0E3409" w14:textId="77777777" w:rsidTr="00D841A8">
        <w:trPr>
          <w:trHeight w:hRule="exact" w:val="929"/>
        </w:trPr>
        <w:tc>
          <w:tcPr>
            <w:tcW w:w="866" w:type="pct"/>
            <w:tcBorders>
              <w:top w:val="single" w:sz="8" w:space="0" w:color="BABABA"/>
              <w:left w:val="single" w:sz="8" w:space="0" w:color="BABABA"/>
              <w:bottom w:val="single" w:sz="8" w:space="0" w:color="BABABA"/>
              <w:right w:val="single" w:sz="8" w:space="0" w:color="BABABA"/>
            </w:tcBorders>
            <w:hideMark/>
          </w:tcPr>
          <w:p w14:paraId="1409A4C6" w14:textId="77777777" w:rsidR="00BA160A" w:rsidRPr="00722521" w:rsidRDefault="00BA160A" w:rsidP="00A903E6">
            <w:pPr>
              <w:pStyle w:val="TableParagraph"/>
              <w:mirrorIndents/>
              <w:rPr>
                <w:szCs w:val="17"/>
              </w:rPr>
            </w:pPr>
            <w:r w:rsidRPr="00722521">
              <w:rPr>
                <w:szCs w:val="17"/>
              </w:rPr>
              <w:t>Financial Conglomerates</w:t>
            </w:r>
          </w:p>
        </w:tc>
        <w:tc>
          <w:tcPr>
            <w:tcW w:w="689" w:type="pct"/>
            <w:tcBorders>
              <w:top w:val="single" w:sz="8" w:space="0" w:color="BABABA"/>
              <w:left w:val="single" w:sz="8" w:space="0" w:color="BABABA"/>
              <w:bottom w:val="single" w:sz="8" w:space="0" w:color="BABABA"/>
              <w:right w:val="single" w:sz="8" w:space="0" w:color="BABABA"/>
            </w:tcBorders>
          </w:tcPr>
          <w:p w14:paraId="009D1C9C"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43ECDA56"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7A5C449C"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4A9C7369"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7EF8B453"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40C699FC" w14:textId="138926A3" w:rsidR="00BA160A" w:rsidRPr="00722521" w:rsidRDefault="00060427" w:rsidP="00A903E6">
            <w:pPr>
              <w:pStyle w:val="TableParagraph"/>
              <w:mirrorIndents/>
              <w:rPr>
                <w:b/>
                <w:szCs w:val="17"/>
              </w:rPr>
            </w:pPr>
            <w:r w:rsidRPr="00722521">
              <w:rPr>
                <w:b/>
                <w:szCs w:val="17"/>
              </w:rPr>
              <w:t>x</w:t>
            </w:r>
          </w:p>
        </w:tc>
      </w:tr>
      <w:tr w:rsidR="00BA160A" w:rsidRPr="00722521" w14:paraId="1B7F61D3" w14:textId="77777777" w:rsidTr="00D841A8">
        <w:trPr>
          <w:trHeight w:hRule="exact" w:val="633"/>
        </w:trPr>
        <w:tc>
          <w:tcPr>
            <w:tcW w:w="866" w:type="pct"/>
            <w:tcBorders>
              <w:top w:val="single" w:sz="8" w:space="0" w:color="BABABA"/>
              <w:left w:val="single" w:sz="8" w:space="0" w:color="BABABA"/>
              <w:bottom w:val="single" w:sz="8" w:space="0" w:color="BABABA"/>
              <w:right w:val="single" w:sz="8" w:space="0" w:color="BABABA"/>
            </w:tcBorders>
            <w:hideMark/>
          </w:tcPr>
          <w:p w14:paraId="21EF0ECB" w14:textId="77777777" w:rsidR="00BA160A" w:rsidRPr="00722521" w:rsidRDefault="00BA160A" w:rsidP="00A903E6">
            <w:pPr>
              <w:pStyle w:val="TableParagraph"/>
              <w:mirrorIndents/>
              <w:rPr>
                <w:szCs w:val="17"/>
              </w:rPr>
            </w:pPr>
            <w:proofErr w:type="spellStart"/>
            <w:r w:rsidRPr="00722521">
              <w:rPr>
                <w:szCs w:val="17"/>
              </w:rPr>
              <w:t>Securitisation</w:t>
            </w:r>
            <w:proofErr w:type="spellEnd"/>
          </w:p>
        </w:tc>
        <w:tc>
          <w:tcPr>
            <w:tcW w:w="689" w:type="pct"/>
            <w:tcBorders>
              <w:top w:val="single" w:sz="8" w:space="0" w:color="BABABA"/>
              <w:left w:val="single" w:sz="8" w:space="0" w:color="BABABA"/>
              <w:bottom w:val="single" w:sz="8" w:space="0" w:color="BABABA"/>
              <w:right w:val="single" w:sz="8" w:space="0" w:color="BABABA"/>
            </w:tcBorders>
          </w:tcPr>
          <w:p w14:paraId="37E3C8CA"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275EC322"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770B57DD" w14:textId="5D4321B4" w:rsidR="00BA160A" w:rsidRPr="00722521" w:rsidRDefault="00060427" w:rsidP="00A903E6">
            <w:pPr>
              <w:pStyle w:val="TableParagraph"/>
              <w:mirrorIndents/>
              <w:rPr>
                <w:b/>
                <w:szCs w:val="17"/>
              </w:rPr>
            </w:pPr>
            <w:r w:rsidRPr="00722521">
              <w:rPr>
                <w:b/>
                <w:szCs w:val="17"/>
              </w:rPr>
              <w:t>x</w:t>
            </w:r>
          </w:p>
        </w:tc>
        <w:tc>
          <w:tcPr>
            <w:tcW w:w="689" w:type="pct"/>
            <w:tcBorders>
              <w:top w:val="single" w:sz="8" w:space="0" w:color="BABABA"/>
              <w:left w:val="single" w:sz="8" w:space="0" w:color="BABABA"/>
              <w:bottom w:val="single" w:sz="8" w:space="0" w:color="BABABA"/>
              <w:right w:val="single" w:sz="8" w:space="0" w:color="BABABA"/>
            </w:tcBorders>
          </w:tcPr>
          <w:p w14:paraId="5DB6EDD3"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5703A27A" w14:textId="77777777" w:rsidR="00BA160A" w:rsidRPr="00722521" w:rsidRDefault="00BA160A"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7AA4B34C" w14:textId="77777777" w:rsidR="00BA160A" w:rsidRPr="00722521" w:rsidRDefault="00BA160A" w:rsidP="00A903E6">
            <w:pPr>
              <w:pStyle w:val="TableParagraph"/>
              <w:mirrorIndents/>
              <w:rPr>
                <w:b/>
                <w:szCs w:val="17"/>
              </w:rPr>
            </w:pPr>
          </w:p>
        </w:tc>
      </w:tr>
      <w:tr w:rsidR="00D841A8" w:rsidRPr="00722521" w14:paraId="4BEBE031" w14:textId="77777777" w:rsidTr="00D841A8">
        <w:trPr>
          <w:trHeight w:hRule="exact" w:val="818"/>
        </w:trPr>
        <w:tc>
          <w:tcPr>
            <w:tcW w:w="866" w:type="pct"/>
            <w:tcBorders>
              <w:top w:val="single" w:sz="8" w:space="0" w:color="BABABA"/>
              <w:left w:val="single" w:sz="8" w:space="0" w:color="BABABA"/>
              <w:bottom w:val="single" w:sz="8" w:space="0" w:color="BABABA"/>
              <w:right w:val="single" w:sz="8" w:space="0" w:color="BABABA"/>
            </w:tcBorders>
          </w:tcPr>
          <w:p w14:paraId="68D72E89" w14:textId="2ADD61BD" w:rsidR="00D841A8" w:rsidRPr="00722521" w:rsidRDefault="00D841A8" w:rsidP="00A903E6">
            <w:pPr>
              <w:pStyle w:val="TableParagraph"/>
              <w:mirrorIndents/>
              <w:rPr>
                <w:szCs w:val="17"/>
              </w:rPr>
            </w:pPr>
            <w:r w:rsidRPr="00722521">
              <w:rPr>
                <w:szCs w:val="17"/>
              </w:rPr>
              <w:t>European Forum of Financial Innovators</w:t>
            </w:r>
          </w:p>
        </w:tc>
        <w:tc>
          <w:tcPr>
            <w:tcW w:w="689" w:type="pct"/>
            <w:tcBorders>
              <w:top w:val="single" w:sz="8" w:space="0" w:color="BABABA"/>
              <w:left w:val="single" w:sz="8" w:space="0" w:color="BABABA"/>
              <w:bottom w:val="single" w:sz="8" w:space="0" w:color="BABABA"/>
              <w:right w:val="single" w:sz="8" w:space="0" w:color="BABABA"/>
            </w:tcBorders>
          </w:tcPr>
          <w:p w14:paraId="222133A2" w14:textId="77777777" w:rsidR="00D841A8" w:rsidRPr="00722521" w:rsidRDefault="00D841A8"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6EC69CF9" w14:textId="77777777" w:rsidR="00D841A8" w:rsidRPr="00722521" w:rsidRDefault="00D841A8"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5480F577" w14:textId="18F4BF99" w:rsidR="00D841A8" w:rsidRPr="00722521" w:rsidRDefault="00060427" w:rsidP="00A903E6">
            <w:pPr>
              <w:pStyle w:val="TableParagraph"/>
              <w:mirrorIndents/>
              <w:rPr>
                <w:b/>
                <w:szCs w:val="17"/>
              </w:rPr>
            </w:pPr>
            <w:r w:rsidRPr="00722521">
              <w:rPr>
                <w:b/>
                <w:szCs w:val="17"/>
              </w:rPr>
              <w:t>x</w:t>
            </w:r>
          </w:p>
        </w:tc>
        <w:tc>
          <w:tcPr>
            <w:tcW w:w="689" w:type="pct"/>
            <w:tcBorders>
              <w:top w:val="single" w:sz="8" w:space="0" w:color="BABABA"/>
              <w:left w:val="single" w:sz="8" w:space="0" w:color="BABABA"/>
              <w:bottom w:val="single" w:sz="8" w:space="0" w:color="BABABA"/>
              <w:right w:val="single" w:sz="8" w:space="0" w:color="BABABA"/>
            </w:tcBorders>
          </w:tcPr>
          <w:p w14:paraId="7255BD8E" w14:textId="77777777" w:rsidR="00D841A8" w:rsidRPr="00722521" w:rsidRDefault="00D841A8"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5E55DCEE" w14:textId="77777777" w:rsidR="00D841A8" w:rsidRPr="00722521" w:rsidRDefault="00D841A8" w:rsidP="00A903E6">
            <w:pPr>
              <w:pStyle w:val="TableParagraph"/>
              <w:mirrorIndents/>
              <w:rPr>
                <w:b/>
                <w:szCs w:val="17"/>
              </w:rPr>
            </w:pPr>
          </w:p>
        </w:tc>
        <w:tc>
          <w:tcPr>
            <w:tcW w:w="689" w:type="pct"/>
            <w:tcBorders>
              <w:top w:val="single" w:sz="8" w:space="0" w:color="BABABA"/>
              <w:left w:val="single" w:sz="8" w:space="0" w:color="BABABA"/>
              <w:bottom w:val="single" w:sz="8" w:space="0" w:color="BABABA"/>
              <w:right w:val="single" w:sz="8" w:space="0" w:color="BABABA"/>
            </w:tcBorders>
          </w:tcPr>
          <w:p w14:paraId="1F09897A" w14:textId="644D4797" w:rsidR="00D841A8" w:rsidRPr="00722521" w:rsidRDefault="00D841A8" w:rsidP="00A903E6">
            <w:pPr>
              <w:pStyle w:val="TableParagraph"/>
              <w:mirrorIndents/>
              <w:rPr>
                <w:b/>
                <w:szCs w:val="17"/>
              </w:rPr>
            </w:pPr>
          </w:p>
        </w:tc>
      </w:tr>
    </w:tbl>
    <w:p w14:paraId="7CC6ECB8" w14:textId="1ACC03E8" w:rsidR="00BA160A" w:rsidRPr="00722521" w:rsidRDefault="00BA160A" w:rsidP="00A903E6">
      <w:pPr>
        <w:pStyle w:val="Textkrper"/>
        <w:mirrorIndents/>
        <w:rPr>
          <w:rFonts w:ascii="Verdana" w:hAnsi="Verdana"/>
          <w:b w:val="0"/>
          <w:sz w:val="17"/>
          <w:szCs w:val="17"/>
        </w:rPr>
      </w:pPr>
    </w:p>
    <w:p w14:paraId="64F5891B"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If you identify areas for improvement, please explain:</w:t>
      </w:r>
    </w:p>
    <w:p w14:paraId="533A1287" w14:textId="00BF176F" w:rsidR="00BA160A" w:rsidRPr="00722521" w:rsidRDefault="00BA160A" w:rsidP="00A903E6">
      <w:pPr>
        <w:mirrorIndents/>
        <w:rPr>
          <w:sz w:val="17"/>
          <w:szCs w:val="17"/>
        </w:rPr>
      </w:pPr>
    </w:p>
    <w:p w14:paraId="06966845" w14:textId="5DD91D03" w:rsidR="00A155F5" w:rsidRPr="00722521" w:rsidRDefault="00401F10" w:rsidP="00A903E6">
      <w:pPr>
        <w:mirrorIndents/>
        <w:rPr>
          <w:sz w:val="17"/>
          <w:szCs w:val="17"/>
        </w:rPr>
      </w:pPr>
      <w:r w:rsidRPr="00722521">
        <w:rPr>
          <w:sz w:val="17"/>
          <w:szCs w:val="17"/>
        </w:rPr>
        <w:t>W</w:t>
      </w:r>
      <w:r w:rsidR="001E5FA7" w:rsidRPr="00722521">
        <w:rPr>
          <w:sz w:val="17"/>
          <w:szCs w:val="17"/>
        </w:rPr>
        <w:t xml:space="preserve">ith respect to financial conglomerates, there should be more attention to the differences in insurance led or banking led conglomerates. Not all conglomerates are the same. The dominant sector results in the regime applied at holding level. This results in different approaches because the fundamental </w:t>
      </w:r>
      <w:r w:rsidR="00976656" w:rsidRPr="00722521">
        <w:rPr>
          <w:sz w:val="17"/>
          <w:szCs w:val="17"/>
        </w:rPr>
        <w:t>principles</w:t>
      </w:r>
      <w:r w:rsidR="001E5FA7" w:rsidRPr="00722521">
        <w:rPr>
          <w:sz w:val="17"/>
          <w:szCs w:val="17"/>
        </w:rPr>
        <w:t xml:space="preserve"> of the underlying regimes are </w:t>
      </w:r>
      <w:r w:rsidR="00976656" w:rsidRPr="00722521">
        <w:rPr>
          <w:sz w:val="17"/>
          <w:szCs w:val="17"/>
        </w:rPr>
        <w:t>different</w:t>
      </w:r>
      <w:r w:rsidR="001E5FA7" w:rsidRPr="00722521">
        <w:rPr>
          <w:sz w:val="17"/>
          <w:szCs w:val="17"/>
        </w:rPr>
        <w:t>. This should be taken into consideration in all the activities of the JC and ESA's.</w:t>
      </w:r>
    </w:p>
    <w:p w14:paraId="14EAFACE" w14:textId="77777777" w:rsidR="00A155F5" w:rsidRPr="00722521" w:rsidRDefault="00A155F5" w:rsidP="00A903E6">
      <w:pPr>
        <w:mirrorIndents/>
        <w:rPr>
          <w:sz w:val="17"/>
          <w:szCs w:val="17"/>
        </w:rPr>
      </w:pPr>
    </w:p>
    <w:p w14:paraId="75E5985C" w14:textId="77777777" w:rsidR="00BA160A" w:rsidRPr="00722521" w:rsidRDefault="00BA160A" w:rsidP="00A903E6">
      <w:pPr>
        <w:pStyle w:val="berschrift1"/>
        <w:numPr>
          <w:ilvl w:val="0"/>
          <w:numId w:val="6"/>
        </w:numPr>
        <w:tabs>
          <w:tab w:val="left" w:pos="499"/>
        </w:tabs>
        <w:ind w:left="232" w:hanging="383"/>
        <w:mirrorIndents/>
        <w:rPr>
          <w:rFonts w:ascii="Verdana" w:hAnsi="Verdana"/>
          <w:sz w:val="17"/>
          <w:szCs w:val="17"/>
        </w:rPr>
      </w:pPr>
      <w:r w:rsidRPr="00722521">
        <w:rPr>
          <w:rFonts w:ascii="Verdana" w:hAnsi="Verdana"/>
          <w:sz w:val="17"/>
          <w:szCs w:val="17"/>
        </w:rPr>
        <w:t>Direct supervisory</w:t>
      </w:r>
      <w:r w:rsidRPr="00722521">
        <w:rPr>
          <w:rFonts w:ascii="Verdana" w:hAnsi="Verdana"/>
          <w:spacing w:val="61"/>
          <w:sz w:val="17"/>
          <w:szCs w:val="17"/>
        </w:rPr>
        <w:t xml:space="preserve"> </w:t>
      </w:r>
      <w:r w:rsidRPr="00722521">
        <w:rPr>
          <w:rFonts w:ascii="Verdana" w:hAnsi="Verdana"/>
          <w:sz w:val="17"/>
          <w:szCs w:val="17"/>
        </w:rPr>
        <w:t>powers</w:t>
      </w:r>
    </w:p>
    <w:p w14:paraId="04130107" w14:textId="49CF653E" w:rsidR="00BA160A" w:rsidRPr="00722521" w:rsidRDefault="00BA160A" w:rsidP="00A903E6">
      <w:pPr>
        <w:pStyle w:val="Textkrper"/>
        <w:mirrorIndents/>
        <w:rPr>
          <w:rFonts w:ascii="Verdana" w:hAnsi="Verdana"/>
          <w:sz w:val="17"/>
          <w:szCs w:val="17"/>
        </w:rPr>
      </w:pPr>
    </w:p>
    <w:p w14:paraId="681B29E7"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3.1 Please assess ESMA’s direct supervisory powers in the field of:</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570"/>
        <w:gridCol w:w="1327"/>
        <w:gridCol w:w="1327"/>
        <w:gridCol w:w="1327"/>
        <w:gridCol w:w="1327"/>
        <w:gridCol w:w="1327"/>
        <w:gridCol w:w="1313"/>
      </w:tblGrid>
      <w:tr w:rsidR="00BA160A" w:rsidRPr="00722521" w14:paraId="1E56B478" w14:textId="77777777" w:rsidTr="00A155F5">
        <w:trPr>
          <w:trHeight w:hRule="exact" w:val="375"/>
        </w:trPr>
        <w:tc>
          <w:tcPr>
            <w:tcW w:w="825" w:type="pct"/>
            <w:vMerge w:val="restart"/>
            <w:tcBorders>
              <w:top w:val="single" w:sz="8" w:space="0" w:color="BABABA"/>
              <w:left w:val="single" w:sz="8" w:space="0" w:color="BABABA"/>
              <w:bottom w:val="single" w:sz="8" w:space="0" w:color="BABABA"/>
              <w:right w:val="single" w:sz="8" w:space="0" w:color="BABABA"/>
            </w:tcBorders>
          </w:tcPr>
          <w:p w14:paraId="6E952BFE" w14:textId="77777777" w:rsidR="00BA160A" w:rsidRPr="00722521" w:rsidRDefault="00BA160A" w:rsidP="00A903E6">
            <w:pPr>
              <w:mirrorIndents/>
              <w:rPr>
                <w:sz w:val="17"/>
                <w:szCs w:val="17"/>
              </w:rPr>
            </w:pPr>
          </w:p>
        </w:tc>
        <w:tc>
          <w:tcPr>
            <w:tcW w:w="697" w:type="pct"/>
            <w:tcBorders>
              <w:top w:val="single" w:sz="8" w:space="0" w:color="BABABA"/>
              <w:left w:val="single" w:sz="8" w:space="0" w:color="BABABA"/>
              <w:bottom w:val="nil"/>
              <w:right w:val="single" w:sz="8" w:space="0" w:color="BABABA"/>
            </w:tcBorders>
          </w:tcPr>
          <w:p w14:paraId="6BC597A5" w14:textId="77777777" w:rsidR="00BA160A" w:rsidRPr="00722521" w:rsidRDefault="00BA160A" w:rsidP="00A903E6">
            <w:pPr>
              <w:mirrorIndents/>
              <w:rPr>
                <w:sz w:val="17"/>
                <w:szCs w:val="17"/>
              </w:rPr>
            </w:pPr>
          </w:p>
        </w:tc>
        <w:tc>
          <w:tcPr>
            <w:tcW w:w="697" w:type="pct"/>
            <w:tcBorders>
              <w:top w:val="single" w:sz="8" w:space="0" w:color="BABABA"/>
              <w:left w:val="single" w:sz="8" w:space="0" w:color="BABABA"/>
              <w:bottom w:val="nil"/>
              <w:right w:val="single" w:sz="8" w:space="0" w:color="BABABA"/>
            </w:tcBorders>
          </w:tcPr>
          <w:p w14:paraId="16579632" w14:textId="77777777" w:rsidR="00BA160A" w:rsidRPr="00722521" w:rsidRDefault="00BA160A" w:rsidP="00A903E6">
            <w:pPr>
              <w:mirrorIndents/>
              <w:rPr>
                <w:sz w:val="17"/>
                <w:szCs w:val="17"/>
              </w:rPr>
            </w:pPr>
          </w:p>
        </w:tc>
        <w:tc>
          <w:tcPr>
            <w:tcW w:w="697" w:type="pct"/>
            <w:tcBorders>
              <w:top w:val="single" w:sz="8" w:space="0" w:color="BABABA"/>
              <w:left w:val="single" w:sz="8" w:space="0" w:color="BABABA"/>
              <w:bottom w:val="nil"/>
              <w:right w:val="single" w:sz="8" w:space="0" w:color="BABABA"/>
            </w:tcBorders>
          </w:tcPr>
          <w:p w14:paraId="3929BC61" w14:textId="77777777" w:rsidR="00BA160A" w:rsidRPr="00722521" w:rsidRDefault="00BA160A" w:rsidP="00A903E6">
            <w:pPr>
              <w:mirrorIndents/>
              <w:rPr>
                <w:sz w:val="17"/>
                <w:szCs w:val="17"/>
              </w:rPr>
            </w:pPr>
          </w:p>
        </w:tc>
        <w:tc>
          <w:tcPr>
            <w:tcW w:w="697" w:type="pct"/>
            <w:tcBorders>
              <w:top w:val="single" w:sz="8" w:space="0" w:color="BABABA"/>
              <w:left w:val="single" w:sz="8" w:space="0" w:color="BABABA"/>
              <w:bottom w:val="nil"/>
              <w:right w:val="single" w:sz="8" w:space="0" w:color="BABABA"/>
            </w:tcBorders>
          </w:tcPr>
          <w:p w14:paraId="112CA245" w14:textId="77777777" w:rsidR="00BA160A" w:rsidRPr="00722521" w:rsidRDefault="00BA160A" w:rsidP="00A903E6">
            <w:pPr>
              <w:mirrorIndents/>
              <w:rPr>
                <w:sz w:val="17"/>
                <w:szCs w:val="17"/>
              </w:rPr>
            </w:pPr>
          </w:p>
        </w:tc>
        <w:tc>
          <w:tcPr>
            <w:tcW w:w="697" w:type="pct"/>
            <w:tcBorders>
              <w:top w:val="single" w:sz="8" w:space="0" w:color="BABABA"/>
              <w:left w:val="single" w:sz="8" w:space="0" w:color="BABABA"/>
              <w:bottom w:val="nil"/>
              <w:right w:val="single" w:sz="8" w:space="0" w:color="BABABA"/>
            </w:tcBorders>
          </w:tcPr>
          <w:p w14:paraId="7859DA0D" w14:textId="77777777" w:rsidR="00BA160A" w:rsidRPr="00722521" w:rsidRDefault="00BA160A" w:rsidP="00A903E6">
            <w:pPr>
              <w:mirrorIndents/>
              <w:rPr>
                <w:sz w:val="17"/>
                <w:szCs w:val="17"/>
              </w:rPr>
            </w:pPr>
          </w:p>
        </w:tc>
        <w:tc>
          <w:tcPr>
            <w:tcW w:w="692" w:type="pct"/>
            <w:tcBorders>
              <w:top w:val="single" w:sz="8" w:space="0" w:color="BABABA"/>
              <w:left w:val="single" w:sz="8" w:space="0" w:color="BABABA"/>
              <w:bottom w:val="nil"/>
              <w:right w:val="single" w:sz="2" w:space="0" w:color="BABABA"/>
            </w:tcBorders>
            <w:hideMark/>
          </w:tcPr>
          <w:p w14:paraId="2A0F0C46" w14:textId="77777777" w:rsidR="00BA160A" w:rsidRPr="00722521" w:rsidRDefault="00BA160A" w:rsidP="00A903E6">
            <w:pPr>
              <w:pStyle w:val="TableParagraph"/>
              <w:mirrorIndents/>
              <w:rPr>
                <w:szCs w:val="17"/>
              </w:rPr>
            </w:pPr>
            <w:r w:rsidRPr="00722521">
              <w:rPr>
                <w:w w:val="105"/>
                <w:szCs w:val="17"/>
              </w:rPr>
              <w:t>Don't</w:t>
            </w:r>
          </w:p>
        </w:tc>
      </w:tr>
      <w:tr w:rsidR="00BA160A" w:rsidRPr="00722521" w14:paraId="260B1A3C" w14:textId="77777777" w:rsidTr="00A155F5">
        <w:trPr>
          <w:trHeight w:hRule="exact" w:val="597"/>
        </w:trPr>
        <w:tc>
          <w:tcPr>
            <w:tcW w:w="825" w:type="pct"/>
            <w:vMerge/>
            <w:tcBorders>
              <w:top w:val="single" w:sz="8" w:space="0" w:color="BABABA"/>
              <w:left w:val="single" w:sz="8" w:space="0" w:color="BABABA"/>
              <w:bottom w:val="single" w:sz="8" w:space="0" w:color="BABABA"/>
              <w:right w:val="single" w:sz="8" w:space="0" w:color="BABABA"/>
            </w:tcBorders>
            <w:vAlign w:val="center"/>
            <w:hideMark/>
          </w:tcPr>
          <w:p w14:paraId="7F562DAA" w14:textId="77777777" w:rsidR="00BA160A" w:rsidRPr="00722521" w:rsidRDefault="00BA160A" w:rsidP="00A903E6">
            <w:pPr>
              <w:jc w:val="left"/>
              <w:rPr>
                <w:rFonts w:eastAsia="Microsoft Sans Serif" w:cs="Microsoft Sans Serif"/>
                <w:sz w:val="17"/>
                <w:szCs w:val="17"/>
              </w:rPr>
            </w:pPr>
          </w:p>
        </w:tc>
        <w:tc>
          <w:tcPr>
            <w:tcW w:w="697" w:type="pct"/>
            <w:tcBorders>
              <w:top w:val="nil"/>
              <w:left w:val="single" w:sz="8" w:space="0" w:color="BABABA"/>
              <w:bottom w:val="nil"/>
              <w:right w:val="single" w:sz="8" w:space="0" w:color="BABABA"/>
            </w:tcBorders>
            <w:hideMark/>
          </w:tcPr>
          <w:p w14:paraId="2822DD4D" w14:textId="77777777" w:rsidR="00BA160A" w:rsidRPr="00722521" w:rsidRDefault="00BA160A" w:rsidP="00A903E6">
            <w:pPr>
              <w:pStyle w:val="TableParagraph"/>
              <w:mirrorIndents/>
              <w:rPr>
                <w:szCs w:val="17"/>
              </w:rPr>
            </w:pPr>
            <w:r w:rsidRPr="00722521">
              <w:rPr>
                <w:w w:val="99"/>
                <w:szCs w:val="17"/>
              </w:rPr>
              <w:t>1</w:t>
            </w:r>
          </w:p>
        </w:tc>
        <w:tc>
          <w:tcPr>
            <w:tcW w:w="697" w:type="pct"/>
            <w:tcBorders>
              <w:top w:val="nil"/>
              <w:left w:val="single" w:sz="8" w:space="0" w:color="BABABA"/>
              <w:bottom w:val="nil"/>
              <w:right w:val="single" w:sz="8" w:space="0" w:color="BABABA"/>
            </w:tcBorders>
            <w:hideMark/>
          </w:tcPr>
          <w:p w14:paraId="5C90A744" w14:textId="77777777" w:rsidR="00BA160A" w:rsidRPr="00722521" w:rsidRDefault="00BA160A" w:rsidP="00A903E6">
            <w:pPr>
              <w:pStyle w:val="TableParagraph"/>
              <w:mirrorIndents/>
              <w:rPr>
                <w:szCs w:val="17"/>
              </w:rPr>
            </w:pPr>
            <w:r w:rsidRPr="00722521">
              <w:rPr>
                <w:w w:val="99"/>
                <w:szCs w:val="17"/>
              </w:rPr>
              <w:t>2</w:t>
            </w:r>
          </w:p>
        </w:tc>
        <w:tc>
          <w:tcPr>
            <w:tcW w:w="697" w:type="pct"/>
            <w:tcBorders>
              <w:top w:val="nil"/>
              <w:left w:val="single" w:sz="8" w:space="0" w:color="BABABA"/>
              <w:bottom w:val="nil"/>
              <w:right w:val="single" w:sz="8" w:space="0" w:color="BABABA"/>
            </w:tcBorders>
            <w:hideMark/>
          </w:tcPr>
          <w:p w14:paraId="346DC2CE" w14:textId="77777777" w:rsidR="00BA160A" w:rsidRPr="00722521" w:rsidRDefault="00BA160A" w:rsidP="00A903E6">
            <w:pPr>
              <w:pStyle w:val="TableParagraph"/>
              <w:mirrorIndents/>
              <w:rPr>
                <w:szCs w:val="17"/>
              </w:rPr>
            </w:pPr>
            <w:r w:rsidRPr="00722521">
              <w:rPr>
                <w:w w:val="99"/>
                <w:szCs w:val="17"/>
              </w:rPr>
              <w:t>3</w:t>
            </w:r>
          </w:p>
        </w:tc>
        <w:tc>
          <w:tcPr>
            <w:tcW w:w="697" w:type="pct"/>
            <w:tcBorders>
              <w:top w:val="nil"/>
              <w:left w:val="single" w:sz="8" w:space="0" w:color="BABABA"/>
              <w:bottom w:val="nil"/>
              <w:right w:val="single" w:sz="8" w:space="0" w:color="BABABA"/>
            </w:tcBorders>
            <w:hideMark/>
          </w:tcPr>
          <w:p w14:paraId="71D73046" w14:textId="77777777" w:rsidR="00BA160A" w:rsidRPr="00722521" w:rsidRDefault="00BA160A" w:rsidP="00A903E6">
            <w:pPr>
              <w:pStyle w:val="TableParagraph"/>
              <w:mirrorIndents/>
              <w:rPr>
                <w:szCs w:val="17"/>
              </w:rPr>
            </w:pPr>
            <w:r w:rsidRPr="00722521">
              <w:rPr>
                <w:w w:val="99"/>
                <w:szCs w:val="17"/>
              </w:rPr>
              <w:t>4</w:t>
            </w:r>
          </w:p>
        </w:tc>
        <w:tc>
          <w:tcPr>
            <w:tcW w:w="697" w:type="pct"/>
            <w:tcBorders>
              <w:top w:val="nil"/>
              <w:left w:val="single" w:sz="8" w:space="0" w:color="BABABA"/>
              <w:bottom w:val="nil"/>
              <w:right w:val="single" w:sz="8" w:space="0" w:color="BABABA"/>
            </w:tcBorders>
            <w:hideMark/>
          </w:tcPr>
          <w:p w14:paraId="6763ECA8" w14:textId="77777777" w:rsidR="00BA160A" w:rsidRPr="00722521" w:rsidRDefault="00BA160A" w:rsidP="00A903E6">
            <w:pPr>
              <w:pStyle w:val="TableParagraph"/>
              <w:mirrorIndents/>
              <w:rPr>
                <w:szCs w:val="17"/>
              </w:rPr>
            </w:pPr>
            <w:r w:rsidRPr="00722521">
              <w:rPr>
                <w:w w:val="99"/>
                <w:szCs w:val="17"/>
              </w:rPr>
              <w:t>5</w:t>
            </w:r>
          </w:p>
        </w:tc>
        <w:tc>
          <w:tcPr>
            <w:tcW w:w="692" w:type="pct"/>
            <w:tcBorders>
              <w:top w:val="nil"/>
              <w:left w:val="single" w:sz="8" w:space="0" w:color="BABABA"/>
              <w:bottom w:val="nil"/>
              <w:right w:val="single" w:sz="2" w:space="0" w:color="BABABA"/>
            </w:tcBorders>
            <w:hideMark/>
          </w:tcPr>
          <w:p w14:paraId="7F7AD35A" w14:textId="77777777" w:rsidR="00BA160A" w:rsidRPr="00722521" w:rsidRDefault="00BA160A" w:rsidP="00A903E6">
            <w:pPr>
              <w:pStyle w:val="TableParagraph"/>
              <w:ind w:hanging="136"/>
              <w:mirrorIndents/>
              <w:rPr>
                <w:szCs w:val="17"/>
              </w:rPr>
            </w:pPr>
            <w:r w:rsidRPr="00722521">
              <w:rPr>
                <w:w w:val="105"/>
                <w:szCs w:val="17"/>
              </w:rPr>
              <w:t>know - No</w:t>
            </w:r>
          </w:p>
        </w:tc>
      </w:tr>
      <w:tr w:rsidR="00BA160A" w:rsidRPr="00722521" w14:paraId="659BF5FF" w14:textId="77777777" w:rsidTr="00A155F5">
        <w:trPr>
          <w:trHeight w:hRule="exact" w:val="291"/>
        </w:trPr>
        <w:tc>
          <w:tcPr>
            <w:tcW w:w="825" w:type="pct"/>
            <w:vMerge/>
            <w:tcBorders>
              <w:top w:val="single" w:sz="8" w:space="0" w:color="BABABA"/>
              <w:left w:val="single" w:sz="8" w:space="0" w:color="BABABA"/>
              <w:bottom w:val="single" w:sz="8" w:space="0" w:color="BABABA"/>
              <w:right w:val="single" w:sz="8" w:space="0" w:color="BABABA"/>
            </w:tcBorders>
            <w:vAlign w:val="center"/>
            <w:hideMark/>
          </w:tcPr>
          <w:p w14:paraId="12FA3110" w14:textId="77777777" w:rsidR="00BA160A" w:rsidRPr="00722521" w:rsidRDefault="00BA160A" w:rsidP="00A903E6">
            <w:pPr>
              <w:jc w:val="left"/>
              <w:rPr>
                <w:rFonts w:eastAsia="Microsoft Sans Serif" w:cs="Microsoft Sans Serif"/>
                <w:sz w:val="17"/>
                <w:szCs w:val="17"/>
              </w:rPr>
            </w:pPr>
          </w:p>
        </w:tc>
        <w:tc>
          <w:tcPr>
            <w:tcW w:w="697" w:type="pct"/>
            <w:tcBorders>
              <w:top w:val="nil"/>
              <w:left w:val="single" w:sz="8" w:space="0" w:color="BABABA"/>
              <w:bottom w:val="nil"/>
              <w:right w:val="single" w:sz="8" w:space="0" w:color="BABABA"/>
            </w:tcBorders>
            <w:hideMark/>
          </w:tcPr>
          <w:p w14:paraId="2338EE4F" w14:textId="77777777" w:rsidR="00BA160A" w:rsidRPr="00722521" w:rsidRDefault="00BA160A" w:rsidP="00A903E6">
            <w:pPr>
              <w:pStyle w:val="TableParagraph"/>
              <w:mirrorIndents/>
              <w:rPr>
                <w:szCs w:val="17"/>
              </w:rPr>
            </w:pPr>
            <w:r w:rsidRPr="00722521">
              <w:rPr>
                <w:szCs w:val="17"/>
              </w:rPr>
              <w:t>(lowest</w:t>
            </w:r>
          </w:p>
        </w:tc>
        <w:tc>
          <w:tcPr>
            <w:tcW w:w="697" w:type="pct"/>
            <w:tcBorders>
              <w:top w:val="nil"/>
              <w:left w:val="single" w:sz="8" w:space="0" w:color="BABABA"/>
              <w:bottom w:val="nil"/>
              <w:right w:val="single" w:sz="8" w:space="0" w:color="BABABA"/>
            </w:tcBorders>
          </w:tcPr>
          <w:p w14:paraId="5A1B08B7"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tcPr>
          <w:p w14:paraId="5A2A4146"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tcPr>
          <w:p w14:paraId="221710BE"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hideMark/>
          </w:tcPr>
          <w:p w14:paraId="69EA1B98" w14:textId="77777777" w:rsidR="00BA160A" w:rsidRPr="00722521" w:rsidRDefault="00BA160A" w:rsidP="00A903E6">
            <w:pPr>
              <w:pStyle w:val="TableParagraph"/>
              <w:mirrorIndents/>
              <w:rPr>
                <w:szCs w:val="17"/>
              </w:rPr>
            </w:pPr>
            <w:r w:rsidRPr="00722521">
              <w:rPr>
                <w:szCs w:val="17"/>
              </w:rPr>
              <w:t>(highest</w:t>
            </w:r>
          </w:p>
        </w:tc>
        <w:tc>
          <w:tcPr>
            <w:tcW w:w="692" w:type="pct"/>
            <w:tcBorders>
              <w:top w:val="nil"/>
              <w:left w:val="single" w:sz="8" w:space="0" w:color="BABABA"/>
              <w:bottom w:val="nil"/>
              <w:right w:val="single" w:sz="2" w:space="0" w:color="BABABA"/>
            </w:tcBorders>
            <w:hideMark/>
          </w:tcPr>
          <w:p w14:paraId="55317680" w14:textId="77777777" w:rsidR="00BA160A" w:rsidRPr="00722521" w:rsidRDefault="00BA160A" w:rsidP="00A903E6">
            <w:pPr>
              <w:pStyle w:val="TableParagraph"/>
              <w:mirrorIndents/>
              <w:rPr>
                <w:szCs w:val="17"/>
              </w:rPr>
            </w:pPr>
            <w:r w:rsidRPr="00722521">
              <w:rPr>
                <w:szCs w:val="17"/>
              </w:rPr>
              <w:t>opinion -</w:t>
            </w:r>
          </w:p>
        </w:tc>
      </w:tr>
      <w:tr w:rsidR="00BA160A" w:rsidRPr="00722521" w14:paraId="6086A4E2" w14:textId="77777777" w:rsidTr="00A155F5">
        <w:trPr>
          <w:trHeight w:hRule="exact" w:val="296"/>
        </w:trPr>
        <w:tc>
          <w:tcPr>
            <w:tcW w:w="825" w:type="pct"/>
            <w:vMerge/>
            <w:tcBorders>
              <w:top w:val="single" w:sz="8" w:space="0" w:color="BABABA"/>
              <w:left w:val="single" w:sz="8" w:space="0" w:color="BABABA"/>
              <w:bottom w:val="single" w:sz="8" w:space="0" w:color="BABABA"/>
              <w:right w:val="single" w:sz="8" w:space="0" w:color="BABABA"/>
            </w:tcBorders>
            <w:vAlign w:val="center"/>
            <w:hideMark/>
          </w:tcPr>
          <w:p w14:paraId="2B392E40" w14:textId="77777777" w:rsidR="00BA160A" w:rsidRPr="00722521" w:rsidRDefault="00BA160A" w:rsidP="00A903E6">
            <w:pPr>
              <w:jc w:val="left"/>
              <w:rPr>
                <w:rFonts w:eastAsia="Microsoft Sans Serif" w:cs="Microsoft Sans Serif"/>
                <w:sz w:val="17"/>
                <w:szCs w:val="17"/>
              </w:rPr>
            </w:pPr>
          </w:p>
        </w:tc>
        <w:tc>
          <w:tcPr>
            <w:tcW w:w="697" w:type="pct"/>
            <w:tcBorders>
              <w:top w:val="nil"/>
              <w:left w:val="single" w:sz="8" w:space="0" w:color="BABABA"/>
              <w:bottom w:val="nil"/>
              <w:right w:val="single" w:sz="8" w:space="0" w:color="BABABA"/>
            </w:tcBorders>
            <w:hideMark/>
          </w:tcPr>
          <w:p w14:paraId="4BB01555" w14:textId="77777777" w:rsidR="00BA160A" w:rsidRPr="00722521" w:rsidRDefault="00BA160A" w:rsidP="00A903E6">
            <w:pPr>
              <w:pStyle w:val="TableParagraph"/>
              <w:mirrorIndents/>
              <w:rPr>
                <w:szCs w:val="17"/>
              </w:rPr>
            </w:pPr>
            <w:r w:rsidRPr="00722521">
              <w:rPr>
                <w:w w:val="105"/>
                <w:szCs w:val="17"/>
              </w:rPr>
              <w:t>rate</w:t>
            </w:r>
          </w:p>
        </w:tc>
        <w:tc>
          <w:tcPr>
            <w:tcW w:w="697" w:type="pct"/>
            <w:tcBorders>
              <w:top w:val="nil"/>
              <w:left w:val="single" w:sz="8" w:space="0" w:color="BABABA"/>
              <w:bottom w:val="nil"/>
              <w:right w:val="single" w:sz="8" w:space="0" w:color="BABABA"/>
            </w:tcBorders>
          </w:tcPr>
          <w:p w14:paraId="3D2F2DAE"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tcPr>
          <w:p w14:paraId="55F830D8"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tcPr>
          <w:p w14:paraId="2D76B6FF"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hideMark/>
          </w:tcPr>
          <w:p w14:paraId="3E571706" w14:textId="77777777" w:rsidR="00BA160A" w:rsidRPr="00722521" w:rsidRDefault="00BA160A" w:rsidP="00A903E6">
            <w:pPr>
              <w:pStyle w:val="TableParagraph"/>
              <w:mirrorIndents/>
              <w:rPr>
                <w:szCs w:val="17"/>
              </w:rPr>
            </w:pPr>
            <w:r w:rsidRPr="00722521">
              <w:rPr>
                <w:w w:val="105"/>
                <w:szCs w:val="17"/>
              </w:rPr>
              <w:t>rate)</w:t>
            </w:r>
          </w:p>
        </w:tc>
        <w:tc>
          <w:tcPr>
            <w:tcW w:w="692" w:type="pct"/>
            <w:tcBorders>
              <w:top w:val="nil"/>
              <w:left w:val="single" w:sz="8" w:space="0" w:color="BABABA"/>
              <w:bottom w:val="nil"/>
              <w:right w:val="single" w:sz="2" w:space="0" w:color="BABABA"/>
            </w:tcBorders>
            <w:hideMark/>
          </w:tcPr>
          <w:p w14:paraId="2E1B1879" w14:textId="77777777" w:rsidR="00BA160A" w:rsidRPr="00722521" w:rsidRDefault="00BA160A" w:rsidP="00A903E6">
            <w:pPr>
              <w:pStyle w:val="TableParagraph"/>
              <w:mirrorIndents/>
              <w:rPr>
                <w:szCs w:val="17"/>
              </w:rPr>
            </w:pPr>
            <w:r w:rsidRPr="00722521">
              <w:rPr>
                <w:w w:val="105"/>
                <w:szCs w:val="17"/>
              </w:rPr>
              <w:t>Not</w:t>
            </w:r>
          </w:p>
        </w:tc>
      </w:tr>
      <w:tr w:rsidR="00BA160A" w:rsidRPr="00722521" w14:paraId="16CC2D53" w14:textId="77777777" w:rsidTr="00A155F5">
        <w:trPr>
          <w:trHeight w:hRule="exact" w:val="398"/>
        </w:trPr>
        <w:tc>
          <w:tcPr>
            <w:tcW w:w="825" w:type="pct"/>
            <w:vMerge/>
            <w:tcBorders>
              <w:top w:val="single" w:sz="8" w:space="0" w:color="BABABA"/>
              <w:left w:val="single" w:sz="8" w:space="0" w:color="BABABA"/>
              <w:bottom w:val="single" w:sz="8" w:space="0" w:color="BABABA"/>
              <w:right w:val="single" w:sz="8" w:space="0" w:color="BABABA"/>
            </w:tcBorders>
            <w:vAlign w:val="center"/>
            <w:hideMark/>
          </w:tcPr>
          <w:p w14:paraId="28706485" w14:textId="77777777" w:rsidR="00BA160A" w:rsidRPr="00722521" w:rsidRDefault="00BA160A" w:rsidP="00A903E6">
            <w:pPr>
              <w:jc w:val="left"/>
              <w:rPr>
                <w:rFonts w:eastAsia="Microsoft Sans Serif" w:cs="Microsoft Sans Serif"/>
                <w:sz w:val="17"/>
                <w:szCs w:val="17"/>
              </w:rPr>
            </w:pPr>
          </w:p>
        </w:tc>
        <w:tc>
          <w:tcPr>
            <w:tcW w:w="697" w:type="pct"/>
            <w:tcBorders>
              <w:top w:val="nil"/>
              <w:left w:val="single" w:sz="8" w:space="0" w:color="BABABA"/>
              <w:bottom w:val="single" w:sz="8" w:space="0" w:color="BABABA"/>
              <w:right w:val="single" w:sz="8" w:space="0" w:color="BABABA"/>
            </w:tcBorders>
          </w:tcPr>
          <w:p w14:paraId="7ACD03CD" w14:textId="77777777" w:rsidR="00BA160A" w:rsidRPr="00722521" w:rsidRDefault="00BA160A" w:rsidP="00A903E6">
            <w:pPr>
              <w:mirrorIndents/>
              <w:rPr>
                <w:sz w:val="17"/>
                <w:szCs w:val="17"/>
              </w:rPr>
            </w:pPr>
          </w:p>
        </w:tc>
        <w:tc>
          <w:tcPr>
            <w:tcW w:w="697" w:type="pct"/>
            <w:tcBorders>
              <w:top w:val="nil"/>
              <w:left w:val="single" w:sz="8" w:space="0" w:color="BABABA"/>
              <w:bottom w:val="single" w:sz="8" w:space="0" w:color="BABABA"/>
              <w:right w:val="single" w:sz="8" w:space="0" w:color="BABABA"/>
            </w:tcBorders>
          </w:tcPr>
          <w:p w14:paraId="2617C63C" w14:textId="77777777" w:rsidR="00BA160A" w:rsidRPr="00722521" w:rsidRDefault="00BA160A" w:rsidP="00A903E6">
            <w:pPr>
              <w:mirrorIndents/>
              <w:rPr>
                <w:sz w:val="17"/>
                <w:szCs w:val="17"/>
              </w:rPr>
            </w:pPr>
          </w:p>
        </w:tc>
        <w:tc>
          <w:tcPr>
            <w:tcW w:w="697" w:type="pct"/>
            <w:tcBorders>
              <w:top w:val="nil"/>
              <w:left w:val="single" w:sz="8" w:space="0" w:color="BABABA"/>
              <w:bottom w:val="single" w:sz="8" w:space="0" w:color="BABABA"/>
              <w:right w:val="single" w:sz="8" w:space="0" w:color="BABABA"/>
            </w:tcBorders>
          </w:tcPr>
          <w:p w14:paraId="791CC1E3" w14:textId="77777777" w:rsidR="00BA160A" w:rsidRPr="00722521" w:rsidRDefault="00BA160A" w:rsidP="00A903E6">
            <w:pPr>
              <w:mirrorIndents/>
              <w:rPr>
                <w:sz w:val="17"/>
                <w:szCs w:val="17"/>
              </w:rPr>
            </w:pPr>
          </w:p>
        </w:tc>
        <w:tc>
          <w:tcPr>
            <w:tcW w:w="697" w:type="pct"/>
            <w:tcBorders>
              <w:top w:val="nil"/>
              <w:left w:val="single" w:sz="8" w:space="0" w:color="BABABA"/>
              <w:bottom w:val="single" w:sz="8" w:space="0" w:color="BABABA"/>
              <w:right w:val="single" w:sz="8" w:space="0" w:color="BABABA"/>
            </w:tcBorders>
          </w:tcPr>
          <w:p w14:paraId="5F47165A" w14:textId="77777777" w:rsidR="00BA160A" w:rsidRPr="00722521" w:rsidRDefault="00BA160A" w:rsidP="00A903E6">
            <w:pPr>
              <w:mirrorIndents/>
              <w:rPr>
                <w:sz w:val="17"/>
                <w:szCs w:val="17"/>
              </w:rPr>
            </w:pPr>
          </w:p>
        </w:tc>
        <w:tc>
          <w:tcPr>
            <w:tcW w:w="697" w:type="pct"/>
            <w:tcBorders>
              <w:top w:val="nil"/>
              <w:left w:val="single" w:sz="8" w:space="0" w:color="BABABA"/>
              <w:bottom w:val="single" w:sz="8" w:space="0" w:color="BABABA"/>
              <w:right w:val="single" w:sz="8" w:space="0" w:color="BABABA"/>
            </w:tcBorders>
          </w:tcPr>
          <w:p w14:paraId="45316252" w14:textId="77777777" w:rsidR="00BA160A" w:rsidRPr="00722521" w:rsidRDefault="00BA160A" w:rsidP="00A903E6">
            <w:pPr>
              <w:mirrorIndents/>
              <w:rPr>
                <w:sz w:val="17"/>
                <w:szCs w:val="17"/>
              </w:rPr>
            </w:pPr>
          </w:p>
        </w:tc>
        <w:tc>
          <w:tcPr>
            <w:tcW w:w="692" w:type="pct"/>
            <w:tcBorders>
              <w:top w:val="nil"/>
              <w:left w:val="single" w:sz="8" w:space="0" w:color="BABABA"/>
              <w:bottom w:val="single" w:sz="8" w:space="0" w:color="BABABA"/>
              <w:right w:val="single" w:sz="2" w:space="0" w:color="BABABA"/>
            </w:tcBorders>
            <w:hideMark/>
          </w:tcPr>
          <w:p w14:paraId="1295C5A6" w14:textId="77777777" w:rsidR="00BA160A" w:rsidRPr="00722521" w:rsidRDefault="00BA160A" w:rsidP="00A903E6">
            <w:pPr>
              <w:pStyle w:val="TableParagraph"/>
              <w:mirrorIndents/>
              <w:rPr>
                <w:szCs w:val="17"/>
              </w:rPr>
            </w:pPr>
            <w:r w:rsidRPr="00722521">
              <w:rPr>
                <w:szCs w:val="17"/>
              </w:rPr>
              <w:t>applicable</w:t>
            </w:r>
          </w:p>
        </w:tc>
      </w:tr>
      <w:tr w:rsidR="00BA160A" w:rsidRPr="00722521" w14:paraId="5E598291" w14:textId="77777777" w:rsidTr="00A155F5">
        <w:trPr>
          <w:trHeight w:hRule="exact" w:val="929"/>
        </w:trPr>
        <w:tc>
          <w:tcPr>
            <w:tcW w:w="825" w:type="pct"/>
            <w:tcBorders>
              <w:top w:val="single" w:sz="8" w:space="0" w:color="BABABA"/>
              <w:left w:val="single" w:sz="8" w:space="0" w:color="BABABA"/>
              <w:bottom w:val="single" w:sz="8" w:space="0" w:color="BABABA"/>
              <w:right w:val="single" w:sz="8" w:space="0" w:color="BABABA"/>
            </w:tcBorders>
            <w:hideMark/>
          </w:tcPr>
          <w:p w14:paraId="31F38F96" w14:textId="77777777" w:rsidR="00BA160A" w:rsidRPr="00722521" w:rsidRDefault="00BA160A" w:rsidP="00A903E6">
            <w:pPr>
              <w:pStyle w:val="TableParagraph"/>
              <w:mirrorIndents/>
              <w:rPr>
                <w:szCs w:val="17"/>
              </w:rPr>
            </w:pPr>
            <w:r w:rsidRPr="00722521">
              <w:rPr>
                <w:szCs w:val="17"/>
              </w:rPr>
              <w:lastRenderedPageBreak/>
              <w:t>Credit Rating Agencies</w:t>
            </w:r>
          </w:p>
        </w:tc>
        <w:tc>
          <w:tcPr>
            <w:tcW w:w="697" w:type="pct"/>
            <w:tcBorders>
              <w:top w:val="single" w:sz="8" w:space="0" w:color="BABABA"/>
              <w:left w:val="single" w:sz="8" w:space="0" w:color="BABABA"/>
              <w:bottom w:val="single" w:sz="8" w:space="0" w:color="BABABA"/>
              <w:right w:val="single" w:sz="8" w:space="0" w:color="BABABA"/>
            </w:tcBorders>
          </w:tcPr>
          <w:p w14:paraId="106AB60C"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7F4A54EF"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0951DE38"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450CC84B"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5F4C1DA4" w14:textId="77777777" w:rsidR="00BA160A" w:rsidRPr="00722521" w:rsidRDefault="00BA160A" w:rsidP="00A903E6">
            <w:pPr>
              <w:pStyle w:val="TableParagraph"/>
              <w:mirrorIndents/>
              <w:rPr>
                <w:b/>
                <w:szCs w:val="17"/>
              </w:rPr>
            </w:pPr>
          </w:p>
        </w:tc>
        <w:tc>
          <w:tcPr>
            <w:tcW w:w="692" w:type="pct"/>
            <w:tcBorders>
              <w:top w:val="single" w:sz="8" w:space="0" w:color="BABABA"/>
              <w:left w:val="single" w:sz="8" w:space="0" w:color="BABABA"/>
              <w:bottom w:val="single" w:sz="8" w:space="0" w:color="BABABA"/>
              <w:right w:val="single" w:sz="2" w:space="0" w:color="BABABA"/>
            </w:tcBorders>
          </w:tcPr>
          <w:p w14:paraId="4CF7ED5A" w14:textId="4734BE7A" w:rsidR="00BA160A" w:rsidRPr="00722521" w:rsidRDefault="00FF0043" w:rsidP="00A903E6">
            <w:pPr>
              <w:pStyle w:val="TableParagraph"/>
              <w:mirrorIndents/>
              <w:rPr>
                <w:b/>
                <w:szCs w:val="17"/>
              </w:rPr>
            </w:pPr>
            <w:r w:rsidRPr="00722521">
              <w:rPr>
                <w:b/>
                <w:szCs w:val="17"/>
              </w:rPr>
              <w:t>x</w:t>
            </w:r>
          </w:p>
        </w:tc>
      </w:tr>
      <w:tr w:rsidR="00BA160A" w:rsidRPr="00722521" w14:paraId="64E3FDF1" w14:textId="77777777" w:rsidTr="00A155F5">
        <w:trPr>
          <w:trHeight w:hRule="exact" w:val="1226"/>
        </w:trPr>
        <w:tc>
          <w:tcPr>
            <w:tcW w:w="825" w:type="pct"/>
            <w:tcBorders>
              <w:top w:val="single" w:sz="8" w:space="0" w:color="BABABA"/>
              <w:left w:val="single" w:sz="8" w:space="0" w:color="BABABA"/>
              <w:bottom w:val="single" w:sz="8" w:space="0" w:color="BABABA"/>
              <w:right w:val="single" w:sz="8" w:space="0" w:color="BABABA"/>
            </w:tcBorders>
            <w:hideMark/>
          </w:tcPr>
          <w:p w14:paraId="2AF2CB98" w14:textId="77777777" w:rsidR="00BA160A" w:rsidRPr="00722521" w:rsidRDefault="00BA160A" w:rsidP="00A903E6">
            <w:pPr>
              <w:pStyle w:val="TableParagraph"/>
              <w:mirrorIndents/>
              <w:rPr>
                <w:szCs w:val="17"/>
              </w:rPr>
            </w:pPr>
            <w:r w:rsidRPr="00722521">
              <w:rPr>
                <w:w w:val="105"/>
                <w:szCs w:val="17"/>
              </w:rPr>
              <w:t xml:space="preserve">Trade </w:t>
            </w:r>
            <w:r w:rsidRPr="00722521">
              <w:rPr>
                <w:szCs w:val="17"/>
              </w:rPr>
              <w:t xml:space="preserve">Repositories </w:t>
            </w:r>
            <w:r w:rsidRPr="00722521">
              <w:rPr>
                <w:w w:val="105"/>
                <w:szCs w:val="17"/>
              </w:rPr>
              <w:t>under EMIR</w:t>
            </w:r>
          </w:p>
        </w:tc>
        <w:tc>
          <w:tcPr>
            <w:tcW w:w="697" w:type="pct"/>
            <w:tcBorders>
              <w:top w:val="single" w:sz="8" w:space="0" w:color="BABABA"/>
              <w:left w:val="single" w:sz="8" w:space="0" w:color="BABABA"/>
              <w:bottom w:val="single" w:sz="8" w:space="0" w:color="BABABA"/>
              <w:right w:val="single" w:sz="8" w:space="0" w:color="BABABA"/>
            </w:tcBorders>
          </w:tcPr>
          <w:p w14:paraId="49F1E3DB"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75CEBBBC"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6EBC77E4"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7A258427"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5DCF2B99" w14:textId="77777777" w:rsidR="00BA160A" w:rsidRPr="00722521" w:rsidRDefault="00BA160A" w:rsidP="00A903E6">
            <w:pPr>
              <w:pStyle w:val="TableParagraph"/>
              <w:mirrorIndents/>
              <w:rPr>
                <w:b/>
                <w:szCs w:val="17"/>
              </w:rPr>
            </w:pPr>
          </w:p>
        </w:tc>
        <w:tc>
          <w:tcPr>
            <w:tcW w:w="692" w:type="pct"/>
            <w:tcBorders>
              <w:top w:val="single" w:sz="8" w:space="0" w:color="BABABA"/>
              <w:left w:val="single" w:sz="8" w:space="0" w:color="BABABA"/>
              <w:bottom w:val="single" w:sz="8" w:space="0" w:color="BABABA"/>
              <w:right w:val="single" w:sz="2" w:space="0" w:color="BABABA"/>
            </w:tcBorders>
          </w:tcPr>
          <w:p w14:paraId="433F0D0A" w14:textId="6CB99F86" w:rsidR="00BA160A" w:rsidRPr="00722521" w:rsidRDefault="00FF0043" w:rsidP="00A903E6">
            <w:pPr>
              <w:pStyle w:val="TableParagraph"/>
              <w:mirrorIndents/>
              <w:rPr>
                <w:b/>
                <w:szCs w:val="17"/>
              </w:rPr>
            </w:pPr>
            <w:r w:rsidRPr="00722521">
              <w:rPr>
                <w:b/>
                <w:szCs w:val="17"/>
              </w:rPr>
              <w:t>x</w:t>
            </w:r>
          </w:p>
        </w:tc>
      </w:tr>
      <w:tr w:rsidR="00BA160A" w:rsidRPr="00722521" w14:paraId="5BED6512" w14:textId="77777777" w:rsidTr="00A155F5">
        <w:trPr>
          <w:trHeight w:hRule="exact" w:val="1225"/>
        </w:trPr>
        <w:tc>
          <w:tcPr>
            <w:tcW w:w="825" w:type="pct"/>
            <w:tcBorders>
              <w:top w:val="single" w:sz="8" w:space="0" w:color="BABABA"/>
              <w:left w:val="single" w:sz="8" w:space="0" w:color="BABABA"/>
              <w:bottom w:val="single" w:sz="8" w:space="0" w:color="BABABA"/>
              <w:right w:val="single" w:sz="8" w:space="0" w:color="BABABA"/>
            </w:tcBorders>
            <w:hideMark/>
          </w:tcPr>
          <w:p w14:paraId="1991E111" w14:textId="77777777" w:rsidR="00BA160A" w:rsidRPr="00722521" w:rsidRDefault="00BA160A" w:rsidP="00A903E6">
            <w:pPr>
              <w:pStyle w:val="TableParagraph"/>
              <w:mirrorIndents/>
              <w:rPr>
                <w:szCs w:val="17"/>
              </w:rPr>
            </w:pPr>
            <w:r w:rsidRPr="00722521">
              <w:rPr>
                <w:w w:val="105"/>
                <w:szCs w:val="17"/>
              </w:rPr>
              <w:t xml:space="preserve">Trade </w:t>
            </w:r>
            <w:r w:rsidRPr="00722521">
              <w:rPr>
                <w:szCs w:val="17"/>
              </w:rPr>
              <w:t xml:space="preserve">Repositories </w:t>
            </w:r>
            <w:r w:rsidRPr="00722521">
              <w:rPr>
                <w:w w:val="105"/>
                <w:szCs w:val="17"/>
              </w:rPr>
              <w:t>under SFTR</w:t>
            </w:r>
          </w:p>
        </w:tc>
        <w:tc>
          <w:tcPr>
            <w:tcW w:w="697" w:type="pct"/>
            <w:tcBorders>
              <w:top w:val="single" w:sz="8" w:space="0" w:color="BABABA"/>
              <w:left w:val="single" w:sz="8" w:space="0" w:color="BABABA"/>
              <w:bottom w:val="single" w:sz="8" w:space="0" w:color="BABABA"/>
              <w:right w:val="single" w:sz="8" w:space="0" w:color="BABABA"/>
            </w:tcBorders>
          </w:tcPr>
          <w:p w14:paraId="1DC27BBE"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69A560E8"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338E4DD5"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5349BCEA"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2F24D3C6" w14:textId="77777777" w:rsidR="00BA160A" w:rsidRPr="00722521" w:rsidRDefault="00BA160A" w:rsidP="00A903E6">
            <w:pPr>
              <w:pStyle w:val="TableParagraph"/>
              <w:mirrorIndents/>
              <w:rPr>
                <w:b/>
                <w:szCs w:val="17"/>
              </w:rPr>
            </w:pPr>
          </w:p>
        </w:tc>
        <w:tc>
          <w:tcPr>
            <w:tcW w:w="692" w:type="pct"/>
            <w:tcBorders>
              <w:top w:val="single" w:sz="8" w:space="0" w:color="BABABA"/>
              <w:left w:val="single" w:sz="8" w:space="0" w:color="BABABA"/>
              <w:bottom w:val="single" w:sz="8" w:space="0" w:color="BABABA"/>
              <w:right w:val="single" w:sz="2" w:space="0" w:color="BABABA"/>
            </w:tcBorders>
          </w:tcPr>
          <w:p w14:paraId="0956A465" w14:textId="50C8B49E" w:rsidR="00BA160A" w:rsidRPr="00722521" w:rsidRDefault="00FF0043" w:rsidP="00A903E6">
            <w:pPr>
              <w:pStyle w:val="TableParagraph"/>
              <w:mirrorIndents/>
              <w:rPr>
                <w:b/>
                <w:szCs w:val="17"/>
              </w:rPr>
            </w:pPr>
            <w:r w:rsidRPr="00722521">
              <w:rPr>
                <w:b/>
                <w:szCs w:val="17"/>
              </w:rPr>
              <w:t>x</w:t>
            </w:r>
          </w:p>
        </w:tc>
      </w:tr>
      <w:tr w:rsidR="00BA160A" w:rsidRPr="00722521" w14:paraId="593A7D82" w14:textId="77777777" w:rsidTr="00A155F5">
        <w:trPr>
          <w:trHeight w:hRule="exact" w:val="1226"/>
        </w:trPr>
        <w:tc>
          <w:tcPr>
            <w:tcW w:w="825" w:type="pct"/>
            <w:tcBorders>
              <w:top w:val="single" w:sz="8" w:space="0" w:color="BABABA"/>
              <w:left w:val="single" w:sz="8" w:space="0" w:color="BABABA"/>
              <w:bottom w:val="single" w:sz="8" w:space="0" w:color="BABABA"/>
              <w:right w:val="single" w:sz="8" w:space="0" w:color="BABABA"/>
            </w:tcBorders>
            <w:hideMark/>
          </w:tcPr>
          <w:p w14:paraId="3D4B4E16" w14:textId="77777777" w:rsidR="00BA160A" w:rsidRPr="00722521" w:rsidRDefault="00BA160A" w:rsidP="00A903E6">
            <w:pPr>
              <w:pStyle w:val="TableParagraph"/>
              <w:mirrorIndents/>
              <w:rPr>
                <w:szCs w:val="17"/>
              </w:rPr>
            </w:pPr>
            <w:proofErr w:type="spellStart"/>
            <w:r w:rsidRPr="00722521">
              <w:rPr>
                <w:szCs w:val="17"/>
              </w:rPr>
              <w:t>Securitisation</w:t>
            </w:r>
            <w:proofErr w:type="spellEnd"/>
            <w:r w:rsidRPr="00722521">
              <w:rPr>
                <w:szCs w:val="17"/>
              </w:rPr>
              <w:t xml:space="preserve"> Repositories (STS)</w:t>
            </w:r>
          </w:p>
        </w:tc>
        <w:tc>
          <w:tcPr>
            <w:tcW w:w="697" w:type="pct"/>
            <w:tcBorders>
              <w:top w:val="single" w:sz="8" w:space="0" w:color="BABABA"/>
              <w:left w:val="single" w:sz="8" w:space="0" w:color="BABABA"/>
              <w:bottom w:val="single" w:sz="8" w:space="0" w:color="BABABA"/>
              <w:right w:val="single" w:sz="8" w:space="0" w:color="BABABA"/>
            </w:tcBorders>
          </w:tcPr>
          <w:p w14:paraId="47194BF1"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5A1512FD"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3718A4E0"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34CCBFA2"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1FC621A2" w14:textId="77777777" w:rsidR="00BA160A" w:rsidRPr="00722521" w:rsidRDefault="00BA160A" w:rsidP="00A903E6">
            <w:pPr>
              <w:pStyle w:val="TableParagraph"/>
              <w:mirrorIndents/>
              <w:rPr>
                <w:b/>
                <w:szCs w:val="17"/>
              </w:rPr>
            </w:pPr>
          </w:p>
        </w:tc>
        <w:tc>
          <w:tcPr>
            <w:tcW w:w="692" w:type="pct"/>
            <w:tcBorders>
              <w:top w:val="single" w:sz="8" w:space="0" w:color="BABABA"/>
              <w:left w:val="single" w:sz="8" w:space="0" w:color="BABABA"/>
              <w:bottom w:val="single" w:sz="8" w:space="0" w:color="BABABA"/>
              <w:right w:val="single" w:sz="2" w:space="0" w:color="BABABA"/>
            </w:tcBorders>
          </w:tcPr>
          <w:p w14:paraId="67984FCE" w14:textId="7C9466EF" w:rsidR="00BA160A" w:rsidRPr="00722521" w:rsidRDefault="00FF0043" w:rsidP="00A903E6">
            <w:pPr>
              <w:pStyle w:val="TableParagraph"/>
              <w:mirrorIndents/>
              <w:rPr>
                <w:b/>
                <w:szCs w:val="17"/>
              </w:rPr>
            </w:pPr>
            <w:r w:rsidRPr="00722521">
              <w:rPr>
                <w:b/>
                <w:szCs w:val="17"/>
              </w:rPr>
              <w:t>x</w:t>
            </w:r>
          </w:p>
        </w:tc>
      </w:tr>
    </w:tbl>
    <w:p w14:paraId="33EDBEBE" w14:textId="77777777" w:rsidR="00BA160A" w:rsidRPr="00722521" w:rsidRDefault="00BA160A" w:rsidP="00A903E6">
      <w:pPr>
        <w:pStyle w:val="Textkrper"/>
        <w:mirrorIndents/>
        <w:rPr>
          <w:rFonts w:ascii="Verdana" w:hAnsi="Verdana"/>
          <w:sz w:val="17"/>
          <w:szCs w:val="17"/>
        </w:rPr>
      </w:pPr>
    </w:p>
    <w:p w14:paraId="42BB42AF" w14:textId="77777777" w:rsidR="00BA160A" w:rsidRPr="00722521" w:rsidRDefault="00BA160A" w:rsidP="00A155F5">
      <w:pPr>
        <w:pStyle w:val="Textkrper"/>
        <w:ind w:left="0"/>
        <w:mirrorIndents/>
        <w:rPr>
          <w:rFonts w:ascii="Verdana" w:hAnsi="Verdana"/>
          <w:sz w:val="17"/>
          <w:szCs w:val="17"/>
        </w:rPr>
      </w:pPr>
      <w:r w:rsidRPr="00722521">
        <w:rPr>
          <w:rFonts w:ascii="Verdana" w:hAnsi="Verdana"/>
          <w:sz w:val="17"/>
          <w:szCs w:val="17"/>
          <w:highlight w:val="lightGray"/>
        </w:rPr>
        <w:t>Please explain your answers to question 3.1:</w:t>
      </w:r>
    </w:p>
    <w:p w14:paraId="27BF2903" w14:textId="77777777" w:rsidR="00A155F5" w:rsidRPr="00722521" w:rsidRDefault="00A155F5" w:rsidP="00A155F5">
      <w:pPr>
        <w:mirrorIndents/>
        <w:rPr>
          <w:sz w:val="17"/>
          <w:szCs w:val="17"/>
        </w:rPr>
      </w:pPr>
    </w:p>
    <w:p w14:paraId="55B1E8BE" w14:textId="76F142BD" w:rsidR="00A155F5" w:rsidRPr="00722521" w:rsidRDefault="00ED1443" w:rsidP="00A155F5">
      <w:pPr>
        <w:mirrorIndents/>
        <w:rPr>
          <w:sz w:val="17"/>
          <w:szCs w:val="17"/>
        </w:rPr>
      </w:pPr>
      <w:r w:rsidRPr="00722521">
        <w:rPr>
          <w:sz w:val="17"/>
          <w:szCs w:val="17"/>
        </w:rPr>
        <w:t>N/A</w:t>
      </w:r>
    </w:p>
    <w:p w14:paraId="582AF5BA" w14:textId="77777777" w:rsidR="00A155F5" w:rsidRPr="00722521" w:rsidRDefault="00A155F5" w:rsidP="00A155F5">
      <w:pPr>
        <w:mirrorIndents/>
        <w:rPr>
          <w:sz w:val="17"/>
          <w:szCs w:val="17"/>
        </w:rPr>
      </w:pPr>
    </w:p>
    <w:p w14:paraId="142FC0E7" w14:textId="253AB47D" w:rsidR="00BA160A" w:rsidRPr="00722521" w:rsidRDefault="00BA160A" w:rsidP="00A155F5">
      <w:pPr>
        <w:mirrorIndents/>
        <w:rPr>
          <w:b/>
          <w:bCs/>
          <w:sz w:val="17"/>
          <w:szCs w:val="17"/>
        </w:rPr>
      </w:pPr>
      <w:r w:rsidRPr="00722521">
        <w:rPr>
          <w:b/>
          <w:sz w:val="17"/>
          <w:szCs w:val="17"/>
          <w:highlight w:val="lightGray"/>
        </w:rPr>
        <w:t xml:space="preserve">Question 3.2 Please assess ESMA’s performance as a direct supervisor </w:t>
      </w:r>
      <w:proofErr w:type="gramStart"/>
      <w:r w:rsidRPr="00722521">
        <w:rPr>
          <w:b/>
          <w:sz w:val="17"/>
          <w:szCs w:val="17"/>
          <w:highlight w:val="lightGray"/>
        </w:rPr>
        <w:t>of  the</w:t>
      </w:r>
      <w:proofErr w:type="gramEnd"/>
      <w:r w:rsidRPr="00722521">
        <w:rPr>
          <w:b/>
          <w:sz w:val="17"/>
          <w:szCs w:val="17"/>
          <w:highlight w:val="lightGray"/>
        </w:rPr>
        <w:t xml:space="preserve"> entities below:</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1570"/>
        <w:gridCol w:w="1327"/>
        <w:gridCol w:w="1327"/>
        <w:gridCol w:w="1327"/>
        <w:gridCol w:w="1327"/>
        <w:gridCol w:w="1327"/>
        <w:gridCol w:w="1313"/>
      </w:tblGrid>
      <w:tr w:rsidR="00BA160A" w:rsidRPr="00722521" w14:paraId="2F8D1418" w14:textId="77777777" w:rsidTr="00A155F5">
        <w:trPr>
          <w:trHeight w:hRule="exact" w:val="375"/>
        </w:trPr>
        <w:tc>
          <w:tcPr>
            <w:tcW w:w="825" w:type="pct"/>
            <w:vMerge w:val="restart"/>
            <w:tcBorders>
              <w:top w:val="single" w:sz="8" w:space="0" w:color="BABABA"/>
              <w:left w:val="single" w:sz="8" w:space="0" w:color="BABABA"/>
              <w:bottom w:val="single" w:sz="8" w:space="0" w:color="BABABA"/>
              <w:right w:val="single" w:sz="8" w:space="0" w:color="BABABA"/>
            </w:tcBorders>
          </w:tcPr>
          <w:p w14:paraId="0708294D" w14:textId="77777777" w:rsidR="00BA160A" w:rsidRPr="00722521" w:rsidRDefault="00BA160A" w:rsidP="00A903E6">
            <w:pPr>
              <w:mirrorIndents/>
              <w:rPr>
                <w:sz w:val="17"/>
                <w:szCs w:val="17"/>
              </w:rPr>
            </w:pPr>
          </w:p>
        </w:tc>
        <w:tc>
          <w:tcPr>
            <w:tcW w:w="697" w:type="pct"/>
            <w:tcBorders>
              <w:top w:val="single" w:sz="8" w:space="0" w:color="BABABA"/>
              <w:left w:val="single" w:sz="8" w:space="0" w:color="BABABA"/>
              <w:bottom w:val="nil"/>
              <w:right w:val="single" w:sz="8" w:space="0" w:color="BABABA"/>
            </w:tcBorders>
          </w:tcPr>
          <w:p w14:paraId="5F25181B" w14:textId="77777777" w:rsidR="00BA160A" w:rsidRPr="00722521" w:rsidRDefault="00BA160A" w:rsidP="00A903E6">
            <w:pPr>
              <w:mirrorIndents/>
              <w:rPr>
                <w:sz w:val="17"/>
                <w:szCs w:val="17"/>
              </w:rPr>
            </w:pPr>
          </w:p>
        </w:tc>
        <w:tc>
          <w:tcPr>
            <w:tcW w:w="697" w:type="pct"/>
            <w:tcBorders>
              <w:top w:val="single" w:sz="8" w:space="0" w:color="BABABA"/>
              <w:left w:val="single" w:sz="8" w:space="0" w:color="BABABA"/>
              <w:bottom w:val="nil"/>
              <w:right w:val="single" w:sz="8" w:space="0" w:color="BABABA"/>
            </w:tcBorders>
          </w:tcPr>
          <w:p w14:paraId="2D1AB94C" w14:textId="77777777" w:rsidR="00BA160A" w:rsidRPr="00722521" w:rsidRDefault="00BA160A" w:rsidP="00A903E6">
            <w:pPr>
              <w:mirrorIndents/>
              <w:rPr>
                <w:sz w:val="17"/>
                <w:szCs w:val="17"/>
              </w:rPr>
            </w:pPr>
          </w:p>
        </w:tc>
        <w:tc>
          <w:tcPr>
            <w:tcW w:w="697" w:type="pct"/>
            <w:tcBorders>
              <w:top w:val="single" w:sz="8" w:space="0" w:color="BABABA"/>
              <w:left w:val="single" w:sz="8" w:space="0" w:color="BABABA"/>
              <w:bottom w:val="nil"/>
              <w:right w:val="single" w:sz="8" w:space="0" w:color="BABABA"/>
            </w:tcBorders>
          </w:tcPr>
          <w:p w14:paraId="75436B41" w14:textId="77777777" w:rsidR="00BA160A" w:rsidRPr="00722521" w:rsidRDefault="00BA160A" w:rsidP="00A903E6">
            <w:pPr>
              <w:mirrorIndents/>
              <w:rPr>
                <w:sz w:val="17"/>
                <w:szCs w:val="17"/>
              </w:rPr>
            </w:pPr>
          </w:p>
        </w:tc>
        <w:tc>
          <w:tcPr>
            <w:tcW w:w="697" w:type="pct"/>
            <w:tcBorders>
              <w:top w:val="single" w:sz="8" w:space="0" w:color="BABABA"/>
              <w:left w:val="single" w:sz="8" w:space="0" w:color="BABABA"/>
              <w:bottom w:val="nil"/>
              <w:right w:val="single" w:sz="8" w:space="0" w:color="BABABA"/>
            </w:tcBorders>
          </w:tcPr>
          <w:p w14:paraId="367683DE" w14:textId="77777777" w:rsidR="00BA160A" w:rsidRPr="00722521" w:rsidRDefault="00BA160A" w:rsidP="00A903E6">
            <w:pPr>
              <w:mirrorIndents/>
              <w:rPr>
                <w:sz w:val="17"/>
                <w:szCs w:val="17"/>
              </w:rPr>
            </w:pPr>
          </w:p>
        </w:tc>
        <w:tc>
          <w:tcPr>
            <w:tcW w:w="697" w:type="pct"/>
            <w:tcBorders>
              <w:top w:val="single" w:sz="8" w:space="0" w:color="BABABA"/>
              <w:left w:val="single" w:sz="8" w:space="0" w:color="BABABA"/>
              <w:bottom w:val="nil"/>
              <w:right w:val="single" w:sz="8" w:space="0" w:color="BABABA"/>
            </w:tcBorders>
          </w:tcPr>
          <w:p w14:paraId="7BAD9ACF" w14:textId="77777777" w:rsidR="00BA160A" w:rsidRPr="00722521" w:rsidRDefault="00BA160A" w:rsidP="00A903E6">
            <w:pPr>
              <w:mirrorIndents/>
              <w:rPr>
                <w:sz w:val="17"/>
                <w:szCs w:val="17"/>
              </w:rPr>
            </w:pPr>
          </w:p>
        </w:tc>
        <w:tc>
          <w:tcPr>
            <w:tcW w:w="692" w:type="pct"/>
            <w:tcBorders>
              <w:top w:val="single" w:sz="8" w:space="0" w:color="BABABA"/>
              <w:left w:val="single" w:sz="8" w:space="0" w:color="BABABA"/>
              <w:bottom w:val="nil"/>
              <w:right w:val="single" w:sz="2" w:space="0" w:color="BABABA"/>
            </w:tcBorders>
            <w:hideMark/>
          </w:tcPr>
          <w:p w14:paraId="4E18FC1F" w14:textId="77777777" w:rsidR="00BA160A" w:rsidRPr="00722521" w:rsidRDefault="00BA160A" w:rsidP="00A903E6">
            <w:pPr>
              <w:pStyle w:val="TableParagraph"/>
              <w:mirrorIndents/>
              <w:rPr>
                <w:szCs w:val="17"/>
              </w:rPr>
            </w:pPr>
            <w:r w:rsidRPr="00722521">
              <w:rPr>
                <w:w w:val="105"/>
                <w:szCs w:val="17"/>
              </w:rPr>
              <w:t>Don't</w:t>
            </w:r>
          </w:p>
        </w:tc>
      </w:tr>
      <w:tr w:rsidR="00BA160A" w:rsidRPr="00722521" w14:paraId="44B26784" w14:textId="77777777" w:rsidTr="00A155F5">
        <w:trPr>
          <w:trHeight w:hRule="exact" w:val="597"/>
        </w:trPr>
        <w:tc>
          <w:tcPr>
            <w:tcW w:w="825" w:type="pct"/>
            <w:vMerge/>
            <w:tcBorders>
              <w:top w:val="single" w:sz="8" w:space="0" w:color="BABABA"/>
              <w:left w:val="single" w:sz="8" w:space="0" w:color="BABABA"/>
              <w:bottom w:val="single" w:sz="8" w:space="0" w:color="BABABA"/>
              <w:right w:val="single" w:sz="8" w:space="0" w:color="BABABA"/>
            </w:tcBorders>
            <w:vAlign w:val="center"/>
            <w:hideMark/>
          </w:tcPr>
          <w:p w14:paraId="5248A699" w14:textId="77777777" w:rsidR="00BA160A" w:rsidRPr="00722521" w:rsidRDefault="00BA160A" w:rsidP="00A903E6">
            <w:pPr>
              <w:jc w:val="left"/>
              <w:rPr>
                <w:rFonts w:eastAsia="Microsoft Sans Serif" w:cs="Microsoft Sans Serif"/>
                <w:sz w:val="17"/>
                <w:szCs w:val="17"/>
              </w:rPr>
            </w:pPr>
          </w:p>
        </w:tc>
        <w:tc>
          <w:tcPr>
            <w:tcW w:w="697" w:type="pct"/>
            <w:tcBorders>
              <w:top w:val="nil"/>
              <w:left w:val="single" w:sz="8" w:space="0" w:color="BABABA"/>
              <w:bottom w:val="nil"/>
              <w:right w:val="single" w:sz="8" w:space="0" w:color="BABABA"/>
            </w:tcBorders>
            <w:hideMark/>
          </w:tcPr>
          <w:p w14:paraId="482C192B" w14:textId="77777777" w:rsidR="00BA160A" w:rsidRPr="00722521" w:rsidRDefault="00BA160A" w:rsidP="00A903E6">
            <w:pPr>
              <w:pStyle w:val="TableParagraph"/>
              <w:mirrorIndents/>
              <w:rPr>
                <w:szCs w:val="17"/>
              </w:rPr>
            </w:pPr>
            <w:r w:rsidRPr="00722521">
              <w:rPr>
                <w:w w:val="99"/>
                <w:szCs w:val="17"/>
              </w:rPr>
              <w:t>1</w:t>
            </w:r>
          </w:p>
        </w:tc>
        <w:tc>
          <w:tcPr>
            <w:tcW w:w="697" w:type="pct"/>
            <w:tcBorders>
              <w:top w:val="nil"/>
              <w:left w:val="single" w:sz="8" w:space="0" w:color="BABABA"/>
              <w:bottom w:val="nil"/>
              <w:right w:val="single" w:sz="8" w:space="0" w:color="BABABA"/>
            </w:tcBorders>
            <w:hideMark/>
          </w:tcPr>
          <w:p w14:paraId="5ECE5B70" w14:textId="77777777" w:rsidR="00BA160A" w:rsidRPr="00722521" w:rsidRDefault="00BA160A" w:rsidP="00A903E6">
            <w:pPr>
              <w:pStyle w:val="TableParagraph"/>
              <w:mirrorIndents/>
              <w:rPr>
                <w:szCs w:val="17"/>
              </w:rPr>
            </w:pPr>
            <w:r w:rsidRPr="00722521">
              <w:rPr>
                <w:w w:val="99"/>
                <w:szCs w:val="17"/>
              </w:rPr>
              <w:t>2</w:t>
            </w:r>
          </w:p>
        </w:tc>
        <w:tc>
          <w:tcPr>
            <w:tcW w:w="697" w:type="pct"/>
            <w:tcBorders>
              <w:top w:val="nil"/>
              <w:left w:val="single" w:sz="8" w:space="0" w:color="BABABA"/>
              <w:bottom w:val="nil"/>
              <w:right w:val="single" w:sz="8" w:space="0" w:color="BABABA"/>
            </w:tcBorders>
            <w:hideMark/>
          </w:tcPr>
          <w:p w14:paraId="2D96C935" w14:textId="77777777" w:rsidR="00BA160A" w:rsidRPr="00722521" w:rsidRDefault="00BA160A" w:rsidP="00A903E6">
            <w:pPr>
              <w:pStyle w:val="TableParagraph"/>
              <w:mirrorIndents/>
              <w:rPr>
                <w:szCs w:val="17"/>
              </w:rPr>
            </w:pPr>
            <w:r w:rsidRPr="00722521">
              <w:rPr>
                <w:w w:val="99"/>
                <w:szCs w:val="17"/>
              </w:rPr>
              <w:t>3</w:t>
            </w:r>
          </w:p>
        </w:tc>
        <w:tc>
          <w:tcPr>
            <w:tcW w:w="697" w:type="pct"/>
            <w:tcBorders>
              <w:top w:val="nil"/>
              <w:left w:val="single" w:sz="8" w:space="0" w:color="BABABA"/>
              <w:bottom w:val="nil"/>
              <w:right w:val="single" w:sz="8" w:space="0" w:color="BABABA"/>
            </w:tcBorders>
            <w:hideMark/>
          </w:tcPr>
          <w:p w14:paraId="0CB1B0DA" w14:textId="77777777" w:rsidR="00BA160A" w:rsidRPr="00722521" w:rsidRDefault="00BA160A" w:rsidP="00A903E6">
            <w:pPr>
              <w:pStyle w:val="TableParagraph"/>
              <w:mirrorIndents/>
              <w:rPr>
                <w:szCs w:val="17"/>
              </w:rPr>
            </w:pPr>
            <w:r w:rsidRPr="00722521">
              <w:rPr>
                <w:w w:val="99"/>
                <w:szCs w:val="17"/>
              </w:rPr>
              <w:t>4</w:t>
            </w:r>
          </w:p>
        </w:tc>
        <w:tc>
          <w:tcPr>
            <w:tcW w:w="697" w:type="pct"/>
            <w:tcBorders>
              <w:top w:val="nil"/>
              <w:left w:val="single" w:sz="8" w:space="0" w:color="BABABA"/>
              <w:bottom w:val="nil"/>
              <w:right w:val="single" w:sz="8" w:space="0" w:color="BABABA"/>
            </w:tcBorders>
            <w:hideMark/>
          </w:tcPr>
          <w:p w14:paraId="17DA5052" w14:textId="77777777" w:rsidR="00BA160A" w:rsidRPr="00722521" w:rsidRDefault="00BA160A" w:rsidP="00A903E6">
            <w:pPr>
              <w:pStyle w:val="TableParagraph"/>
              <w:mirrorIndents/>
              <w:rPr>
                <w:szCs w:val="17"/>
              </w:rPr>
            </w:pPr>
            <w:r w:rsidRPr="00722521">
              <w:rPr>
                <w:w w:val="99"/>
                <w:szCs w:val="17"/>
              </w:rPr>
              <w:t>5</w:t>
            </w:r>
          </w:p>
        </w:tc>
        <w:tc>
          <w:tcPr>
            <w:tcW w:w="692" w:type="pct"/>
            <w:tcBorders>
              <w:top w:val="nil"/>
              <w:left w:val="single" w:sz="8" w:space="0" w:color="BABABA"/>
              <w:bottom w:val="nil"/>
              <w:right w:val="single" w:sz="2" w:space="0" w:color="BABABA"/>
            </w:tcBorders>
            <w:hideMark/>
          </w:tcPr>
          <w:p w14:paraId="2D482B50" w14:textId="77777777" w:rsidR="00BA160A" w:rsidRPr="00722521" w:rsidRDefault="00BA160A" w:rsidP="00A903E6">
            <w:pPr>
              <w:pStyle w:val="TableParagraph"/>
              <w:ind w:hanging="136"/>
              <w:mirrorIndents/>
              <w:rPr>
                <w:szCs w:val="17"/>
              </w:rPr>
            </w:pPr>
            <w:r w:rsidRPr="00722521">
              <w:rPr>
                <w:w w:val="105"/>
                <w:szCs w:val="17"/>
              </w:rPr>
              <w:t>know - No</w:t>
            </w:r>
          </w:p>
        </w:tc>
      </w:tr>
      <w:tr w:rsidR="00BA160A" w:rsidRPr="00722521" w14:paraId="66649085" w14:textId="77777777" w:rsidTr="00A155F5">
        <w:trPr>
          <w:trHeight w:hRule="exact" w:val="291"/>
        </w:trPr>
        <w:tc>
          <w:tcPr>
            <w:tcW w:w="825" w:type="pct"/>
            <w:vMerge/>
            <w:tcBorders>
              <w:top w:val="single" w:sz="8" w:space="0" w:color="BABABA"/>
              <w:left w:val="single" w:sz="8" w:space="0" w:color="BABABA"/>
              <w:bottom w:val="single" w:sz="8" w:space="0" w:color="BABABA"/>
              <w:right w:val="single" w:sz="8" w:space="0" w:color="BABABA"/>
            </w:tcBorders>
            <w:vAlign w:val="center"/>
            <w:hideMark/>
          </w:tcPr>
          <w:p w14:paraId="0B3A096D" w14:textId="77777777" w:rsidR="00BA160A" w:rsidRPr="00722521" w:rsidRDefault="00BA160A" w:rsidP="00A903E6">
            <w:pPr>
              <w:jc w:val="left"/>
              <w:rPr>
                <w:rFonts w:eastAsia="Microsoft Sans Serif" w:cs="Microsoft Sans Serif"/>
                <w:sz w:val="17"/>
                <w:szCs w:val="17"/>
              </w:rPr>
            </w:pPr>
          </w:p>
        </w:tc>
        <w:tc>
          <w:tcPr>
            <w:tcW w:w="697" w:type="pct"/>
            <w:tcBorders>
              <w:top w:val="nil"/>
              <w:left w:val="single" w:sz="8" w:space="0" w:color="BABABA"/>
              <w:bottom w:val="nil"/>
              <w:right w:val="single" w:sz="8" w:space="0" w:color="BABABA"/>
            </w:tcBorders>
            <w:hideMark/>
          </w:tcPr>
          <w:p w14:paraId="4C883F3D" w14:textId="77777777" w:rsidR="00BA160A" w:rsidRPr="00722521" w:rsidRDefault="00BA160A" w:rsidP="00A903E6">
            <w:pPr>
              <w:pStyle w:val="TableParagraph"/>
              <w:mirrorIndents/>
              <w:rPr>
                <w:szCs w:val="17"/>
              </w:rPr>
            </w:pPr>
            <w:r w:rsidRPr="00722521">
              <w:rPr>
                <w:szCs w:val="17"/>
              </w:rPr>
              <w:t>(lowest</w:t>
            </w:r>
          </w:p>
        </w:tc>
        <w:tc>
          <w:tcPr>
            <w:tcW w:w="697" w:type="pct"/>
            <w:tcBorders>
              <w:top w:val="nil"/>
              <w:left w:val="single" w:sz="8" w:space="0" w:color="BABABA"/>
              <w:bottom w:val="nil"/>
              <w:right w:val="single" w:sz="8" w:space="0" w:color="BABABA"/>
            </w:tcBorders>
          </w:tcPr>
          <w:p w14:paraId="21EEDA2F"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tcPr>
          <w:p w14:paraId="6334FA70"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tcPr>
          <w:p w14:paraId="027891D4"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hideMark/>
          </w:tcPr>
          <w:p w14:paraId="667F1E25" w14:textId="77777777" w:rsidR="00BA160A" w:rsidRPr="00722521" w:rsidRDefault="00BA160A" w:rsidP="00A903E6">
            <w:pPr>
              <w:pStyle w:val="TableParagraph"/>
              <w:mirrorIndents/>
              <w:rPr>
                <w:szCs w:val="17"/>
              </w:rPr>
            </w:pPr>
            <w:r w:rsidRPr="00722521">
              <w:rPr>
                <w:szCs w:val="17"/>
              </w:rPr>
              <w:t>(highest</w:t>
            </w:r>
          </w:p>
        </w:tc>
        <w:tc>
          <w:tcPr>
            <w:tcW w:w="692" w:type="pct"/>
            <w:tcBorders>
              <w:top w:val="nil"/>
              <w:left w:val="single" w:sz="8" w:space="0" w:color="BABABA"/>
              <w:bottom w:val="nil"/>
              <w:right w:val="single" w:sz="2" w:space="0" w:color="BABABA"/>
            </w:tcBorders>
            <w:hideMark/>
          </w:tcPr>
          <w:p w14:paraId="35B4711F" w14:textId="77777777" w:rsidR="00BA160A" w:rsidRPr="00722521" w:rsidRDefault="00BA160A" w:rsidP="00A903E6">
            <w:pPr>
              <w:pStyle w:val="TableParagraph"/>
              <w:mirrorIndents/>
              <w:rPr>
                <w:szCs w:val="17"/>
              </w:rPr>
            </w:pPr>
            <w:r w:rsidRPr="00722521">
              <w:rPr>
                <w:szCs w:val="17"/>
              </w:rPr>
              <w:t>opinion -</w:t>
            </w:r>
          </w:p>
        </w:tc>
      </w:tr>
      <w:tr w:rsidR="00BA160A" w:rsidRPr="00722521" w14:paraId="21EFDDDA" w14:textId="77777777" w:rsidTr="00A155F5">
        <w:trPr>
          <w:trHeight w:hRule="exact" w:val="296"/>
        </w:trPr>
        <w:tc>
          <w:tcPr>
            <w:tcW w:w="825" w:type="pct"/>
            <w:vMerge/>
            <w:tcBorders>
              <w:top w:val="single" w:sz="8" w:space="0" w:color="BABABA"/>
              <w:left w:val="single" w:sz="8" w:space="0" w:color="BABABA"/>
              <w:bottom w:val="single" w:sz="8" w:space="0" w:color="BABABA"/>
              <w:right w:val="single" w:sz="8" w:space="0" w:color="BABABA"/>
            </w:tcBorders>
            <w:vAlign w:val="center"/>
            <w:hideMark/>
          </w:tcPr>
          <w:p w14:paraId="3B092B7D" w14:textId="77777777" w:rsidR="00BA160A" w:rsidRPr="00722521" w:rsidRDefault="00BA160A" w:rsidP="00A903E6">
            <w:pPr>
              <w:jc w:val="left"/>
              <w:rPr>
                <w:rFonts w:eastAsia="Microsoft Sans Serif" w:cs="Microsoft Sans Serif"/>
                <w:sz w:val="17"/>
                <w:szCs w:val="17"/>
              </w:rPr>
            </w:pPr>
          </w:p>
        </w:tc>
        <w:tc>
          <w:tcPr>
            <w:tcW w:w="697" w:type="pct"/>
            <w:tcBorders>
              <w:top w:val="nil"/>
              <w:left w:val="single" w:sz="8" w:space="0" w:color="BABABA"/>
              <w:bottom w:val="nil"/>
              <w:right w:val="single" w:sz="8" w:space="0" w:color="BABABA"/>
            </w:tcBorders>
            <w:hideMark/>
          </w:tcPr>
          <w:p w14:paraId="69D626D6" w14:textId="77777777" w:rsidR="00BA160A" w:rsidRPr="00722521" w:rsidRDefault="00BA160A" w:rsidP="00A903E6">
            <w:pPr>
              <w:pStyle w:val="TableParagraph"/>
              <w:mirrorIndents/>
              <w:rPr>
                <w:szCs w:val="17"/>
              </w:rPr>
            </w:pPr>
            <w:r w:rsidRPr="00722521">
              <w:rPr>
                <w:w w:val="105"/>
                <w:szCs w:val="17"/>
              </w:rPr>
              <w:t>rate</w:t>
            </w:r>
          </w:p>
        </w:tc>
        <w:tc>
          <w:tcPr>
            <w:tcW w:w="697" w:type="pct"/>
            <w:tcBorders>
              <w:top w:val="nil"/>
              <w:left w:val="single" w:sz="8" w:space="0" w:color="BABABA"/>
              <w:bottom w:val="nil"/>
              <w:right w:val="single" w:sz="8" w:space="0" w:color="BABABA"/>
            </w:tcBorders>
          </w:tcPr>
          <w:p w14:paraId="579CC412"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tcPr>
          <w:p w14:paraId="341AC8B2"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tcPr>
          <w:p w14:paraId="02922C8F" w14:textId="77777777" w:rsidR="00BA160A" w:rsidRPr="00722521" w:rsidRDefault="00BA160A" w:rsidP="00A903E6">
            <w:pPr>
              <w:mirrorIndents/>
              <w:rPr>
                <w:sz w:val="17"/>
                <w:szCs w:val="17"/>
              </w:rPr>
            </w:pPr>
          </w:p>
        </w:tc>
        <w:tc>
          <w:tcPr>
            <w:tcW w:w="697" w:type="pct"/>
            <w:tcBorders>
              <w:top w:val="nil"/>
              <w:left w:val="single" w:sz="8" w:space="0" w:color="BABABA"/>
              <w:bottom w:val="nil"/>
              <w:right w:val="single" w:sz="8" w:space="0" w:color="BABABA"/>
            </w:tcBorders>
            <w:hideMark/>
          </w:tcPr>
          <w:p w14:paraId="3CC41FE6" w14:textId="77777777" w:rsidR="00BA160A" w:rsidRPr="00722521" w:rsidRDefault="00BA160A" w:rsidP="00A903E6">
            <w:pPr>
              <w:pStyle w:val="TableParagraph"/>
              <w:mirrorIndents/>
              <w:rPr>
                <w:szCs w:val="17"/>
              </w:rPr>
            </w:pPr>
            <w:r w:rsidRPr="00722521">
              <w:rPr>
                <w:w w:val="105"/>
                <w:szCs w:val="17"/>
              </w:rPr>
              <w:t>rate)</w:t>
            </w:r>
          </w:p>
        </w:tc>
        <w:tc>
          <w:tcPr>
            <w:tcW w:w="692" w:type="pct"/>
            <w:tcBorders>
              <w:top w:val="nil"/>
              <w:left w:val="single" w:sz="8" w:space="0" w:color="BABABA"/>
              <w:bottom w:val="nil"/>
              <w:right w:val="single" w:sz="2" w:space="0" w:color="BABABA"/>
            </w:tcBorders>
            <w:hideMark/>
          </w:tcPr>
          <w:p w14:paraId="4B088C01" w14:textId="77777777" w:rsidR="00BA160A" w:rsidRPr="00722521" w:rsidRDefault="00BA160A" w:rsidP="00A903E6">
            <w:pPr>
              <w:pStyle w:val="TableParagraph"/>
              <w:mirrorIndents/>
              <w:rPr>
                <w:szCs w:val="17"/>
              </w:rPr>
            </w:pPr>
            <w:r w:rsidRPr="00722521">
              <w:rPr>
                <w:w w:val="105"/>
                <w:szCs w:val="17"/>
              </w:rPr>
              <w:t>Not</w:t>
            </w:r>
          </w:p>
        </w:tc>
      </w:tr>
      <w:tr w:rsidR="00BA160A" w:rsidRPr="00722521" w14:paraId="19BFE0AF" w14:textId="77777777" w:rsidTr="00A155F5">
        <w:trPr>
          <w:trHeight w:hRule="exact" w:val="398"/>
        </w:trPr>
        <w:tc>
          <w:tcPr>
            <w:tcW w:w="825" w:type="pct"/>
            <w:vMerge/>
            <w:tcBorders>
              <w:top w:val="single" w:sz="8" w:space="0" w:color="BABABA"/>
              <w:left w:val="single" w:sz="8" w:space="0" w:color="BABABA"/>
              <w:bottom w:val="single" w:sz="8" w:space="0" w:color="BABABA"/>
              <w:right w:val="single" w:sz="8" w:space="0" w:color="BABABA"/>
            </w:tcBorders>
            <w:vAlign w:val="center"/>
            <w:hideMark/>
          </w:tcPr>
          <w:p w14:paraId="0A1EC5B9" w14:textId="77777777" w:rsidR="00BA160A" w:rsidRPr="00722521" w:rsidRDefault="00BA160A" w:rsidP="00A903E6">
            <w:pPr>
              <w:jc w:val="left"/>
              <w:rPr>
                <w:rFonts w:eastAsia="Microsoft Sans Serif" w:cs="Microsoft Sans Serif"/>
                <w:sz w:val="17"/>
                <w:szCs w:val="17"/>
              </w:rPr>
            </w:pPr>
          </w:p>
        </w:tc>
        <w:tc>
          <w:tcPr>
            <w:tcW w:w="697" w:type="pct"/>
            <w:tcBorders>
              <w:top w:val="nil"/>
              <w:left w:val="single" w:sz="8" w:space="0" w:color="BABABA"/>
              <w:bottom w:val="single" w:sz="8" w:space="0" w:color="BABABA"/>
              <w:right w:val="single" w:sz="8" w:space="0" w:color="BABABA"/>
            </w:tcBorders>
          </w:tcPr>
          <w:p w14:paraId="5993EF4C" w14:textId="77777777" w:rsidR="00BA160A" w:rsidRPr="00722521" w:rsidRDefault="00BA160A" w:rsidP="00A903E6">
            <w:pPr>
              <w:mirrorIndents/>
              <w:rPr>
                <w:sz w:val="17"/>
                <w:szCs w:val="17"/>
              </w:rPr>
            </w:pPr>
          </w:p>
        </w:tc>
        <w:tc>
          <w:tcPr>
            <w:tcW w:w="697" w:type="pct"/>
            <w:tcBorders>
              <w:top w:val="nil"/>
              <w:left w:val="single" w:sz="8" w:space="0" w:color="BABABA"/>
              <w:bottom w:val="single" w:sz="8" w:space="0" w:color="BABABA"/>
              <w:right w:val="single" w:sz="8" w:space="0" w:color="BABABA"/>
            </w:tcBorders>
          </w:tcPr>
          <w:p w14:paraId="1B500D14" w14:textId="77777777" w:rsidR="00BA160A" w:rsidRPr="00722521" w:rsidRDefault="00BA160A" w:rsidP="00A903E6">
            <w:pPr>
              <w:mirrorIndents/>
              <w:rPr>
                <w:sz w:val="17"/>
                <w:szCs w:val="17"/>
              </w:rPr>
            </w:pPr>
          </w:p>
        </w:tc>
        <w:tc>
          <w:tcPr>
            <w:tcW w:w="697" w:type="pct"/>
            <w:tcBorders>
              <w:top w:val="nil"/>
              <w:left w:val="single" w:sz="8" w:space="0" w:color="BABABA"/>
              <w:bottom w:val="single" w:sz="8" w:space="0" w:color="BABABA"/>
              <w:right w:val="single" w:sz="8" w:space="0" w:color="BABABA"/>
            </w:tcBorders>
          </w:tcPr>
          <w:p w14:paraId="69128344" w14:textId="77777777" w:rsidR="00BA160A" w:rsidRPr="00722521" w:rsidRDefault="00BA160A" w:rsidP="00A903E6">
            <w:pPr>
              <w:mirrorIndents/>
              <w:rPr>
                <w:sz w:val="17"/>
                <w:szCs w:val="17"/>
              </w:rPr>
            </w:pPr>
          </w:p>
        </w:tc>
        <w:tc>
          <w:tcPr>
            <w:tcW w:w="697" w:type="pct"/>
            <w:tcBorders>
              <w:top w:val="nil"/>
              <w:left w:val="single" w:sz="8" w:space="0" w:color="BABABA"/>
              <w:bottom w:val="single" w:sz="8" w:space="0" w:color="BABABA"/>
              <w:right w:val="single" w:sz="8" w:space="0" w:color="BABABA"/>
            </w:tcBorders>
          </w:tcPr>
          <w:p w14:paraId="0642C117" w14:textId="77777777" w:rsidR="00BA160A" w:rsidRPr="00722521" w:rsidRDefault="00BA160A" w:rsidP="00A903E6">
            <w:pPr>
              <w:mirrorIndents/>
              <w:rPr>
                <w:sz w:val="17"/>
                <w:szCs w:val="17"/>
              </w:rPr>
            </w:pPr>
          </w:p>
        </w:tc>
        <w:tc>
          <w:tcPr>
            <w:tcW w:w="697" w:type="pct"/>
            <w:tcBorders>
              <w:top w:val="nil"/>
              <w:left w:val="single" w:sz="8" w:space="0" w:color="BABABA"/>
              <w:bottom w:val="single" w:sz="8" w:space="0" w:color="BABABA"/>
              <w:right w:val="single" w:sz="8" w:space="0" w:color="BABABA"/>
            </w:tcBorders>
          </w:tcPr>
          <w:p w14:paraId="49F64CB9" w14:textId="77777777" w:rsidR="00BA160A" w:rsidRPr="00722521" w:rsidRDefault="00BA160A" w:rsidP="00A903E6">
            <w:pPr>
              <w:mirrorIndents/>
              <w:rPr>
                <w:sz w:val="17"/>
                <w:szCs w:val="17"/>
              </w:rPr>
            </w:pPr>
          </w:p>
        </w:tc>
        <w:tc>
          <w:tcPr>
            <w:tcW w:w="692" w:type="pct"/>
            <w:tcBorders>
              <w:top w:val="nil"/>
              <w:left w:val="single" w:sz="8" w:space="0" w:color="BABABA"/>
              <w:bottom w:val="single" w:sz="8" w:space="0" w:color="BABABA"/>
              <w:right w:val="single" w:sz="2" w:space="0" w:color="BABABA"/>
            </w:tcBorders>
            <w:hideMark/>
          </w:tcPr>
          <w:p w14:paraId="08EA25FC" w14:textId="77777777" w:rsidR="00BA160A" w:rsidRPr="00722521" w:rsidRDefault="00BA160A" w:rsidP="00A903E6">
            <w:pPr>
              <w:pStyle w:val="TableParagraph"/>
              <w:mirrorIndents/>
              <w:rPr>
                <w:szCs w:val="17"/>
              </w:rPr>
            </w:pPr>
            <w:r w:rsidRPr="00722521">
              <w:rPr>
                <w:szCs w:val="17"/>
              </w:rPr>
              <w:t>applicable</w:t>
            </w:r>
          </w:p>
        </w:tc>
      </w:tr>
      <w:tr w:rsidR="00BA160A" w:rsidRPr="00722521" w14:paraId="650202CF" w14:textId="77777777" w:rsidTr="00A155F5">
        <w:trPr>
          <w:trHeight w:hRule="exact" w:val="929"/>
        </w:trPr>
        <w:tc>
          <w:tcPr>
            <w:tcW w:w="825" w:type="pct"/>
            <w:tcBorders>
              <w:top w:val="single" w:sz="8" w:space="0" w:color="BABABA"/>
              <w:left w:val="single" w:sz="8" w:space="0" w:color="BABABA"/>
              <w:bottom w:val="single" w:sz="8" w:space="0" w:color="BABABA"/>
              <w:right w:val="single" w:sz="8" w:space="0" w:color="BABABA"/>
            </w:tcBorders>
            <w:hideMark/>
          </w:tcPr>
          <w:p w14:paraId="711B4C86" w14:textId="77777777" w:rsidR="00BA160A" w:rsidRPr="00722521" w:rsidRDefault="00BA160A" w:rsidP="00A903E6">
            <w:pPr>
              <w:pStyle w:val="TableParagraph"/>
              <w:mirrorIndents/>
              <w:rPr>
                <w:szCs w:val="17"/>
              </w:rPr>
            </w:pPr>
            <w:r w:rsidRPr="00722521">
              <w:rPr>
                <w:szCs w:val="17"/>
              </w:rPr>
              <w:t>Credit Rating Agencies</w:t>
            </w:r>
          </w:p>
        </w:tc>
        <w:tc>
          <w:tcPr>
            <w:tcW w:w="697" w:type="pct"/>
            <w:tcBorders>
              <w:top w:val="single" w:sz="8" w:space="0" w:color="BABABA"/>
              <w:left w:val="single" w:sz="8" w:space="0" w:color="BABABA"/>
              <w:bottom w:val="single" w:sz="8" w:space="0" w:color="BABABA"/>
              <w:right w:val="single" w:sz="8" w:space="0" w:color="BABABA"/>
            </w:tcBorders>
          </w:tcPr>
          <w:p w14:paraId="668B934E"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72E8B4CD"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6C94815C"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689D2AF2"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20C03882" w14:textId="77777777" w:rsidR="00BA160A" w:rsidRPr="00722521" w:rsidRDefault="00BA160A" w:rsidP="00A903E6">
            <w:pPr>
              <w:pStyle w:val="TableParagraph"/>
              <w:mirrorIndents/>
              <w:rPr>
                <w:b/>
                <w:szCs w:val="17"/>
              </w:rPr>
            </w:pPr>
          </w:p>
        </w:tc>
        <w:tc>
          <w:tcPr>
            <w:tcW w:w="692" w:type="pct"/>
            <w:tcBorders>
              <w:top w:val="single" w:sz="8" w:space="0" w:color="BABABA"/>
              <w:left w:val="single" w:sz="8" w:space="0" w:color="BABABA"/>
              <w:bottom w:val="single" w:sz="8" w:space="0" w:color="BABABA"/>
              <w:right w:val="single" w:sz="2" w:space="0" w:color="BABABA"/>
            </w:tcBorders>
          </w:tcPr>
          <w:p w14:paraId="4FCF7681" w14:textId="5581031E" w:rsidR="00BA160A" w:rsidRPr="00722521" w:rsidRDefault="00FF0043" w:rsidP="00A903E6">
            <w:pPr>
              <w:pStyle w:val="TableParagraph"/>
              <w:mirrorIndents/>
              <w:rPr>
                <w:b/>
                <w:szCs w:val="17"/>
              </w:rPr>
            </w:pPr>
            <w:r w:rsidRPr="00722521">
              <w:rPr>
                <w:b/>
                <w:szCs w:val="17"/>
              </w:rPr>
              <w:t>x</w:t>
            </w:r>
          </w:p>
        </w:tc>
      </w:tr>
      <w:tr w:rsidR="00BA160A" w:rsidRPr="00722521" w14:paraId="1BA566E3" w14:textId="77777777" w:rsidTr="00A155F5">
        <w:trPr>
          <w:trHeight w:hRule="exact" w:val="1226"/>
        </w:trPr>
        <w:tc>
          <w:tcPr>
            <w:tcW w:w="825" w:type="pct"/>
            <w:tcBorders>
              <w:top w:val="single" w:sz="8" w:space="0" w:color="BABABA"/>
              <w:left w:val="single" w:sz="8" w:space="0" w:color="BABABA"/>
              <w:bottom w:val="single" w:sz="8" w:space="0" w:color="BABABA"/>
              <w:right w:val="single" w:sz="8" w:space="0" w:color="BABABA"/>
            </w:tcBorders>
            <w:hideMark/>
          </w:tcPr>
          <w:p w14:paraId="1932B823" w14:textId="77777777" w:rsidR="00BA160A" w:rsidRPr="00722521" w:rsidRDefault="00BA160A" w:rsidP="00A903E6">
            <w:pPr>
              <w:pStyle w:val="TableParagraph"/>
              <w:mirrorIndents/>
              <w:rPr>
                <w:szCs w:val="17"/>
              </w:rPr>
            </w:pPr>
            <w:r w:rsidRPr="00722521">
              <w:rPr>
                <w:w w:val="105"/>
                <w:szCs w:val="17"/>
              </w:rPr>
              <w:t xml:space="preserve">Trade </w:t>
            </w:r>
            <w:r w:rsidRPr="00722521">
              <w:rPr>
                <w:szCs w:val="17"/>
              </w:rPr>
              <w:t xml:space="preserve">Repositories </w:t>
            </w:r>
            <w:r w:rsidRPr="00722521">
              <w:rPr>
                <w:w w:val="105"/>
                <w:szCs w:val="17"/>
              </w:rPr>
              <w:t>under EMIR</w:t>
            </w:r>
          </w:p>
        </w:tc>
        <w:tc>
          <w:tcPr>
            <w:tcW w:w="697" w:type="pct"/>
            <w:tcBorders>
              <w:top w:val="single" w:sz="8" w:space="0" w:color="BABABA"/>
              <w:left w:val="single" w:sz="8" w:space="0" w:color="BABABA"/>
              <w:bottom w:val="single" w:sz="8" w:space="0" w:color="BABABA"/>
              <w:right w:val="single" w:sz="8" w:space="0" w:color="BABABA"/>
            </w:tcBorders>
          </w:tcPr>
          <w:p w14:paraId="4629716F"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49D5D77D" w14:textId="77777777" w:rsidR="00BA160A" w:rsidRPr="00722521" w:rsidRDefault="00BA160A" w:rsidP="00A903E6">
            <w:pPr>
              <w:pStyle w:val="TableParagraph"/>
              <w:mirrorIndents/>
              <w:rPr>
                <w:b/>
                <w:szCs w:val="17"/>
                <w:lang w:val="en-GB"/>
              </w:rPr>
            </w:pPr>
          </w:p>
        </w:tc>
        <w:tc>
          <w:tcPr>
            <w:tcW w:w="697" w:type="pct"/>
            <w:tcBorders>
              <w:top w:val="single" w:sz="8" w:space="0" w:color="BABABA"/>
              <w:left w:val="single" w:sz="8" w:space="0" w:color="BABABA"/>
              <w:bottom w:val="single" w:sz="8" w:space="0" w:color="BABABA"/>
              <w:right w:val="single" w:sz="8" w:space="0" w:color="BABABA"/>
            </w:tcBorders>
          </w:tcPr>
          <w:p w14:paraId="056B270F"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3F64F7B0"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09A62A33" w14:textId="77777777" w:rsidR="00BA160A" w:rsidRPr="00722521" w:rsidRDefault="00BA160A" w:rsidP="00A903E6">
            <w:pPr>
              <w:pStyle w:val="TableParagraph"/>
              <w:mirrorIndents/>
              <w:rPr>
                <w:b/>
                <w:szCs w:val="17"/>
              </w:rPr>
            </w:pPr>
          </w:p>
        </w:tc>
        <w:tc>
          <w:tcPr>
            <w:tcW w:w="692" w:type="pct"/>
            <w:tcBorders>
              <w:top w:val="single" w:sz="8" w:space="0" w:color="BABABA"/>
              <w:left w:val="single" w:sz="8" w:space="0" w:color="BABABA"/>
              <w:bottom w:val="single" w:sz="8" w:space="0" w:color="BABABA"/>
              <w:right w:val="single" w:sz="2" w:space="0" w:color="BABABA"/>
            </w:tcBorders>
          </w:tcPr>
          <w:p w14:paraId="552F88F1" w14:textId="437862B2" w:rsidR="00BA160A" w:rsidRPr="00722521" w:rsidRDefault="00FF0043" w:rsidP="00A903E6">
            <w:pPr>
              <w:pStyle w:val="TableParagraph"/>
              <w:mirrorIndents/>
              <w:rPr>
                <w:b/>
                <w:szCs w:val="17"/>
              </w:rPr>
            </w:pPr>
            <w:r w:rsidRPr="00722521">
              <w:rPr>
                <w:b/>
                <w:szCs w:val="17"/>
              </w:rPr>
              <w:t>x</w:t>
            </w:r>
          </w:p>
        </w:tc>
      </w:tr>
      <w:tr w:rsidR="00BA160A" w:rsidRPr="00722521" w14:paraId="0AECC929" w14:textId="77777777" w:rsidTr="00A155F5">
        <w:trPr>
          <w:trHeight w:hRule="exact" w:val="1225"/>
        </w:trPr>
        <w:tc>
          <w:tcPr>
            <w:tcW w:w="825" w:type="pct"/>
            <w:tcBorders>
              <w:top w:val="single" w:sz="8" w:space="0" w:color="BABABA"/>
              <w:left w:val="single" w:sz="8" w:space="0" w:color="BABABA"/>
              <w:bottom w:val="single" w:sz="8" w:space="0" w:color="BABABA"/>
              <w:right w:val="single" w:sz="8" w:space="0" w:color="BABABA"/>
            </w:tcBorders>
            <w:hideMark/>
          </w:tcPr>
          <w:p w14:paraId="3368C412" w14:textId="77777777" w:rsidR="00BA160A" w:rsidRPr="00722521" w:rsidRDefault="00BA160A" w:rsidP="00A903E6">
            <w:pPr>
              <w:pStyle w:val="TableParagraph"/>
              <w:mirrorIndents/>
              <w:rPr>
                <w:szCs w:val="17"/>
              </w:rPr>
            </w:pPr>
            <w:r w:rsidRPr="00722521">
              <w:rPr>
                <w:w w:val="105"/>
                <w:szCs w:val="17"/>
              </w:rPr>
              <w:t xml:space="preserve">Trade </w:t>
            </w:r>
            <w:r w:rsidRPr="00722521">
              <w:rPr>
                <w:szCs w:val="17"/>
              </w:rPr>
              <w:t xml:space="preserve">Repositories </w:t>
            </w:r>
            <w:r w:rsidRPr="00722521">
              <w:rPr>
                <w:w w:val="105"/>
                <w:szCs w:val="17"/>
              </w:rPr>
              <w:t>under SFTR</w:t>
            </w:r>
          </w:p>
        </w:tc>
        <w:tc>
          <w:tcPr>
            <w:tcW w:w="697" w:type="pct"/>
            <w:tcBorders>
              <w:top w:val="single" w:sz="8" w:space="0" w:color="BABABA"/>
              <w:left w:val="single" w:sz="8" w:space="0" w:color="BABABA"/>
              <w:bottom w:val="single" w:sz="8" w:space="0" w:color="BABABA"/>
              <w:right w:val="single" w:sz="8" w:space="0" w:color="BABABA"/>
            </w:tcBorders>
          </w:tcPr>
          <w:p w14:paraId="0F89A876"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60948C87"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2ABE549D"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339C3068"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243F8A7F" w14:textId="77777777" w:rsidR="00BA160A" w:rsidRPr="00722521" w:rsidRDefault="00BA160A" w:rsidP="00A903E6">
            <w:pPr>
              <w:pStyle w:val="TableParagraph"/>
              <w:mirrorIndents/>
              <w:rPr>
                <w:b/>
                <w:szCs w:val="17"/>
              </w:rPr>
            </w:pPr>
          </w:p>
        </w:tc>
        <w:tc>
          <w:tcPr>
            <w:tcW w:w="692" w:type="pct"/>
            <w:tcBorders>
              <w:top w:val="single" w:sz="8" w:space="0" w:color="BABABA"/>
              <w:left w:val="single" w:sz="8" w:space="0" w:color="BABABA"/>
              <w:bottom w:val="single" w:sz="8" w:space="0" w:color="BABABA"/>
              <w:right w:val="single" w:sz="2" w:space="0" w:color="BABABA"/>
            </w:tcBorders>
          </w:tcPr>
          <w:p w14:paraId="491D7A61" w14:textId="3805415E" w:rsidR="00BA160A" w:rsidRPr="00722521" w:rsidRDefault="00FF0043" w:rsidP="00A903E6">
            <w:pPr>
              <w:pStyle w:val="TableParagraph"/>
              <w:mirrorIndents/>
              <w:rPr>
                <w:b/>
                <w:szCs w:val="17"/>
              </w:rPr>
            </w:pPr>
            <w:r w:rsidRPr="00722521">
              <w:rPr>
                <w:b/>
                <w:szCs w:val="17"/>
              </w:rPr>
              <w:t>x</w:t>
            </w:r>
          </w:p>
        </w:tc>
      </w:tr>
      <w:tr w:rsidR="00BA160A" w:rsidRPr="00722521" w14:paraId="1C237A94" w14:textId="77777777" w:rsidTr="00A155F5">
        <w:trPr>
          <w:trHeight w:hRule="exact" w:val="1225"/>
        </w:trPr>
        <w:tc>
          <w:tcPr>
            <w:tcW w:w="825" w:type="pct"/>
            <w:tcBorders>
              <w:top w:val="single" w:sz="8" w:space="0" w:color="BABABA"/>
              <w:left w:val="single" w:sz="8" w:space="0" w:color="BABABA"/>
              <w:bottom w:val="single" w:sz="8" w:space="0" w:color="BABABA"/>
              <w:right w:val="single" w:sz="8" w:space="0" w:color="BABABA"/>
            </w:tcBorders>
            <w:hideMark/>
          </w:tcPr>
          <w:p w14:paraId="38EDEF47" w14:textId="77777777" w:rsidR="00BA160A" w:rsidRPr="00722521" w:rsidRDefault="00BA160A" w:rsidP="00A903E6">
            <w:pPr>
              <w:pStyle w:val="TableParagraph"/>
              <w:mirrorIndents/>
              <w:rPr>
                <w:szCs w:val="17"/>
              </w:rPr>
            </w:pPr>
            <w:proofErr w:type="spellStart"/>
            <w:r w:rsidRPr="00722521">
              <w:rPr>
                <w:szCs w:val="17"/>
              </w:rPr>
              <w:t>Securitisation</w:t>
            </w:r>
            <w:proofErr w:type="spellEnd"/>
            <w:r w:rsidRPr="00722521">
              <w:rPr>
                <w:szCs w:val="17"/>
              </w:rPr>
              <w:t xml:space="preserve"> Repositories (STS)</w:t>
            </w:r>
          </w:p>
        </w:tc>
        <w:tc>
          <w:tcPr>
            <w:tcW w:w="697" w:type="pct"/>
            <w:tcBorders>
              <w:top w:val="single" w:sz="8" w:space="0" w:color="BABABA"/>
              <w:left w:val="single" w:sz="8" w:space="0" w:color="BABABA"/>
              <w:bottom w:val="single" w:sz="8" w:space="0" w:color="BABABA"/>
              <w:right w:val="single" w:sz="8" w:space="0" w:color="BABABA"/>
            </w:tcBorders>
          </w:tcPr>
          <w:p w14:paraId="6D2E2097"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71AC5C44"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2482D371"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418D51A9" w14:textId="77777777" w:rsidR="00BA160A" w:rsidRPr="00722521" w:rsidRDefault="00BA160A" w:rsidP="00A903E6">
            <w:pPr>
              <w:pStyle w:val="TableParagraph"/>
              <w:mirrorIndents/>
              <w:rPr>
                <w:b/>
                <w:szCs w:val="17"/>
              </w:rPr>
            </w:pPr>
          </w:p>
        </w:tc>
        <w:tc>
          <w:tcPr>
            <w:tcW w:w="697" w:type="pct"/>
            <w:tcBorders>
              <w:top w:val="single" w:sz="8" w:space="0" w:color="BABABA"/>
              <w:left w:val="single" w:sz="8" w:space="0" w:color="BABABA"/>
              <w:bottom w:val="single" w:sz="8" w:space="0" w:color="BABABA"/>
              <w:right w:val="single" w:sz="8" w:space="0" w:color="BABABA"/>
            </w:tcBorders>
          </w:tcPr>
          <w:p w14:paraId="551D2994" w14:textId="77777777" w:rsidR="00BA160A" w:rsidRPr="00722521" w:rsidRDefault="00BA160A" w:rsidP="00A903E6">
            <w:pPr>
              <w:pStyle w:val="TableParagraph"/>
              <w:mirrorIndents/>
              <w:rPr>
                <w:b/>
                <w:szCs w:val="17"/>
              </w:rPr>
            </w:pPr>
          </w:p>
        </w:tc>
        <w:tc>
          <w:tcPr>
            <w:tcW w:w="692" w:type="pct"/>
            <w:tcBorders>
              <w:top w:val="single" w:sz="8" w:space="0" w:color="BABABA"/>
              <w:left w:val="single" w:sz="8" w:space="0" w:color="BABABA"/>
              <w:bottom w:val="single" w:sz="8" w:space="0" w:color="BABABA"/>
              <w:right w:val="single" w:sz="2" w:space="0" w:color="BABABA"/>
            </w:tcBorders>
          </w:tcPr>
          <w:p w14:paraId="3A063B73" w14:textId="06A25D72" w:rsidR="00BA160A" w:rsidRPr="00722521" w:rsidRDefault="00FF0043" w:rsidP="00A903E6">
            <w:pPr>
              <w:pStyle w:val="TableParagraph"/>
              <w:mirrorIndents/>
              <w:rPr>
                <w:b/>
                <w:szCs w:val="17"/>
              </w:rPr>
            </w:pPr>
            <w:r w:rsidRPr="00722521">
              <w:rPr>
                <w:b/>
                <w:szCs w:val="17"/>
              </w:rPr>
              <w:t>x</w:t>
            </w:r>
          </w:p>
        </w:tc>
      </w:tr>
    </w:tbl>
    <w:p w14:paraId="18224467" w14:textId="77777777" w:rsidR="00BA160A" w:rsidRPr="00722521" w:rsidRDefault="00BA160A" w:rsidP="00A903E6">
      <w:pPr>
        <w:pStyle w:val="Textkrper"/>
        <w:mirrorIndents/>
        <w:rPr>
          <w:rFonts w:ascii="Verdana" w:hAnsi="Verdana"/>
          <w:sz w:val="17"/>
          <w:szCs w:val="17"/>
        </w:rPr>
      </w:pPr>
    </w:p>
    <w:p w14:paraId="75A6E594" w14:textId="77777777" w:rsidR="00BA160A" w:rsidRPr="00722521" w:rsidRDefault="00BA160A" w:rsidP="00A155F5">
      <w:pPr>
        <w:pStyle w:val="Textkrper"/>
        <w:ind w:left="0"/>
        <w:mirrorIndents/>
        <w:rPr>
          <w:rFonts w:ascii="Verdana" w:hAnsi="Verdana"/>
          <w:sz w:val="17"/>
          <w:szCs w:val="17"/>
        </w:rPr>
      </w:pPr>
      <w:r w:rsidRPr="00722521">
        <w:rPr>
          <w:rFonts w:ascii="Verdana" w:hAnsi="Verdana"/>
          <w:sz w:val="17"/>
          <w:szCs w:val="17"/>
          <w:highlight w:val="lightGray"/>
        </w:rPr>
        <w:t>If you identify areas for improvement, please explain:</w:t>
      </w:r>
    </w:p>
    <w:p w14:paraId="5B847D8E" w14:textId="19FD87CA" w:rsidR="00BA160A" w:rsidRPr="00722521" w:rsidRDefault="00BA160A" w:rsidP="00A903E6">
      <w:pPr>
        <w:mirrorIndents/>
        <w:rPr>
          <w:sz w:val="17"/>
          <w:szCs w:val="17"/>
        </w:rPr>
      </w:pPr>
    </w:p>
    <w:p w14:paraId="2E4F1026" w14:textId="7A80DAC7" w:rsidR="00A155F5" w:rsidRPr="00722521" w:rsidRDefault="00095A06" w:rsidP="00A903E6">
      <w:pPr>
        <w:mirrorIndents/>
        <w:rPr>
          <w:sz w:val="17"/>
          <w:szCs w:val="17"/>
        </w:rPr>
      </w:pPr>
      <w:r w:rsidRPr="00722521">
        <w:rPr>
          <w:sz w:val="17"/>
          <w:szCs w:val="17"/>
        </w:rPr>
        <w:lastRenderedPageBreak/>
        <w:t>N/A</w:t>
      </w:r>
    </w:p>
    <w:p w14:paraId="7BBEE753" w14:textId="77777777" w:rsidR="00A155F5" w:rsidRPr="00722521" w:rsidRDefault="00A155F5" w:rsidP="00A903E6">
      <w:pPr>
        <w:mirrorIndents/>
        <w:rPr>
          <w:sz w:val="17"/>
          <w:szCs w:val="17"/>
        </w:rPr>
      </w:pPr>
    </w:p>
    <w:p w14:paraId="04D19AC3" w14:textId="41921F22" w:rsidR="00BA160A" w:rsidRPr="00722521" w:rsidRDefault="00BA160A" w:rsidP="00A155F5">
      <w:pPr>
        <w:pStyle w:val="Textkrper"/>
        <w:tabs>
          <w:tab w:val="left" w:pos="2129"/>
          <w:tab w:val="left" w:pos="3279"/>
          <w:tab w:val="left" w:pos="5041"/>
          <w:tab w:val="left" w:pos="6205"/>
          <w:tab w:val="left" w:pos="7608"/>
          <w:tab w:val="left" w:pos="9309"/>
        </w:tabs>
        <w:ind w:left="0"/>
        <w:mirrorIndents/>
        <w:rPr>
          <w:rFonts w:ascii="Verdana" w:hAnsi="Verdana"/>
          <w:sz w:val="17"/>
          <w:szCs w:val="17"/>
          <w:highlight w:val="lightGray"/>
        </w:rPr>
      </w:pPr>
      <w:r w:rsidRPr="00722521">
        <w:rPr>
          <w:rFonts w:ascii="Verdana" w:hAnsi="Verdana"/>
          <w:sz w:val="17"/>
          <w:szCs w:val="17"/>
          <w:highlight w:val="lightGray"/>
        </w:rPr>
        <w:t>Question 3.3 How do you envisage the future scope of direct supervisory p</w:t>
      </w:r>
      <w:r w:rsidRPr="00722521">
        <w:rPr>
          <w:rFonts w:ascii="Verdana" w:hAnsi="Verdana"/>
          <w:spacing w:val="-32"/>
          <w:sz w:val="17"/>
          <w:szCs w:val="17"/>
          <w:highlight w:val="lightGray"/>
        </w:rPr>
        <w:t xml:space="preserve"> </w:t>
      </w:r>
      <w:r w:rsidRPr="00722521">
        <w:rPr>
          <w:rFonts w:ascii="Verdana" w:hAnsi="Verdana"/>
          <w:sz w:val="17"/>
          <w:szCs w:val="17"/>
          <w:highlight w:val="lightGray"/>
        </w:rPr>
        <w:t>o</w:t>
      </w:r>
      <w:r w:rsidRPr="00722521">
        <w:rPr>
          <w:rFonts w:ascii="Verdana" w:hAnsi="Verdana"/>
          <w:spacing w:val="-32"/>
          <w:sz w:val="17"/>
          <w:szCs w:val="17"/>
          <w:highlight w:val="lightGray"/>
        </w:rPr>
        <w:t xml:space="preserve"> </w:t>
      </w:r>
      <w:r w:rsidRPr="00722521">
        <w:rPr>
          <w:rFonts w:ascii="Verdana" w:hAnsi="Verdana"/>
          <w:sz w:val="17"/>
          <w:szCs w:val="17"/>
          <w:highlight w:val="lightGray"/>
        </w:rPr>
        <w:t>w</w:t>
      </w:r>
      <w:r w:rsidRPr="00722521">
        <w:rPr>
          <w:rFonts w:ascii="Verdana" w:hAnsi="Verdana"/>
          <w:spacing w:val="-32"/>
          <w:sz w:val="17"/>
          <w:szCs w:val="17"/>
          <w:highlight w:val="lightGray"/>
        </w:rPr>
        <w:t xml:space="preserve"> </w:t>
      </w:r>
      <w:r w:rsidRPr="00722521">
        <w:rPr>
          <w:rFonts w:ascii="Verdana" w:hAnsi="Verdana"/>
          <w:sz w:val="17"/>
          <w:szCs w:val="17"/>
          <w:highlight w:val="lightGray"/>
        </w:rPr>
        <w:t>e</w:t>
      </w:r>
      <w:r w:rsidRPr="00722521">
        <w:rPr>
          <w:rFonts w:ascii="Verdana" w:hAnsi="Verdana"/>
          <w:spacing w:val="-32"/>
          <w:sz w:val="17"/>
          <w:szCs w:val="17"/>
          <w:highlight w:val="lightGray"/>
        </w:rPr>
        <w:t xml:space="preserve"> </w:t>
      </w:r>
      <w:r w:rsidRPr="00722521">
        <w:rPr>
          <w:rFonts w:ascii="Verdana" w:hAnsi="Verdana"/>
          <w:sz w:val="17"/>
          <w:szCs w:val="17"/>
          <w:highlight w:val="lightGray"/>
        </w:rPr>
        <w:t>r</w:t>
      </w:r>
      <w:r w:rsidRPr="00722521">
        <w:rPr>
          <w:rFonts w:ascii="Verdana" w:hAnsi="Verdana"/>
          <w:spacing w:val="-32"/>
          <w:sz w:val="17"/>
          <w:szCs w:val="17"/>
          <w:highlight w:val="lightGray"/>
        </w:rPr>
        <w:t xml:space="preserve"> </w:t>
      </w:r>
      <w:r w:rsidRPr="00722521">
        <w:rPr>
          <w:rFonts w:ascii="Verdana" w:hAnsi="Verdana"/>
          <w:sz w:val="17"/>
          <w:szCs w:val="17"/>
          <w:highlight w:val="lightGray"/>
        </w:rPr>
        <w:t>s</w:t>
      </w:r>
      <w:r w:rsidR="00A155F5" w:rsidRPr="00722521">
        <w:rPr>
          <w:rFonts w:ascii="Verdana" w:hAnsi="Verdana"/>
          <w:sz w:val="17"/>
          <w:szCs w:val="17"/>
          <w:highlight w:val="lightGray"/>
        </w:rPr>
        <w:t xml:space="preserve"> o</w:t>
      </w:r>
      <w:r w:rsidRPr="00722521">
        <w:rPr>
          <w:rFonts w:ascii="Verdana" w:hAnsi="Verdana"/>
          <w:sz w:val="17"/>
          <w:szCs w:val="17"/>
          <w:highlight w:val="lightGray"/>
        </w:rPr>
        <w:t>f</w:t>
      </w:r>
      <w:r w:rsidR="00A155F5" w:rsidRPr="00722521">
        <w:rPr>
          <w:rFonts w:ascii="Verdana" w:hAnsi="Verdana"/>
          <w:sz w:val="17"/>
          <w:szCs w:val="17"/>
          <w:highlight w:val="lightGray"/>
        </w:rPr>
        <w:t xml:space="preserve"> </w:t>
      </w:r>
      <w:r w:rsidRPr="00722521">
        <w:rPr>
          <w:rFonts w:ascii="Verdana" w:hAnsi="Verdana"/>
          <w:sz w:val="17"/>
          <w:szCs w:val="17"/>
          <w:highlight w:val="lightGray"/>
        </w:rPr>
        <w:t>ESMA</w:t>
      </w:r>
      <w:r w:rsidR="00A155F5" w:rsidRPr="00722521">
        <w:rPr>
          <w:rFonts w:ascii="Verdana" w:hAnsi="Verdana"/>
          <w:sz w:val="17"/>
          <w:szCs w:val="17"/>
          <w:highlight w:val="lightGray"/>
        </w:rPr>
        <w:t xml:space="preserve"> </w:t>
      </w:r>
      <w:r w:rsidRPr="00722521">
        <w:rPr>
          <w:rFonts w:ascii="Verdana" w:hAnsi="Verdana"/>
          <w:sz w:val="17"/>
          <w:szCs w:val="17"/>
          <w:highlight w:val="lightGray"/>
        </w:rPr>
        <w:t>or</w:t>
      </w:r>
      <w:r w:rsidR="00A155F5" w:rsidRPr="00722521">
        <w:rPr>
          <w:rFonts w:ascii="Verdana" w:hAnsi="Verdana"/>
          <w:sz w:val="17"/>
          <w:szCs w:val="17"/>
          <w:highlight w:val="lightGray"/>
        </w:rPr>
        <w:t xml:space="preserve"> </w:t>
      </w:r>
      <w:r w:rsidRPr="00722521">
        <w:rPr>
          <w:rFonts w:ascii="Verdana" w:hAnsi="Verdana"/>
          <w:sz w:val="17"/>
          <w:szCs w:val="17"/>
          <w:highlight w:val="lightGray"/>
        </w:rPr>
        <w:t>any</w:t>
      </w:r>
      <w:r w:rsidR="00A155F5" w:rsidRPr="00722521">
        <w:rPr>
          <w:rFonts w:ascii="Verdana" w:hAnsi="Verdana"/>
          <w:sz w:val="17"/>
          <w:szCs w:val="17"/>
          <w:highlight w:val="lightGray"/>
        </w:rPr>
        <w:t xml:space="preserve"> </w:t>
      </w:r>
      <w:r w:rsidRPr="00722521">
        <w:rPr>
          <w:rFonts w:ascii="Verdana" w:hAnsi="Verdana"/>
          <w:sz w:val="17"/>
          <w:szCs w:val="17"/>
          <w:highlight w:val="lightGray"/>
        </w:rPr>
        <w:t>other</w:t>
      </w:r>
      <w:r w:rsidR="00A155F5" w:rsidRPr="00722521">
        <w:rPr>
          <w:rFonts w:ascii="Verdana" w:hAnsi="Verdana"/>
          <w:sz w:val="17"/>
          <w:szCs w:val="17"/>
          <w:highlight w:val="lightGray"/>
        </w:rPr>
        <w:t xml:space="preserve"> </w:t>
      </w:r>
      <w:r w:rsidRPr="00722521">
        <w:rPr>
          <w:rFonts w:ascii="Verdana" w:hAnsi="Verdana"/>
          <w:sz w:val="17"/>
          <w:szCs w:val="17"/>
          <w:highlight w:val="lightGray"/>
        </w:rPr>
        <w:t>ESA?</w:t>
      </w:r>
    </w:p>
    <w:p w14:paraId="150BEE0A" w14:textId="77777777" w:rsidR="00A155F5" w:rsidRPr="00722521" w:rsidRDefault="00A155F5" w:rsidP="00A903E6">
      <w:pPr>
        <w:pStyle w:val="Textkrper"/>
        <w:tabs>
          <w:tab w:val="left" w:pos="753"/>
          <w:tab w:val="left" w:pos="1393"/>
          <w:tab w:val="left" w:pos="2046"/>
          <w:tab w:val="left" w:pos="2656"/>
        </w:tabs>
        <w:mirrorIndents/>
        <w:rPr>
          <w:rFonts w:ascii="Verdana" w:hAnsi="Verdana"/>
          <w:sz w:val="17"/>
          <w:szCs w:val="17"/>
          <w:highlight w:val="lightGray"/>
        </w:rPr>
      </w:pPr>
    </w:p>
    <w:p w14:paraId="21D5E19F" w14:textId="764F023E" w:rsidR="00BA160A" w:rsidRPr="00722521" w:rsidRDefault="00BA160A" w:rsidP="00A155F5">
      <w:pPr>
        <w:pStyle w:val="Textkrper"/>
        <w:tabs>
          <w:tab w:val="left" w:pos="753"/>
          <w:tab w:val="left" w:pos="1393"/>
          <w:tab w:val="left" w:pos="2046"/>
          <w:tab w:val="left" w:pos="2656"/>
        </w:tabs>
        <w:ind w:left="0"/>
        <w:mirrorIndents/>
        <w:rPr>
          <w:rFonts w:ascii="Verdana" w:hAnsi="Verdana"/>
          <w:sz w:val="17"/>
          <w:szCs w:val="17"/>
          <w:highlight w:val="lightGray"/>
        </w:rPr>
      </w:pPr>
      <w:r w:rsidRPr="00722521">
        <w:rPr>
          <w:rFonts w:ascii="Verdana" w:hAnsi="Verdana"/>
          <w:sz w:val="17"/>
          <w:szCs w:val="17"/>
          <w:highlight w:val="lightGray"/>
        </w:rPr>
        <w:t>What principles should govern the decision to grant direct supervision to the ESA</w:t>
      </w:r>
      <w:r w:rsidRPr="00722521">
        <w:rPr>
          <w:rFonts w:ascii="Verdana" w:hAnsi="Verdana"/>
          <w:sz w:val="17"/>
          <w:szCs w:val="17"/>
          <w:highlight w:val="lightGray"/>
        </w:rPr>
        <w:tab/>
        <w:t>s?</w:t>
      </w:r>
    </w:p>
    <w:p w14:paraId="3F327300" w14:textId="77777777" w:rsidR="00BA160A" w:rsidRPr="00722521" w:rsidRDefault="00BA160A" w:rsidP="00A155F5">
      <w:pPr>
        <w:pStyle w:val="Textkrper"/>
        <w:ind w:left="0"/>
        <w:mirrorIndents/>
        <w:rPr>
          <w:rFonts w:ascii="Verdana" w:hAnsi="Verdana"/>
          <w:sz w:val="17"/>
          <w:szCs w:val="17"/>
        </w:rPr>
      </w:pPr>
      <w:r w:rsidRPr="00722521">
        <w:rPr>
          <w:rFonts w:ascii="Verdana" w:hAnsi="Verdana"/>
          <w:sz w:val="17"/>
          <w:szCs w:val="17"/>
          <w:highlight w:val="lightGray"/>
        </w:rPr>
        <w:t>If you see room for improvement, please provide evidence where you see weaknesses of the current set-up:</w:t>
      </w:r>
    </w:p>
    <w:p w14:paraId="46CDDCCB" w14:textId="77777777" w:rsidR="00BA160A" w:rsidRPr="00722521" w:rsidRDefault="00BA160A" w:rsidP="00A903E6">
      <w:pPr>
        <w:jc w:val="left"/>
        <w:rPr>
          <w:sz w:val="17"/>
          <w:szCs w:val="17"/>
        </w:rPr>
      </w:pPr>
    </w:p>
    <w:p w14:paraId="1A0847C2" w14:textId="21E2E354" w:rsidR="00FF0043" w:rsidRPr="00722521" w:rsidRDefault="00FF0043" w:rsidP="00095A06">
      <w:pPr>
        <w:rPr>
          <w:sz w:val="17"/>
          <w:szCs w:val="17"/>
        </w:rPr>
      </w:pPr>
      <w:r w:rsidRPr="00722521">
        <w:rPr>
          <w:sz w:val="17"/>
          <w:szCs w:val="17"/>
        </w:rPr>
        <w:t xml:space="preserve">With regards to EIOPA’s mandate and the regulation of the EU insurance market, </w:t>
      </w:r>
      <w:r w:rsidR="00722521">
        <w:rPr>
          <w:sz w:val="17"/>
          <w:szCs w:val="17"/>
        </w:rPr>
        <w:t>VVO</w:t>
      </w:r>
      <w:r w:rsidR="00095A06" w:rsidRPr="00722521">
        <w:rPr>
          <w:sz w:val="17"/>
          <w:szCs w:val="17"/>
        </w:rPr>
        <w:t xml:space="preserve"> </w:t>
      </w:r>
      <w:r w:rsidRPr="00722521">
        <w:rPr>
          <w:sz w:val="17"/>
          <w:szCs w:val="17"/>
        </w:rPr>
        <w:t>believe</w:t>
      </w:r>
      <w:r w:rsidR="00095A06" w:rsidRPr="00722521">
        <w:rPr>
          <w:sz w:val="17"/>
          <w:szCs w:val="17"/>
        </w:rPr>
        <w:t>s</w:t>
      </w:r>
      <w:r w:rsidRPr="00722521">
        <w:rPr>
          <w:sz w:val="17"/>
          <w:szCs w:val="17"/>
        </w:rPr>
        <w:t xml:space="preserve"> that there are no direct supervisory </w:t>
      </w:r>
      <w:r w:rsidR="00095A06" w:rsidRPr="00722521">
        <w:rPr>
          <w:sz w:val="17"/>
          <w:szCs w:val="17"/>
        </w:rPr>
        <w:t>powers</w:t>
      </w:r>
      <w:r w:rsidRPr="00722521">
        <w:rPr>
          <w:sz w:val="17"/>
          <w:szCs w:val="17"/>
        </w:rPr>
        <w:t xml:space="preserve"> necessary. Rather than direct supervisory mandates, it essential that EIOPA fulfils its current mandate, particularly with regards to the consistent application of the regulatory framework, supervisory convergence and effective coordination of N</w:t>
      </w:r>
      <w:r w:rsidR="00095A06" w:rsidRPr="00722521">
        <w:rPr>
          <w:sz w:val="17"/>
          <w:szCs w:val="17"/>
        </w:rPr>
        <w:t>S</w:t>
      </w:r>
      <w:r w:rsidRPr="00722521">
        <w:rPr>
          <w:sz w:val="17"/>
          <w:szCs w:val="17"/>
        </w:rPr>
        <w:t>As.</w:t>
      </w:r>
    </w:p>
    <w:p w14:paraId="4AB58F61" w14:textId="77777777" w:rsidR="00FF0043" w:rsidRPr="00722521" w:rsidRDefault="00FF0043" w:rsidP="00095A06">
      <w:pPr>
        <w:rPr>
          <w:sz w:val="17"/>
          <w:szCs w:val="17"/>
          <w:highlight w:val="yellow"/>
        </w:rPr>
      </w:pPr>
    </w:p>
    <w:p w14:paraId="57747CDB" w14:textId="77777777" w:rsidR="00407F68" w:rsidRPr="00722521" w:rsidRDefault="00FF0043" w:rsidP="00407F68">
      <w:pPr>
        <w:rPr>
          <w:sz w:val="17"/>
          <w:szCs w:val="17"/>
        </w:rPr>
      </w:pPr>
      <w:r w:rsidRPr="00722521">
        <w:rPr>
          <w:sz w:val="17"/>
          <w:szCs w:val="17"/>
        </w:rPr>
        <w:t xml:space="preserve">Of specific nature is the supervision of critical third-party ICT service providers. As considered in EIOPA’s guidelines on the use of cloud services, EIOPA’s guidelines on ICT security and in the current European Commission proposal on the Digital Operational Resilience of the Financial Services Sector (DORA), centralised supervision of such service providers </w:t>
      </w:r>
      <w:r w:rsidR="00521BF9" w:rsidRPr="00722521">
        <w:rPr>
          <w:sz w:val="17"/>
          <w:szCs w:val="17"/>
        </w:rPr>
        <w:t>is</w:t>
      </w:r>
      <w:r w:rsidRPr="00722521">
        <w:rPr>
          <w:sz w:val="17"/>
          <w:szCs w:val="17"/>
        </w:rPr>
        <w:t xml:space="preserve"> important. The existing provisions on the outsourcing of critical functions and services to </w:t>
      </w:r>
      <w:r w:rsidR="00095A06" w:rsidRPr="00722521">
        <w:rPr>
          <w:sz w:val="17"/>
          <w:szCs w:val="17"/>
        </w:rPr>
        <w:t>third parties</w:t>
      </w:r>
      <w:r w:rsidRPr="00722521">
        <w:rPr>
          <w:sz w:val="17"/>
          <w:szCs w:val="17"/>
        </w:rPr>
        <w:t xml:space="preserve"> and the foreseen oversight duties for the outsourcing undertakings might fall short where there is a significant imbalance of power between the contractual parties. Furthermore, the size and concentration of the markets for some of these services (</w:t>
      </w:r>
      <w:proofErr w:type="spellStart"/>
      <w:r w:rsidRPr="00722521">
        <w:rPr>
          <w:sz w:val="17"/>
          <w:szCs w:val="17"/>
        </w:rPr>
        <w:t>eg</w:t>
      </w:r>
      <w:proofErr w:type="spellEnd"/>
      <w:r w:rsidRPr="00722521">
        <w:rPr>
          <w:sz w:val="17"/>
          <w:szCs w:val="17"/>
        </w:rPr>
        <w:t xml:space="preserve"> cloud) </w:t>
      </w:r>
      <w:r w:rsidR="00521BF9" w:rsidRPr="00722521">
        <w:rPr>
          <w:sz w:val="17"/>
          <w:szCs w:val="17"/>
        </w:rPr>
        <w:t xml:space="preserve">would </w:t>
      </w:r>
      <w:r w:rsidRPr="00722521">
        <w:rPr>
          <w:sz w:val="17"/>
          <w:szCs w:val="17"/>
        </w:rPr>
        <w:t>make a centralised supervisory assessment and certification very efficient</w:t>
      </w:r>
      <w:r w:rsidR="00521BF9" w:rsidRPr="00722521">
        <w:rPr>
          <w:sz w:val="17"/>
          <w:szCs w:val="17"/>
        </w:rPr>
        <w:t>,</w:t>
      </w:r>
      <w:r w:rsidRPr="00722521">
        <w:rPr>
          <w:sz w:val="17"/>
          <w:szCs w:val="17"/>
        </w:rPr>
        <w:t xml:space="preserve"> avoid</w:t>
      </w:r>
      <w:r w:rsidR="00521BF9" w:rsidRPr="00722521">
        <w:rPr>
          <w:sz w:val="17"/>
          <w:szCs w:val="17"/>
        </w:rPr>
        <w:t>ing</w:t>
      </w:r>
      <w:r w:rsidRPr="00722521">
        <w:rPr>
          <w:sz w:val="17"/>
          <w:szCs w:val="17"/>
        </w:rPr>
        <w:t xml:space="preserve"> repetitive procedures for outsourcing undertakings/users and supervisors alike.</w:t>
      </w:r>
      <w:r w:rsidR="00407F68" w:rsidRPr="00722521">
        <w:rPr>
          <w:sz w:val="17"/>
          <w:szCs w:val="17"/>
        </w:rPr>
        <w:t xml:space="preserve"> If IE is in favour of having a centralised supervisory system within the framework of </w:t>
      </w:r>
      <w:proofErr w:type="gramStart"/>
      <w:r w:rsidR="00407F68" w:rsidRPr="00722521">
        <w:rPr>
          <w:sz w:val="17"/>
          <w:szCs w:val="17"/>
        </w:rPr>
        <w:t>DORA,  IE</w:t>
      </w:r>
      <w:proofErr w:type="gramEnd"/>
      <w:r w:rsidR="00407F68" w:rsidRPr="00722521">
        <w:rPr>
          <w:sz w:val="17"/>
          <w:szCs w:val="17"/>
        </w:rPr>
        <w:t xml:space="preserve"> does not support the recent EU Council’s proposal on DORA to designate EBA as the only supervisor for the oversight framework of critical ICT third party service providers.  </w:t>
      </w:r>
    </w:p>
    <w:p w14:paraId="2AE6CD94" w14:textId="77777777" w:rsidR="00407F68" w:rsidRPr="00722521" w:rsidRDefault="00407F68" w:rsidP="00407F68">
      <w:pPr>
        <w:rPr>
          <w:sz w:val="17"/>
          <w:szCs w:val="17"/>
        </w:rPr>
      </w:pPr>
    </w:p>
    <w:p w14:paraId="73696F71" w14:textId="77777777" w:rsidR="00407F68" w:rsidRPr="00722521" w:rsidRDefault="00407F68" w:rsidP="00407F68">
      <w:pPr>
        <w:rPr>
          <w:sz w:val="17"/>
          <w:szCs w:val="17"/>
        </w:rPr>
      </w:pPr>
      <w:r w:rsidRPr="00722521">
        <w:rPr>
          <w:sz w:val="17"/>
          <w:szCs w:val="17"/>
        </w:rPr>
        <w:t xml:space="preserve">Furthermore, regarding AML-CFT, IE is concerned by the future EU supervisory authority. IE does not want EBA to be the exclusive AML supervisory authority for financial sector. The specificity of insurance in relation to EU AML regulation need to be taken into account.  </w:t>
      </w:r>
    </w:p>
    <w:p w14:paraId="2EE54999" w14:textId="77777777" w:rsidR="00407F68" w:rsidRPr="00722521" w:rsidRDefault="00407F68" w:rsidP="00407F68">
      <w:pPr>
        <w:rPr>
          <w:sz w:val="17"/>
          <w:szCs w:val="17"/>
        </w:rPr>
      </w:pPr>
    </w:p>
    <w:p w14:paraId="324A5508" w14:textId="6387D3D6" w:rsidR="00FF0043" w:rsidRPr="00722521" w:rsidRDefault="00407F68" w:rsidP="00095A06">
      <w:pPr>
        <w:rPr>
          <w:sz w:val="17"/>
          <w:szCs w:val="17"/>
        </w:rPr>
      </w:pPr>
      <w:r w:rsidRPr="00722521">
        <w:rPr>
          <w:sz w:val="17"/>
          <w:szCs w:val="17"/>
        </w:rPr>
        <w:t xml:space="preserve">EIOPA </w:t>
      </w:r>
      <w:r w:rsidR="0073757E">
        <w:rPr>
          <w:sz w:val="17"/>
          <w:szCs w:val="17"/>
        </w:rPr>
        <w:t>should</w:t>
      </w:r>
      <w:r w:rsidRPr="00722521">
        <w:rPr>
          <w:sz w:val="17"/>
          <w:szCs w:val="17"/>
        </w:rPr>
        <w:t xml:space="preserve"> remain the lead supervisor for the insurance sector even for trans-sectoral issues such as AML and critical </w:t>
      </w:r>
      <w:proofErr w:type="gramStart"/>
      <w:r w:rsidRPr="00722521">
        <w:rPr>
          <w:sz w:val="17"/>
          <w:szCs w:val="17"/>
        </w:rPr>
        <w:t>third party</w:t>
      </w:r>
      <w:proofErr w:type="gramEnd"/>
      <w:r w:rsidRPr="00722521">
        <w:rPr>
          <w:sz w:val="17"/>
          <w:szCs w:val="17"/>
        </w:rPr>
        <w:t xml:space="preserve"> service providers.</w:t>
      </w:r>
    </w:p>
    <w:p w14:paraId="5474916C" w14:textId="77777777" w:rsidR="00A155F5" w:rsidRPr="00722521" w:rsidRDefault="00A155F5" w:rsidP="00095A06">
      <w:pPr>
        <w:rPr>
          <w:sz w:val="17"/>
          <w:szCs w:val="17"/>
        </w:rPr>
      </w:pPr>
    </w:p>
    <w:p w14:paraId="00526391" w14:textId="77777777" w:rsidR="00BA160A" w:rsidRPr="00722521" w:rsidRDefault="00BA160A" w:rsidP="00A903E6">
      <w:pPr>
        <w:mirrorIndents/>
        <w:rPr>
          <w:sz w:val="17"/>
          <w:szCs w:val="17"/>
        </w:rPr>
      </w:pPr>
    </w:p>
    <w:p w14:paraId="73C26AB2" w14:textId="0E7FB6F1"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3.4 Have you identified any areas where supervision at EU level should be considered?</w:t>
      </w:r>
    </w:p>
    <w:p w14:paraId="09644B2A" w14:textId="77777777" w:rsidR="00A155F5" w:rsidRPr="00722521" w:rsidRDefault="00BA160A" w:rsidP="00A155F5">
      <w:pPr>
        <w:pStyle w:val="CEABullet-Level1"/>
        <w:rPr>
          <w:color w:val="auto"/>
          <w:highlight w:val="lightGray"/>
        </w:rPr>
      </w:pPr>
      <w:r w:rsidRPr="00722521">
        <w:rPr>
          <w:color w:val="auto"/>
          <w:highlight w:val="lightGray"/>
        </w:rPr>
        <w:t xml:space="preserve">Yes </w:t>
      </w:r>
    </w:p>
    <w:p w14:paraId="04841146" w14:textId="5351EFAB" w:rsidR="00BA160A" w:rsidRPr="00722521" w:rsidRDefault="00BA160A" w:rsidP="00A155F5">
      <w:pPr>
        <w:pStyle w:val="CEABullet-Level1"/>
        <w:rPr>
          <w:color w:val="auto"/>
          <w:highlight w:val="lightGray"/>
        </w:rPr>
      </w:pPr>
      <w:r w:rsidRPr="00722521">
        <w:rPr>
          <w:color w:val="auto"/>
          <w:highlight w:val="lightGray"/>
        </w:rPr>
        <w:t>No</w:t>
      </w:r>
    </w:p>
    <w:p w14:paraId="59976DCA" w14:textId="77777777" w:rsidR="00BA160A" w:rsidRPr="00722521" w:rsidRDefault="00BA160A" w:rsidP="00A155F5">
      <w:pPr>
        <w:pStyle w:val="CEABullet-Level1"/>
        <w:rPr>
          <w:color w:val="auto"/>
          <w:highlight w:val="lightGray"/>
        </w:rPr>
      </w:pPr>
      <w:r w:rsidRPr="00722521">
        <w:rPr>
          <w:color w:val="auto"/>
          <w:highlight w:val="lightGray"/>
        </w:rPr>
        <w:t>Don’t know / no opinion / not relevant</w:t>
      </w:r>
    </w:p>
    <w:p w14:paraId="215BC38A" w14:textId="54D93188" w:rsidR="00BA160A" w:rsidRPr="00722521" w:rsidRDefault="00BA160A" w:rsidP="00A903E6">
      <w:pPr>
        <w:mirrorIndents/>
        <w:rPr>
          <w:sz w:val="17"/>
          <w:szCs w:val="17"/>
        </w:rPr>
      </w:pPr>
    </w:p>
    <w:p w14:paraId="2B4E1177" w14:textId="6CDE1923" w:rsidR="00095A06" w:rsidRPr="00722521" w:rsidRDefault="00095A06" w:rsidP="00A903E6">
      <w:pPr>
        <w:mirrorIndents/>
        <w:rPr>
          <w:sz w:val="17"/>
          <w:szCs w:val="17"/>
        </w:rPr>
      </w:pPr>
      <w:r w:rsidRPr="00722521">
        <w:rPr>
          <w:sz w:val="17"/>
          <w:szCs w:val="17"/>
        </w:rPr>
        <w:t>Yes</w:t>
      </w:r>
    </w:p>
    <w:p w14:paraId="1F7734E6" w14:textId="77777777" w:rsidR="00095A06" w:rsidRPr="00722521" w:rsidRDefault="00095A06" w:rsidP="00A903E6">
      <w:pPr>
        <w:mirrorIndents/>
        <w:rPr>
          <w:sz w:val="17"/>
          <w:szCs w:val="17"/>
        </w:rPr>
      </w:pPr>
    </w:p>
    <w:p w14:paraId="586940D9"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explain your answer to question 3.4:</w:t>
      </w:r>
    </w:p>
    <w:p w14:paraId="27D3ACF4" w14:textId="2D344401" w:rsidR="00BA160A" w:rsidRPr="00722521" w:rsidRDefault="00BA160A" w:rsidP="00A903E6">
      <w:pPr>
        <w:mirrorIndents/>
        <w:rPr>
          <w:sz w:val="17"/>
          <w:szCs w:val="17"/>
        </w:rPr>
      </w:pPr>
    </w:p>
    <w:p w14:paraId="7BE3F3A7" w14:textId="30D0A0F8" w:rsidR="00FF0043" w:rsidRPr="00722521" w:rsidRDefault="00FF0043" w:rsidP="00FF0043">
      <w:pPr>
        <w:mirrorIndents/>
        <w:rPr>
          <w:sz w:val="17"/>
          <w:szCs w:val="17"/>
        </w:rPr>
      </w:pPr>
      <w:r w:rsidRPr="00722521">
        <w:rPr>
          <w:sz w:val="17"/>
          <w:szCs w:val="17"/>
        </w:rPr>
        <w:t xml:space="preserve">As per its answer to question 3.3, </w:t>
      </w:r>
      <w:r w:rsidR="00722521">
        <w:rPr>
          <w:sz w:val="17"/>
          <w:szCs w:val="17"/>
        </w:rPr>
        <w:t>VVO</w:t>
      </w:r>
      <w:r w:rsidRPr="00722521">
        <w:rPr>
          <w:sz w:val="17"/>
          <w:szCs w:val="17"/>
        </w:rPr>
        <w:t xml:space="preserve"> believes that the EU-wide and centralised supervision and certification of critical third-party ICT service providers (e.g. cloud service providers) </w:t>
      </w:r>
      <w:r w:rsidR="00521BF9" w:rsidRPr="00722521">
        <w:rPr>
          <w:sz w:val="17"/>
          <w:szCs w:val="17"/>
        </w:rPr>
        <w:t xml:space="preserve">would </w:t>
      </w:r>
      <w:r w:rsidRPr="00722521">
        <w:rPr>
          <w:sz w:val="17"/>
          <w:szCs w:val="17"/>
        </w:rPr>
        <w:t>be advisable.</w:t>
      </w:r>
    </w:p>
    <w:p w14:paraId="4921B853" w14:textId="0F365901" w:rsidR="00A155F5" w:rsidRPr="00722521" w:rsidRDefault="00A155F5" w:rsidP="00A903E6">
      <w:pPr>
        <w:mirrorIndents/>
        <w:rPr>
          <w:sz w:val="17"/>
          <w:szCs w:val="17"/>
        </w:rPr>
      </w:pPr>
    </w:p>
    <w:p w14:paraId="330129D2" w14:textId="77777777" w:rsidR="00A155F5" w:rsidRPr="00722521" w:rsidRDefault="00A155F5" w:rsidP="00A903E6">
      <w:pPr>
        <w:mirrorIndents/>
        <w:rPr>
          <w:sz w:val="17"/>
          <w:szCs w:val="17"/>
        </w:rPr>
      </w:pPr>
    </w:p>
    <w:p w14:paraId="7E9ED4A5" w14:textId="14072038" w:rsidR="00BA160A" w:rsidRPr="00722521" w:rsidRDefault="00BA160A" w:rsidP="00A903E6">
      <w:pPr>
        <w:pStyle w:val="berschrift1"/>
        <w:numPr>
          <w:ilvl w:val="0"/>
          <w:numId w:val="6"/>
        </w:numPr>
        <w:tabs>
          <w:tab w:val="left" w:pos="499"/>
        </w:tabs>
        <w:ind w:left="232" w:hanging="383"/>
        <w:mirrorIndents/>
        <w:rPr>
          <w:rFonts w:ascii="Verdana" w:hAnsi="Verdana"/>
          <w:sz w:val="17"/>
          <w:szCs w:val="17"/>
        </w:rPr>
      </w:pPr>
      <w:r w:rsidRPr="00722521">
        <w:rPr>
          <w:rFonts w:ascii="Verdana" w:hAnsi="Verdana"/>
          <w:sz w:val="17"/>
          <w:szCs w:val="17"/>
        </w:rPr>
        <w:t>The role of the ESAs as regards systemic</w:t>
      </w:r>
      <w:r w:rsidRPr="00722521">
        <w:rPr>
          <w:rFonts w:ascii="Verdana" w:hAnsi="Verdana"/>
          <w:spacing w:val="10"/>
          <w:sz w:val="17"/>
          <w:szCs w:val="17"/>
        </w:rPr>
        <w:t xml:space="preserve"> </w:t>
      </w:r>
      <w:r w:rsidRPr="00722521">
        <w:rPr>
          <w:rFonts w:ascii="Verdana" w:hAnsi="Verdana"/>
          <w:sz w:val="17"/>
          <w:szCs w:val="17"/>
        </w:rPr>
        <w:t>risk</w:t>
      </w:r>
    </w:p>
    <w:p w14:paraId="7A908702" w14:textId="072743B4" w:rsidR="00BA160A" w:rsidRPr="00722521" w:rsidRDefault="00BA160A" w:rsidP="00A155F5">
      <w:pPr>
        <w:pStyle w:val="Textkrper"/>
        <w:mirrorIndents/>
        <w:rPr>
          <w:sz w:val="17"/>
          <w:szCs w:val="17"/>
        </w:rPr>
      </w:pPr>
    </w:p>
    <w:p w14:paraId="0D86B8D6" w14:textId="085D170D"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w:t>
      </w:r>
      <w:r w:rsidR="00A155F5" w:rsidRPr="00722521">
        <w:rPr>
          <w:rFonts w:ascii="Verdana" w:hAnsi="Verdana"/>
          <w:sz w:val="17"/>
          <w:szCs w:val="17"/>
          <w:highlight w:val="lightGray"/>
        </w:rPr>
        <w:t>t</w:t>
      </w:r>
      <w:r w:rsidRPr="00722521">
        <w:rPr>
          <w:rFonts w:ascii="Verdana" w:hAnsi="Verdana"/>
          <w:sz w:val="17"/>
          <w:szCs w:val="17"/>
          <w:highlight w:val="lightGray"/>
        </w:rPr>
        <w:t>ion 4.1 EIOPA: Please assess the aspects described below regarding the role of EIOPA as regards systemic risk:</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2467"/>
        <w:gridCol w:w="932"/>
        <w:gridCol w:w="1320"/>
        <w:gridCol w:w="1320"/>
        <w:gridCol w:w="1321"/>
        <w:gridCol w:w="1321"/>
        <w:gridCol w:w="840"/>
      </w:tblGrid>
      <w:tr w:rsidR="00BA160A" w:rsidRPr="00722521" w14:paraId="49ECC2EB" w14:textId="77777777" w:rsidTr="00A155F5">
        <w:trPr>
          <w:trHeight w:hRule="exact" w:val="1958"/>
        </w:trPr>
        <w:tc>
          <w:tcPr>
            <w:tcW w:w="1298" w:type="pct"/>
            <w:tcBorders>
              <w:top w:val="single" w:sz="8" w:space="0" w:color="BABABA"/>
              <w:left w:val="single" w:sz="8" w:space="0" w:color="BABABA"/>
              <w:bottom w:val="single" w:sz="8" w:space="0" w:color="BABABA"/>
              <w:right w:val="single" w:sz="8" w:space="0" w:color="BABABA"/>
            </w:tcBorders>
          </w:tcPr>
          <w:p w14:paraId="046DA10B" w14:textId="77777777" w:rsidR="00BA160A" w:rsidRPr="00722521" w:rsidRDefault="00BA160A" w:rsidP="00A903E6">
            <w:pPr>
              <w:mirrorIndents/>
              <w:rPr>
                <w:sz w:val="17"/>
                <w:szCs w:val="17"/>
              </w:rPr>
            </w:pPr>
          </w:p>
        </w:tc>
        <w:tc>
          <w:tcPr>
            <w:tcW w:w="492" w:type="pct"/>
            <w:tcBorders>
              <w:top w:val="single" w:sz="8" w:space="0" w:color="BABABA"/>
              <w:left w:val="single" w:sz="8" w:space="0" w:color="BABABA"/>
              <w:bottom w:val="single" w:sz="8" w:space="0" w:color="BABABA"/>
              <w:right w:val="single" w:sz="8" w:space="0" w:color="BABABA"/>
            </w:tcBorders>
            <w:hideMark/>
          </w:tcPr>
          <w:p w14:paraId="7CC7D86B" w14:textId="77777777" w:rsidR="00BA160A" w:rsidRPr="00722521" w:rsidRDefault="00BA160A" w:rsidP="00A903E6">
            <w:pPr>
              <w:pStyle w:val="TableParagraph"/>
              <w:mirrorIndents/>
              <w:rPr>
                <w:szCs w:val="17"/>
              </w:rPr>
            </w:pPr>
            <w:r w:rsidRPr="00722521">
              <w:rPr>
                <w:w w:val="99"/>
                <w:szCs w:val="17"/>
              </w:rPr>
              <w:t>1</w:t>
            </w:r>
          </w:p>
          <w:p w14:paraId="19C66E45" w14:textId="77777777" w:rsidR="00BA160A" w:rsidRPr="00722521" w:rsidRDefault="00BA160A" w:rsidP="00A903E6">
            <w:pPr>
              <w:pStyle w:val="TableParagraph"/>
              <w:mirrorIndents/>
              <w:rPr>
                <w:szCs w:val="17"/>
              </w:rPr>
            </w:pPr>
            <w:r w:rsidRPr="00722521">
              <w:rPr>
                <w:szCs w:val="17"/>
              </w:rPr>
              <w:t xml:space="preserve">(lowest </w:t>
            </w:r>
            <w:r w:rsidRPr="00722521">
              <w:rPr>
                <w:w w:val="105"/>
                <w:szCs w:val="17"/>
              </w:rPr>
              <w:t>rate</w:t>
            </w:r>
          </w:p>
        </w:tc>
        <w:tc>
          <w:tcPr>
            <w:tcW w:w="696" w:type="pct"/>
            <w:tcBorders>
              <w:top w:val="single" w:sz="8" w:space="0" w:color="BABABA"/>
              <w:left w:val="single" w:sz="8" w:space="0" w:color="BABABA"/>
              <w:bottom w:val="single" w:sz="8" w:space="0" w:color="BABABA"/>
              <w:right w:val="single" w:sz="8" w:space="0" w:color="BABABA"/>
            </w:tcBorders>
          </w:tcPr>
          <w:p w14:paraId="6C810808" w14:textId="77777777" w:rsidR="00BA160A" w:rsidRPr="00722521" w:rsidRDefault="00BA160A" w:rsidP="00A903E6">
            <w:pPr>
              <w:pStyle w:val="TableParagraph"/>
              <w:mirrorIndents/>
              <w:rPr>
                <w:b/>
                <w:szCs w:val="17"/>
              </w:rPr>
            </w:pPr>
          </w:p>
          <w:p w14:paraId="2D1E193D" w14:textId="77777777" w:rsidR="00BA160A" w:rsidRPr="00722521" w:rsidRDefault="00BA160A" w:rsidP="00A903E6">
            <w:pPr>
              <w:pStyle w:val="TableParagraph"/>
              <w:mirrorIndents/>
              <w:rPr>
                <w:szCs w:val="17"/>
              </w:rPr>
            </w:pPr>
            <w:r w:rsidRPr="00722521">
              <w:rPr>
                <w:w w:val="99"/>
                <w:szCs w:val="17"/>
              </w:rPr>
              <w:t>2</w:t>
            </w:r>
          </w:p>
        </w:tc>
        <w:tc>
          <w:tcPr>
            <w:tcW w:w="696" w:type="pct"/>
            <w:tcBorders>
              <w:top w:val="single" w:sz="8" w:space="0" w:color="BABABA"/>
              <w:left w:val="single" w:sz="8" w:space="0" w:color="BABABA"/>
              <w:bottom w:val="single" w:sz="8" w:space="0" w:color="BABABA"/>
              <w:right w:val="single" w:sz="8" w:space="0" w:color="BABABA"/>
            </w:tcBorders>
          </w:tcPr>
          <w:p w14:paraId="76BAF639" w14:textId="77777777" w:rsidR="00BA160A" w:rsidRPr="00722521" w:rsidRDefault="00BA160A" w:rsidP="00A903E6">
            <w:pPr>
              <w:pStyle w:val="TableParagraph"/>
              <w:mirrorIndents/>
              <w:rPr>
                <w:b/>
                <w:szCs w:val="17"/>
              </w:rPr>
            </w:pPr>
          </w:p>
          <w:p w14:paraId="7D84EA54" w14:textId="77777777" w:rsidR="00BA160A" w:rsidRPr="00722521" w:rsidRDefault="00BA160A" w:rsidP="00A903E6">
            <w:pPr>
              <w:pStyle w:val="TableParagraph"/>
              <w:mirrorIndents/>
              <w:rPr>
                <w:szCs w:val="17"/>
              </w:rPr>
            </w:pPr>
            <w:r w:rsidRPr="00722521">
              <w:rPr>
                <w:w w:val="99"/>
                <w:szCs w:val="17"/>
              </w:rPr>
              <w:t>3</w:t>
            </w:r>
          </w:p>
        </w:tc>
        <w:tc>
          <w:tcPr>
            <w:tcW w:w="696" w:type="pct"/>
            <w:tcBorders>
              <w:top w:val="single" w:sz="8" w:space="0" w:color="BABABA"/>
              <w:left w:val="single" w:sz="8" w:space="0" w:color="BABABA"/>
              <w:bottom w:val="single" w:sz="8" w:space="0" w:color="BABABA"/>
              <w:right w:val="single" w:sz="8" w:space="0" w:color="BABABA"/>
            </w:tcBorders>
          </w:tcPr>
          <w:p w14:paraId="6F1EA202" w14:textId="77777777" w:rsidR="00BA160A" w:rsidRPr="00722521" w:rsidRDefault="00BA160A" w:rsidP="00A903E6">
            <w:pPr>
              <w:pStyle w:val="TableParagraph"/>
              <w:mirrorIndents/>
              <w:rPr>
                <w:b/>
                <w:szCs w:val="17"/>
              </w:rPr>
            </w:pPr>
          </w:p>
          <w:p w14:paraId="053A0C8F" w14:textId="77777777" w:rsidR="00BA160A" w:rsidRPr="00722521" w:rsidRDefault="00BA160A" w:rsidP="00A903E6">
            <w:pPr>
              <w:pStyle w:val="TableParagraph"/>
              <w:mirrorIndents/>
              <w:rPr>
                <w:szCs w:val="17"/>
              </w:rPr>
            </w:pPr>
            <w:r w:rsidRPr="00722521">
              <w:rPr>
                <w:w w:val="99"/>
                <w:szCs w:val="17"/>
              </w:rPr>
              <w:t>4</w:t>
            </w:r>
          </w:p>
        </w:tc>
        <w:tc>
          <w:tcPr>
            <w:tcW w:w="696" w:type="pct"/>
            <w:tcBorders>
              <w:top w:val="single" w:sz="8" w:space="0" w:color="BABABA"/>
              <w:left w:val="single" w:sz="8" w:space="0" w:color="BABABA"/>
              <w:bottom w:val="single" w:sz="8" w:space="0" w:color="BABABA"/>
              <w:right w:val="single" w:sz="8" w:space="0" w:color="BABABA"/>
            </w:tcBorders>
            <w:hideMark/>
          </w:tcPr>
          <w:p w14:paraId="1F0077BC" w14:textId="77777777" w:rsidR="00BA160A" w:rsidRPr="00722521" w:rsidRDefault="00BA160A" w:rsidP="00A903E6">
            <w:pPr>
              <w:pStyle w:val="TableParagraph"/>
              <w:mirrorIndents/>
              <w:rPr>
                <w:szCs w:val="17"/>
              </w:rPr>
            </w:pPr>
            <w:r w:rsidRPr="00722521">
              <w:rPr>
                <w:w w:val="99"/>
                <w:szCs w:val="17"/>
              </w:rPr>
              <w:t>5</w:t>
            </w:r>
          </w:p>
          <w:p w14:paraId="6FFE1A18" w14:textId="77777777" w:rsidR="00BA160A" w:rsidRPr="00722521" w:rsidRDefault="00BA160A" w:rsidP="00A903E6">
            <w:pPr>
              <w:pStyle w:val="TableParagraph"/>
              <w:mirrorIndents/>
              <w:rPr>
                <w:szCs w:val="17"/>
              </w:rPr>
            </w:pPr>
            <w:r w:rsidRPr="00722521">
              <w:rPr>
                <w:szCs w:val="17"/>
              </w:rPr>
              <w:t xml:space="preserve">(highest </w:t>
            </w:r>
            <w:r w:rsidRPr="00722521">
              <w:rPr>
                <w:w w:val="105"/>
                <w:szCs w:val="17"/>
              </w:rPr>
              <w:t>rate)</w:t>
            </w:r>
          </w:p>
        </w:tc>
        <w:tc>
          <w:tcPr>
            <w:tcW w:w="426" w:type="pct"/>
            <w:tcBorders>
              <w:top w:val="single" w:sz="8" w:space="0" w:color="BABABA"/>
              <w:left w:val="single" w:sz="8" w:space="0" w:color="BABABA"/>
              <w:bottom w:val="single" w:sz="8" w:space="0" w:color="BABABA"/>
              <w:right w:val="nil"/>
            </w:tcBorders>
            <w:hideMark/>
          </w:tcPr>
          <w:p w14:paraId="023C10C5" w14:textId="77777777" w:rsidR="00BA160A" w:rsidRPr="00722521" w:rsidRDefault="00BA160A" w:rsidP="00A903E6">
            <w:pPr>
              <w:pStyle w:val="TableParagraph"/>
              <w:ind w:firstLine="10"/>
              <w:mirrorIndents/>
              <w:rPr>
                <w:szCs w:val="17"/>
              </w:rPr>
            </w:pPr>
            <w:r w:rsidRPr="00722521">
              <w:rPr>
                <w:w w:val="105"/>
                <w:szCs w:val="17"/>
              </w:rPr>
              <w:t xml:space="preserve">Don' </w:t>
            </w:r>
            <w:r w:rsidRPr="00722521">
              <w:rPr>
                <w:szCs w:val="17"/>
              </w:rPr>
              <w:t xml:space="preserve">know </w:t>
            </w:r>
            <w:r w:rsidRPr="00722521">
              <w:rPr>
                <w:w w:val="105"/>
                <w:szCs w:val="17"/>
              </w:rPr>
              <w:t>No</w:t>
            </w:r>
          </w:p>
          <w:p w14:paraId="555C0765" w14:textId="77777777" w:rsidR="00BA160A" w:rsidRPr="00722521" w:rsidRDefault="00BA160A" w:rsidP="00A903E6">
            <w:pPr>
              <w:pStyle w:val="TableParagraph"/>
              <w:mirrorIndents/>
              <w:rPr>
                <w:szCs w:val="17"/>
              </w:rPr>
            </w:pPr>
            <w:proofErr w:type="spellStart"/>
            <w:r w:rsidRPr="00722521">
              <w:rPr>
                <w:szCs w:val="17"/>
              </w:rPr>
              <w:t>opinio</w:t>
            </w:r>
            <w:proofErr w:type="spellEnd"/>
          </w:p>
          <w:p w14:paraId="46947F84" w14:textId="77777777" w:rsidR="00BA160A" w:rsidRPr="00722521" w:rsidRDefault="00BA160A" w:rsidP="00A903E6">
            <w:pPr>
              <w:pStyle w:val="TableParagraph"/>
              <w:ind w:firstLine="287"/>
              <w:mirrorIndents/>
              <w:rPr>
                <w:szCs w:val="17"/>
              </w:rPr>
            </w:pPr>
            <w:r w:rsidRPr="00722521">
              <w:rPr>
                <w:szCs w:val="17"/>
              </w:rPr>
              <w:t xml:space="preserve">Not </w:t>
            </w:r>
            <w:proofErr w:type="spellStart"/>
            <w:r w:rsidRPr="00722521">
              <w:rPr>
                <w:szCs w:val="17"/>
              </w:rPr>
              <w:t>applica</w:t>
            </w:r>
            <w:proofErr w:type="spellEnd"/>
          </w:p>
        </w:tc>
      </w:tr>
      <w:tr w:rsidR="00BA160A" w:rsidRPr="00722521" w14:paraId="75A1DCBF" w14:textId="77777777" w:rsidTr="00A155F5">
        <w:trPr>
          <w:trHeight w:hRule="exact" w:val="717"/>
        </w:trPr>
        <w:tc>
          <w:tcPr>
            <w:tcW w:w="1298" w:type="pct"/>
            <w:tcBorders>
              <w:top w:val="single" w:sz="8" w:space="0" w:color="BABABA"/>
              <w:left w:val="single" w:sz="8" w:space="0" w:color="BABABA"/>
              <w:bottom w:val="single" w:sz="8" w:space="0" w:color="BABABA"/>
              <w:right w:val="single" w:sz="8" w:space="0" w:color="BABABA"/>
            </w:tcBorders>
            <w:hideMark/>
          </w:tcPr>
          <w:p w14:paraId="1AFE94A7" w14:textId="77777777" w:rsidR="00BA160A" w:rsidRPr="00722521" w:rsidRDefault="00BA160A" w:rsidP="00A903E6">
            <w:pPr>
              <w:pStyle w:val="TableParagraph"/>
              <w:mirrorIndents/>
              <w:rPr>
                <w:szCs w:val="17"/>
              </w:rPr>
            </w:pPr>
            <w:r w:rsidRPr="00722521">
              <w:rPr>
                <w:w w:val="105"/>
                <w:szCs w:val="17"/>
              </w:rPr>
              <w:t>The quality of the analysis of market developments</w:t>
            </w:r>
          </w:p>
        </w:tc>
        <w:tc>
          <w:tcPr>
            <w:tcW w:w="492" w:type="pct"/>
            <w:tcBorders>
              <w:top w:val="single" w:sz="8" w:space="0" w:color="BABABA"/>
              <w:left w:val="single" w:sz="8" w:space="0" w:color="BABABA"/>
              <w:bottom w:val="single" w:sz="8" w:space="0" w:color="BABABA"/>
              <w:right w:val="single" w:sz="8" w:space="0" w:color="BABABA"/>
            </w:tcBorders>
          </w:tcPr>
          <w:p w14:paraId="40476C35"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1A8474C3"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04606D2B"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1A7D7ECE" w14:textId="7B16EDEC" w:rsidR="00BA160A" w:rsidRPr="00722521" w:rsidRDefault="00FF0043" w:rsidP="00A903E6">
            <w:pPr>
              <w:pStyle w:val="TableParagraph"/>
              <w:mirrorIndents/>
              <w:rPr>
                <w:b/>
                <w:szCs w:val="17"/>
              </w:rPr>
            </w:pPr>
            <w:r w:rsidRPr="00722521">
              <w:rPr>
                <w:b/>
                <w:szCs w:val="17"/>
              </w:rPr>
              <w:t>x</w:t>
            </w:r>
          </w:p>
        </w:tc>
        <w:tc>
          <w:tcPr>
            <w:tcW w:w="696" w:type="pct"/>
            <w:tcBorders>
              <w:top w:val="single" w:sz="8" w:space="0" w:color="BABABA"/>
              <w:left w:val="single" w:sz="8" w:space="0" w:color="BABABA"/>
              <w:bottom w:val="single" w:sz="8" w:space="0" w:color="BABABA"/>
              <w:right w:val="single" w:sz="8" w:space="0" w:color="BABABA"/>
            </w:tcBorders>
          </w:tcPr>
          <w:p w14:paraId="4922D9CF" w14:textId="77777777" w:rsidR="00BA160A" w:rsidRPr="00722521" w:rsidRDefault="00BA160A" w:rsidP="00A903E6">
            <w:pPr>
              <w:pStyle w:val="TableParagraph"/>
              <w:mirrorIndents/>
              <w:rPr>
                <w:b/>
                <w:szCs w:val="17"/>
              </w:rPr>
            </w:pPr>
          </w:p>
        </w:tc>
        <w:tc>
          <w:tcPr>
            <w:tcW w:w="426" w:type="pct"/>
            <w:tcBorders>
              <w:top w:val="single" w:sz="8" w:space="0" w:color="BABABA"/>
              <w:left w:val="single" w:sz="8" w:space="0" w:color="BABABA"/>
              <w:bottom w:val="single" w:sz="8" w:space="0" w:color="BABABA"/>
              <w:right w:val="nil"/>
            </w:tcBorders>
          </w:tcPr>
          <w:p w14:paraId="767EB2E4" w14:textId="77777777" w:rsidR="00BA160A" w:rsidRPr="00722521" w:rsidRDefault="00BA160A" w:rsidP="00A903E6">
            <w:pPr>
              <w:pStyle w:val="TableParagraph"/>
              <w:mirrorIndents/>
              <w:rPr>
                <w:b/>
                <w:szCs w:val="17"/>
              </w:rPr>
            </w:pPr>
          </w:p>
        </w:tc>
      </w:tr>
      <w:tr w:rsidR="00BA160A" w:rsidRPr="00722521" w14:paraId="21FE6B86" w14:textId="77777777" w:rsidTr="00A155F5">
        <w:trPr>
          <w:trHeight w:hRule="exact" w:val="1486"/>
        </w:trPr>
        <w:tc>
          <w:tcPr>
            <w:tcW w:w="1298" w:type="pct"/>
            <w:tcBorders>
              <w:top w:val="single" w:sz="8" w:space="0" w:color="BABABA"/>
              <w:left w:val="single" w:sz="8" w:space="0" w:color="BABABA"/>
              <w:bottom w:val="single" w:sz="8" w:space="0" w:color="BABABA"/>
              <w:right w:val="single" w:sz="8" w:space="0" w:color="BABABA"/>
            </w:tcBorders>
            <w:hideMark/>
          </w:tcPr>
          <w:p w14:paraId="5D9E7868" w14:textId="77777777" w:rsidR="00BA160A" w:rsidRPr="00722521" w:rsidRDefault="00BA160A" w:rsidP="00A903E6">
            <w:pPr>
              <w:pStyle w:val="TableParagraph"/>
              <w:mirrorIndents/>
              <w:rPr>
                <w:szCs w:val="17"/>
              </w:rPr>
            </w:pPr>
            <w:r w:rsidRPr="00722521">
              <w:rPr>
                <w:w w:val="105"/>
                <w:szCs w:val="17"/>
              </w:rPr>
              <w:t>The quality of the stress test and transparency exercises that were initiated and coordinated by the ESAs</w:t>
            </w:r>
          </w:p>
        </w:tc>
        <w:tc>
          <w:tcPr>
            <w:tcW w:w="492" w:type="pct"/>
            <w:tcBorders>
              <w:top w:val="single" w:sz="8" w:space="0" w:color="BABABA"/>
              <w:left w:val="single" w:sz="8" w:space="0" w:color="BABABA"/>
              <w:bottom w:val="single" w:sz="8" w:space="0" w:color="BABABA"/>
              <w:right w:val="single" w:sz="8" w:space="0" w:color="BABABA"/>
            </w:tcBorders>
          </w:tcPr>
          <w:p w14:paraId="0455ABAD"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15CC06C2"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1F29E0D2" w14:textId="0721DE9F" w:rsidR="00BA160A" w:rsidRPr="00722521" w:rsidRDefault="00FF0043" w:rsidP="00A903E6">
            <w:pPr>
              <w:pStyle w:val="TableParagraph"/>
              <w:mirrorIndents/>
              <w:rPr>
                <w:b/>
                <w:szCs w:val="17"/>
              </w:rPr>
            </w:pPr>
            <w:r w:rsidRPr="00722521">
              <w:rPr>
                <w:b/>
                <w:szCs w:val="17"/>
              </w:rPr>
              <w:t>x</w:t>
            </w:r>
          </w:p>
        </w:tc>
        <w:tc>
          <w:tcPr>
            <w:tcW w:w="696" w:type="pct"/>
            <w:tcBorders>
              <w:top w:val="single" w:sz="8" w:space="0" w:color="BABABA"/>
              <w:left w:val="single" w:sz="8" w:space="0" w:color="BABABA"/>
              <w:bottom w:val="single" w:sz="8" w:space="0" w:color="BABABA"/>
              <w:right w:val="single" w:sz="8" w:space="0" w:color="BABABA"/>
            </w:tcBorders>
          </w:tcPr>
          <w:p w14:paraId="749F300E"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05481E5A" w14:textId="77777777" w:rsidR="00BA160A" w:rsidRPr="00722521" w:rsidRDefault="00BA160A" w:rsidP="00A903E6">
            <w:pPr>
              <w:pStyle w:val="TableParagraph"/>
              <w:mirrorIndents/>
              <w:rPr>
                <w:b/>
                <w:szCs w:val="17"/>
              </w:rPr>
            </w:pPr>
          </w:p>
        </w:tc>
        <w:tc>
          <w:tcPr>
            <w:tcW w:w="426" w:type="pct"/>
            <w:tcBorders>
              <w:top w:val="single" w:sz="8" w:space="0" w:color="BABABA"/>
              <w:left w:val="single" w:sz="8" w:space="0" w:color="BABABA"/>
              <w:bottom w:val="single" w:sz="8" w:space="0" w:color="BABABA"/>
              <w:right w:val="nil"/>
            </w:tcBorders>
          </w:tcPr>
          <w:p w14:paraId="305AAF28" w14:textId="77777777" w:rsidR="00BA160A" w:rsidRPr="00722521" w:rsidRDefault="00BA160A" w:rsidP="00A903E6">
            <w:pPr>
              <w:pStyle w:val="TableParagraph"/>
              <w:mirrorIndents/>
              <w:rPr>
                <w:b/>
                <w:szCs w:val="17"/>
              </w:rPr>
            </w:pPr>
          </w:p>
        </w:tc>
      </w:tr>
      <w:tr w:rsidR="00BA160A" w:rsidRPr="00722521" w14:paraId="7F653EC3" w14:textId="77777777" w:rsidTr="00A155F5">
        <w:trPr>
          <w:trHeight w:hRule="exact" w:val="2223"/>
        </w:trPr>
        <w:tc>
          <w:tcPr>
            <w:tcW w:w="1298" w:type="pct"/>
            <w:tcBorders>
              <w:top w:val="single" w:sz="8" w:space="0" w:color="BABABA"/>
              <w:left w:val="single" w:sz="8" w:space="0" w:color="BABABA"/>
              <w:bottom w:val="nil"/>
              <w:right w:val="single" w:sz="8" w:space="0" w:color="BABABA"/>
            </w:tcBorders>
            <w:hideMark/>
          </w:tcPr>
          <w:p w14:paraId="386FACED" w14:textId="156AEA43" w:rsidR="00BA160A" w:rsidRPr="00722521" w:rsidRDefault="00BA160A" w:rsidP="00A903E6">
            <w:pPr>
              <w:pStyle w:val="TableParagraph"/>
              <w:mirrorIndents/>
              <w:rPr>
                <w:szCs w:val="17"/>
              </w:rPr>
            </w:pPr>
            <w:r w:rsidRPr="00722521">
              <w:rPr>
                <w:w w:val="105"/>
                <w:szCs w:val="17"/>
              </w:rPr>
              <w:t>The interaction between the ESRB</w:t>
            </w:r>
            <w:r w:rsidR="00A155F5" w:rsidRPr="00722521">
              <w:rPr>
                <w:w w:val="105"/>
                <w:szCs w:val="17"/>
              </w:rPr>
              <w:t xml:space="preserve"> and ESAs on the development of a common set of quantitative and qualitative indicators to identify and measure systemic</w:t>
            </w:r>
            <w:r w:rsidR="00A155F5" w:rsidRPr="00722521">
              <w:rPr>
                <w:w w:val="102"/>
                <w:szCs w:val="17"/>
              </w:rPr>
              <w:t xml:space="preserve"> </w:t>
            </w:r>
            <w:r w:rsidR="00A155F5" w:rsidRPr="00722521">
              <w:rPr>
                <w:w w:val="105"/>
                <w:szCs w:val="17"/>
              </w:rPr>
              <w:t>risk</w:t>
            </w:r>
          </w:p>
        </w:tc>
        <w:tc>
          <w:tcPr>
            <w:tcW w:w="492" w:type="pct"/>
            <w:tcBorders>
              <w:top w:val="single" w:sz="8" w:space="0" w:color="BABABA"/>
              <w:left w:val="single" w:sz="8" w:space="0" w:color="BABABA"/>
              <w:bottom w:val="nil"/>
              <w:right w:val="single" w:sz="8" w:space="0" w:color="BABABA"/>
            </w:tcBorders>
          </w:tcPr>
          <w:p w14:paraId="2F49D13F" w14:textId="77777777" w:rsidR="00BA160A" w:rsidRPr="00722521" w:rsidRDefault="00BA160A" w:rsidP="00A903E6">
            <w:pPr>
              <w:mirrorIndents/>
              <w:rPr>
                <w:sz w:val="17"/>
                <w:szCs w:val="17"/>
              </w:rPr>
            </w:pPr>
          </w:p>
        </w:tc>
        <w:tc>
          <w:tcPr>
            <w:tcW w:w="696" w:type="pct"/>
            <w:tcBorders>
              <w:top w:val="single" w:sz="8" w:space="0" w:color="BABABA"/>
              <w:left w:val="single" w:sz="8" w:space="0" w:color="BABABA"/>
              <w:bottom w:val="nil"/>
              <w:right w:val="single" w:sz="8" w:space="0" w:color="BABABA"/>
            </w:tcBorders>
          </w:tcPr>
          <w:p w14:paraId="3DED2CDD" w14:textId="77777777" w:rsidR="00BA160A" w:rsidRPr="00722521" w:rsidRDefault="00BA160A" w:rsidP="00FF0043">
            <w:pPr>
              <w:pStyle w:val="TableParagraph"/>
              <w:mirrorIndents/>
              <w:rPr>
                <w:b/>
                <w:szCs w:val="17"/>
              </w:rPr>
            </w:pPr>
          </w:p>
        </w:tc>
        <w:tc>
          <w:tcPr>
            <w:tcW w:w="696" w:type="pct"/>
            <w:tcBorders>
              <w:top w:val="single" w:sz="8" w:space="0" w:color="BABABA"/>
              <w:left w:val="single" w:sz="8" w:space="0" w:color="BABABA"/>
              <w:bottom w:val="nil"/>
              <w:right w:val="single" w:sz="8" w:space="0" w:color="BABABA"/>
            </w:tcBorders>
          </w:tcPr>
          <w:p w14:paraId="4EDEDEFE" w14:textId="698362EC" w:rsidR="00BA160A" w:rsidRPr="00722521" w:rsidRDefault="00FF0043" w:rsidP="00FF0043">
            <w:pPr>
              <w:pStyle w:val="TableParagraph"/>
              <w:mirrorIndents/>
              <w:rPr>
                <w:b/>
                <w:szCs w:val="17"/>
              </w:rPr>
            </w:pPr>
            <w:r w:rsidRPr="00722521">
              <w:rPr>
                <w:b/>
                <w:szCs w:val="17"/>
              </w:rPr>
              <w:t>x</w:t>
            </w:r>
          </w:p>
        </w:tc>
        <w:tc>
          <w:tcPr>
            <w:tcW w:w="696" w:type="pct"/>
            <w:tcBorders>
              <w:top w:val="single" w:sz="8" w:space="0" w:color="BABABA"/>
              <w:left w:val="single" w:sz="8" w:space="0" w:color="BABABA"/>
              <w:bottom w:val="nil"/>
              <w:right w:val="single" w:sz="8" w:space="0" w:color="BABABA"/>
            </w:tcBorders>
          </w:tcPr>
          <w:p w14:paraId="571DA5C4" w14:textId="77777777" w:rsidR="00BA160A" w:rsidRPr="00722521" w:rsidRDefault="00BA160A" w:rsidP="00A903E6">
            <w:pPr>
              <w:mirrorIndents/>
              <w:rPr>
                <w:sz w:val="17"/>
                <w:szCs w:val="17"/>
              </w:rPr>
            </w:pPr>
          </w:p>
        </w:tc>
        <w:tc>
          <w:tcPr>
            <w:tcW w:w="696" w:type="pct"/>
            <w:tcBorders>
              <w:top w:val="single" w:sz="8" w:space="0" w:color="BABABA"/>
              <w:left w:val="single" w:sz="8" w:space="0" w:color="BABABA"/>
              <w:bottom w:val="nil"/>
              <w:right w:val="single" w:sz="8" w:space="0" w:color="BABABA"/>
            </w:tcBorders>
          </w:tcPr>
          <w:p w14:paraId="276D34D5" w14:textId="77777777" w:rsidR="00BA160A" w:rsidRPr="00722521" w:rsidRDefault="00BA160A" w:rsidP="00A903E6">
            <w:pPr>
              <w:mirrorIndents/>
              <w:rPr>
                <w:sz w:val="17"/>
                <w:szCs w:val="17"/>
              </w:rPr>
            </w:pPr>
          </w:p>
        </w:tc>
        <w:tc>
          <w:tcPr>
            <w:tcW w:w="426" w:type="pct"/>
            <w:tcBorders>
              <w:top w:val="single" w:sz="8" w:space="0" w:color="BABABA"/>
              <w:left w:val="single" w:sz="8" w:space="0" w:color="BABABA"/>
              <w:bottom w:val="nil"/>
              <w:right w:val="nil"/>
            </w:tcBorders>
          </w:tcPr>
          <w:p w14:paraId="2390A70C" w14:textId="77777777" w:rsidR="00BA160A" w:rsidRPr="00722521" w:rsidRDefault="00BA160A" w:rsidP="00A903E6">
            <w:pPr>
              <w:mirrorIndents/>
              <w:rPr>
                <w:sz w:val="17"/>
                <w:szCs w:val="17"/>
              </w:rPr>
            </w:pPr>
          </w:p>
        </w:tc>
      </w:tr>
      <w:tr w:rsidR="00BA160A" w:rsidRPr="00722521" w14:paraId="5600F04C" w14:textId="77777777" w:rsidTr="00A155F5">
        <w:trPr>
          <w:trHeight w:hRule="exact" w:val="2326"/>
        </w:trPr>
        <w:tc>
          <w:tcPr>
            <w:tcW w:w="1298" w:type="pct"/>
            <w:tcBorders>
              <w:top w:val="single" w:sz="8" w:space="0" w:color="BABABA"/>
              <w:left w:val="single" w:sz="8" w:space="0" w:color="BABABA"/>
              <w:bottom w:val="single" w:sz="8" w:space="0" w:color="BABABA"/>
              <w:right w:val="single" w:sz="8" w:space="0" w:color="BABABA"/>
            </w:tcBorders>
            <w:hideMark/>
          </w:tcPr>
          <w:p w14:paraId="47FBD1A2" w14:textId="77777777" w:rsidR="00BA160A" w:rsidRPr="00722521" w:rsidRDefault="00BA160A" w:rsidP="00A903E6">
            <w:pPr>
              <w:pStyle w:val="TableParagraph"/>
              <w:mirrorIndents/>
              <w:rPr>
                <w:szCs w:val="17"/>
              </w:rPr>
            </w:pPr>
            <w:r w:rsidRPr="00722521">
              <w:rPr>
                <w:w w:val="105"/>
                <w:szCs w:val="17"/>
              </w:rPr>
              <w:t xml:space="preserve">The cooperation within the European System of Financial Supervision (ESFS) to monitor the </w:t>
            </w:r>
            <w:r w:rsidRPr="00722521">
              <w:rPr>
                <w:szCs w:val="17"/>
              </w:rPr>
              <w:t xml:space="preserve">interconnectedness </w:t>
            </w:r>
            <w:r w:rsidRPr="00722521">
              <w:rPr>
                <w:w w:val="105"/>
                <w:szCs w:val="17"/>
              </w:rPr>
              <w:t>of the various subsectors of the financial system</w:t>
            </w:r>
          </w:p>
          <w:p w14:paraId="22A60C32" w14:textId="77777777" w:rsidR="00BA160A" w:rsidRPr="00722521" w:rsidRDefault="00BA160A" w:rsidP="00A903E6">
            <w:pPr>
              <w:pStyle w:val="TableParagraph"/>
              <w:mirrorIndents/>
              <w:rPr>
                <w:szCs w:val="17"/>
              </w:rPr>
            </w:pPr>
            <w:r w:rsidRPr="00722521">
              <w:rPr>
                <w:w w:val="105"/>
                <w:szCs w:val="17"/>
              </w:rPr>
              <w:t>they are overseeing</w:t>
            </w:r>
          </w:p>
        </w:tc>
        <w:tc>
          <w:tcPr>
            <w:tcW w:w="492" w:type="pct"/>
            <w:tcBorders>
              <w:top w:val="single" w:sz="8" w:space="0" w:color="BABABA"/>
              <w:left w:val="single" w:sz="8" w:space="0" w:color="BABABA"/>
              <w:bottom w:val="single" w:sz="8" w:space="0" w:color="BABABA"/>
              <w:right w:val="single" w:sz="8" w:space="0" w:color="BABABA"/>
            </w:tcBorders>
          </w:tcPr>
          <w:p w14:paraId="705BF97C"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267D3100"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15928577" w14:textId="0774B41C" w:rsidR="00BA160A" w:rsidRPr="00722521" w:rsidRDefault="00FF0043" w:rsidP="00A903E6">
            <w:pPr>
              <w:pStyle w:val="TableParagraph"/>
              <w:mirrorIndents/>
              <w:rPr>
                <w:b/>
                <w:szCs w:val="17"/>
              </w:rPr>
            </w:pPr>
            <w:r w:rsidRPr="00722521">
              <w:rPr>
                <w:b/>
                <w:szCs w:val="17"/>
              </w:rPr>
              <w:t>x</w:t>
            </w:r>
          </w:p>
        </w:tc>
        <w:tc>
          <w:tcPr>
            <w:tcW w:w="696" w:type="pct"/>
            <w:tcBorders>
              <w:top w:val="single" w:sz="8" w:space="0" w:color="BABABA"/>
              <w:left w:val="single" w:sz="8" w:space="0" w:color="BABABA"/>
              <w:bottom w:val="single" w:sz="8" w:space="0" w:color="BABABA"/>
              <w:right w:val="single" w:sz="8" w:space="0" w:color="BABABA"/>
            </w:tcBorders>
          </w:tcPr>
          <w:p w14:paraId="1891FFFD"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4ADCCAD8" w14:textId="77777777" w:rsidR="00BA160A" w:rsidRPr="00722521" w:rsidRDefault="00BA160A" w:rsidP="00A903E6">
            <w:pPr>
              <w:pStyle w:val="TableParagraph"/>
              <w:mirrorIndents/>
              <w:rPr>
                <w:b/>
                <w:szCs w:val="17"/>
              </w:rPr>
            </w:pPr>
          </w:p>
        </w:tc>
        <w:tc>
          <w:tcPr>
            <w:tcW w:w="426" w:type="pct"/>
            <w:tcBorders>
              <w:top w:val="single" w:sz="8" w:space="0" w:color="BABABA"/>
              <w:left w:val="single" w:sz="8" w:space="0" w:color="BABABA"/>
              <w:bottom w:val="single" w:sz="8" w:space="0" w:color="BABABA"/>
              <w:right w:val="nil"/>
            </w:tcBorders>
          </w:tcPr>
          <w:p w14:paraId="6C496051" w14:textId="77777777" w:rsidR="00BA160A" w:rsidRPr="00722521" w:rsidRDefault="00BA160A" w:rsidP="00A903E6">
            <w:pPr>
              <w:pStyle w:val="TableParagraph"/>
              <w:mirrorIndents/>
              <w:rPr>
                <w:b/>
                <w:szCs w:val="17"/>
              </w:rPr>
            </w:pPr>
          </w:p>
        </w:tc>
      </w:tr>
      <w:tr w:rsidR="00BA160A" w:rsidRPr="00722521" w14:paraId="24A8D48C" w14:textId="77777777" w:rsidTr="00A155F5">
        <w:trPr>
          <w:trHeight w:hRule="exact" w:val="1050"/>
        </w:trPr>
        <w:tc>
          <w:tcPr>
            <w:tcW w:w="1298" w:type="pct"/>
            <w:tcBorders>
              <w:top w:val="single" w:sz="8" w:space="0" w:color="BABABA"/>
              <w:left w:val="single" w:sz="8" w:space="0" w:color="BABABA"/>
              <w:bottom w:val="single" w:sz="8" w:space="0" w:color="BABABA"/>
              <w:right w:val="single" w:sz="8" w:space="0" w:color="BABABA"/>
            </w:tcBorders>
            <w:hideMark/>
          </w:tcPr>
          <w:p w14:paraId="7D0F6A99" w14:textId="77777777" w:rsidR="00BA160A" w:rsidRPr="00722521" w:rsidRDefault="00BA160A" w:rsidP="00A903E6">
            <w:pPr>
              <w:pStyle w:val="TableParagraph"/>
              <w:mirrorIndents/>
              <w:rPr>
                <w:szCs w:val="17"/>
              </w:rPr>
            </w:pPr>
            <w:r w:rsidRPr="00722521">
              <w:rPr>
                <w:w w:val="105"/>
                <w:szCs w:val="17"/>
              </w:rPr>
              <w:t>The broader cooperation between the ESRB and the ESAs within the ESFS</w:t>
            </w:r>
          </w:p>
        </w:tc>
        <w:tc>
          <w:tcPr>
            <w:tcW w:w="492" w:type="pct"/>
            <w:tcBorders>
              <w:top w:val="single" w:sz="8" w:space="0" w:color="BABABA"/>
              <w:left w:val="single" w:sz="8" w:space="0" w:color="BABABA"/>
              <w:bottom w:val="single" w:sz="8" w:space="0" w:color="BABABA"/>
              <w:right w:val="single" w:sz="8" w:space="0" w:color="BABABA"/>
            </w:tcBorders>
          </w:tcPr>
          <w:p w14:paraId="5406040F"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27A8EBDB" w14:textId="402FE3AC" w:rsidR="00BA160A" w:rsidRPr="00722521" w:rsidRDefault="00FF0043" w:rsidP="00A903E6">
            <w:pPr>
              <w:pStyle w:val="TableParagraph"/>
              <w:mirrorIndents/>
              <w:rPr>
                <w:b/>
                <w:szCs w:val="17"/>
              </w:rPr>
            </w:pPr>
            <w:r w:rsidRPr="00722521">
              <w:rPr>
                <w:b/>
                <w:szCs w:val="17"/>
              </w:rPr>
              <w:t>x</w:t>
            </w:r>
          </w:p>
        </w:tc>
        <w:tc>
          <w:tcPr>
            <w:tcW w:w="696" w:type="pct"/>
            <w:tcBorders>
              <w:top w:val="single" w:sz="8" w:space="0" w:color="BABABA"/>
              <w:left w:val="single" w:sz="8" w:space="0" w:color="BABABA"/>
              <w:bottom w:val="single" w:sz="8" w:space="0" w:color="BABABA"/>
              <w:right w:val="single" w:sz="8" w:space="0" w:color="BABABA"/>
            </w:tcBorders>
          </w:tcPr>
          <w:p w14:paraId="39990B9A"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0EF6E8BE"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07739247" w14:textId="77777777" w:rsidR="00BA160A" w:rsidRPr="00722521" w:rsidRDefault="00BA160A" w:rsidP="00A903E6">
            <w:pPr>
              <w:pStyle w:val="TableParagraph"/>
              <w:mirrorIndents/>
              <w:rPr>
                <w:b/>
                <w:szCs w:val="17"/>
              </w:rPr>
            </w:pPr>
          </w:p>
        </w:tc>
        <w:tc>
          <w:tcPr>
            <w:tcW w:w="426" w:type="pct"/>
            <w:tcBorders>
              <w:top w:val="single" w:sz="8" w:space="0" w:color="BABABA"/>
              <w:left w:val="single" w:sz="8" w:space="0" w:color="BABABA"/>
              <w:bottom w:val="single" w:sz="8" w:space="0" w:color="BABABA"/>
              <w:right w:val="nil"/>
            </w:tcBorders>
          </w:tcPr>
          <w:p w14:paraId="66214033" w14:textId="77777777" w:rsidR="00BA160A" w:rsidRPr="00722521" w:rsidRDefault="00BA160A" w:rsidP="00A903E6">
            <w:pPr>
              <w:pStyle w:val="TableParagraph"/>
              <w:mirrorIndents/>
              <w:rPr>
                <w:b/>
                <w:szCs w:val="17"/>
              </w:rPr>
            </w:pPr>
          </w:p>
        </w:tc>
      </w:tr>
      <w:tr w:rsidR="00BA160A" w:rsidRPr="00722521" w14:paraId="4076B33F" w14:textId="77777777" w:rsidTr="00A155F5">
        <w:trPr>
          <w:trHeight w:hRule="exact" w:val="1334"/>
        </w:trPr>
        <w:tc>
          <w:tcPr>
            <w:tcW w:w="1298" w:type="pct"/>
            <w:tcBorders>
              <w:top w:val="single" w:sz="8" w:space="0" w:color="BABABA"/>
              <w:left w:val="single" w:sz="8" w:space="0" w:color="BABABA"/>
              <w:bottom w:val="single" w:sz="8" w:space="0" w:color="BABABA"/>
              <w:right w:val="single" w:sz="8" w:space="0" w:color="BABABA"/>
            </w:tcBorders>
            <w:hideMark/>
          </w:tcPr>
          <w:p w14:paraId="7BEEC789" w14:textId="77777777" w:rsidR="00BA160A" w:rsidRPr="00722521" w:rsidRDefault="00BA160A" w:rsidP="00A903E6">
            <w:pPr>
              <w:pStyle w:val="TableParagraph"/>
              <w:mirrorIndents/>
              <w:rPr>
                <w:szCs w:val="17"/>
              </w:rPr>
            </w:pPr>
            <w:r w:rsidRPr="00722521">
              <w:rPr>
                <w:w w:val="105"/>
                <w:szCs w:val="17"/>
              </w:rPr>
              <w:t>The contribution of the ESAs to facilitating the dialogue between micro- and macro- supervisors</w:t>
            </w:r>
          </w:p>
        </w:tc>
        <w:tc>
          <w:tcPr>
            <w:tcW w:w="492" w:type="pct"/>
            <w:tcBorders>
              <w:top w:val="single" w:sz="8" w:space="0" w:color="BABABA"/>
              <w:left w:val="single" w:sz="8" w:space="0" w:color="BABABA"/>
              <w:bottom w:val="single" w:sz="8" w:space="0" w:color="BABABA"/>
              <w:right w:val="single" w:sz="8" w:space="0" w:color="BABABA"/>
            </w:tcBorders>
          </w:tcPr>
          <w:p w14:paraId="5DB05648"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220D191E" w14:textId="72624243" w:rsidR="00BA160A" w:rsidRPr="00722521" w:rsidRDefault="00FF0043" w:rsidP="00A903E6">
            <w:pPr>
              <w:pStyle w:val="TableParagraph"/>
              <w:mirrorIndents/>
              <w:rPr>
                <w:b/>
                <w:szCs w:val="17"/>
              </w:rPr>
            </w:pPr>
            <w:r w:rsidRPr="00722521">
              <w:rPr>
                <w:b/>
                <w:szCs w:val="17"/>
              </w:rPr>
              <w:t>x</w:t>
            </w:r>
          </w:p>
        </w:tc>
        <w:tc>
          <w:tcPr>
            <w:tcW w:w="696" w:type="pct"/>
            <w:tcBorders>
              <w:top w:val="single" w:sz="8" w:space="0" w:color="BABABA"/>
              <w:left w:val="single" w:sz="8" w:space="0" w:color="BABABA"/>
              <w:bottom w:val="single" w:sz="8" w:space="0" w:color="BABABA"/>
              <w:right w:val="single" w:sz="8" w:space="0" w:color="BABABA"/>
            </w:tcBorders>
          </w:tcPr>
          <w:p w14:paraId="5948D663"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1B81D056" w14:textId="77777777" w:rsidR="00BA160A" w:rsidRPr="00722521" w:rsidRDefault="00BA160A" w:rsidP="00A903E6">
            <w:pPr>
              <w:pStyle w:val="TableParagraph"/>
              <w:mirrorIndents/>
              <w:rPr>
                <w:b/>
                <w:szCs w:val="17"/>
              </w:rPr>
            </w:pPr>
          </w:p>
        </w:tc>
        <w:tc>
          <w:tcPr>
            <w:tcW w:w="696" w:type="pct"/>
            <w:tcBorders>
              <w:top w:val="single" w:sz="8" w:space="0" w:color="BABABA"/>
              <w:left w:val="single" w:sz="8" w:space="0" w:color="BABABA"/>
              <w:bottom w:val="single" w:sz="8" w:space="0" w:color="BABABA"/>
              <w:right w:val="single" w:sz="8" w:space="0" w:color="BABABA"/>
            </w:tcBorders>
          </w:tcPr>
          <w:p w14:paraId="3613D9FE" w14:textId="77777777" w:rsidR="00BA160A" w:rsidRPr="00722521" w:rsidRDefault="00BA160A" w:rsidP="00A903E6">
            <w:pPr>
              <w:pStyle w:val="TableParagraph"/>
              <w:mirrorIndents/>
              <w:rPr>
                <w:b/>
                <w:szCs w:val="17"/>
              </w:rPr>
            </w:pPr>
          </w:p>
        </w:tc>
        <w:tc>
          <w:tcPr>
            <w:tcW w:w="426" w:type="pct"/>
            <w:tcBorders>
              <w:top w:val="single" w:sz="8" w:space="0" w:color="BABABA"/>
              <w:left w:val="single" w:sz="8" w:space="0" w:color="BABABA"/>
              <w:bottom w:val="single" w:sz="8" w:space="0" w:color="BABABA"/>
              <w:right w:val="nil"/>
            </w:tcBorders>
          </w:tcPr>
          <w:p w14:paraId="1D1B6ECF" w14:textId="77777777" w:rsidR="00BA160A" w:rsidRPr="00722521" w:rsidRDefault="00BA160A" w:rsidP="00A903E6">
            <w:pPr>
              <w:pStyle w:val="TableParagraph"/>
              <w:mirrorIndents/>
              <w:rPr>
                <w:b/>
                <w:szCs w:val="17"/>
              </w:rPr>
            </w:pPr>
          </w:p>
        </w:tc>
      </w:tr>
    </w:tbl>
    <w:p w14:paraId="24C74CA2" w14:textId="77777777" w:rsidR="00BA160A" w:rsidRPr="00722521" w:rsidRDefault="00BA160A" w:rsidP="00A903E6">
      <w:pPr>
        <w:pStyle w:val="Textkrper"/>
        <w:mirrorIndents/>
        <w:rPr>
          <w:rFonts w:ascii="Verdana" w:hAnsi="Verdana"/>
          <w:sz w:val="17"/>
          <w:szCs w:val="17"/>
        </w:rPr>
      </w:pPr>
    </w:p>
    <w:p w14:paraId="0CD3A70A" w14:textId="77777777" w:rsidR="00BA160A" w:rsidRPr="00722521" w:rsidRDefault="00BA160A" w:rsidP="00A155F5">
      <w:pPr>
        <w:pStyle w:val="Textkrper"/>
        <w:ind w:left="0"/>
        <w:mirrorIndents/>
        <w:rPr>
          <w:rFonts w:ascii="Verdana" w:hAnsi="Verdana"/>
          <w:sz w:val="17"/>
          <w:szCs w:val="17"/>
        </w:rPr>
      </w:pPr>
      <w:r w:rsidRPr="00722521">
        <w:rPr>
          <w:rFonts w:ascii="Verdana" w:hAnsi="Verdana"/>
          <w:sz w:val="17"/>
          <w:szCs w:val="17"/>
          <w:highlight w:val="lightGray"/>
        </w:rPr>
        <w:t>If you identify room for improvement for EIOPA, please specify how this could be addressed:</w:t>
      </w:r>
    </w:p>
    <w:p w14:paraId="02957A23" w14:textId="0DA57BF1" w:rsidR="00A155F5" w:rsidRPr="00722521" w:rsidRDefault="00A155F5" w:rsidP="00A903E6">
      <w:pPr>
        <w:mirrorIndents/>
        <w:rPr>
          <w:sz w:val="17"/>
          <w:szCs w:val="17"/>
        </w:rPr>
      </w:pPr>
    </w:p>
    <w:p w14:paraId="0539A8C1" w14:textId="20685445" w:rsidR="00E60DEB" w:rsidRPr="00722521" w:rsidRDefault="00722521" w:rsidP="00FF0043">
      <w:pPr>
        <w:mirrorIndents/>
        <w:rPr>
          <w:sz w:val="17"/>
          <w:szCs w:val="17"/>
        </w:rPr>
      </w:pPr>
      <w:r>
        <w:rPr>
          <w:sz w:val="17"/>
          <w:szCs w:val="17"/>
        </w:rPr>
        <w:t>VVO</w:t>
      </w:r>
      <w:r w:rsidR="00E60DEB" w:rsidRPr="00722521">
        <w:rPr>
          <w:sz w:val="17"/>
          <w:szCs w:val="17"/>
        </w:rPr>
        <w:t xml:space="preserve"> is of the view that</w:t>
      </w:r>
      <w:r w:rsidR="00FF0043" w:rsidRPr="00722521">
        <w:rPr>
          <w:sz w:val="17"/>
          <w:szCs w:val="17"/>
        </w:rPr>
        <w:t xml:space="preserve"> the cooperation between the ESRB and the ESAs as part of the ESFS functions well</w:t>
      </w:r>
      <w:r w:rsidR="00E60DEB" w:rsidRPr="00722521">
        <w:rPr>
          <w:sz w:val="17"/>
          <w:szCs w:val="17"/>
        </w:rPr>
        <w:t xml:space="preserve"> overall</w:t>
      </w:r>
      <w:r w:rsidR="00FF0043" w:rsidRPr="00722521">
        <w:rPr>
          <w:sz w:val="17"/>
          <w:szCs w:val="17"/>
        </w:rPr>
        <w:t xml:space="preserve">. </w:t>
      </w:r>
    </w:p>
    <w:p w14:paraId="28998F81" w14:textId="77777777" w:rsidR="00E60DEB" w:rsidRPr="00722521" w:rsidRDefault="00E60DEB" w:rsidP="00FF0043">
      <w:pPr>
        <w:mirrorIndents/>
        <w:rPr>
          <w:sz w:val="17"/>
          <w:szCs w:val="17"/>
        </w:rPr>
      </w:pPr>
    </w:p>
    <w:p w14:paraId="5D4DC869" w14:textId="195C0214" w:rsidR="00FF0043" w:rsidRPr="00722521" w:rsidRDefault="00FF0043" w:rsidP="00FF0043">
      <w:pPr>
        <w:mirrorIndents/>
        <w:rPr>
          <w:sz w:val="17"/>
          <w:szCs w:val="17"/>
        </w:rPr>
      </w:pPr>
      <w:r w:rsidRPr="00722521">
        <w:rPr>
          <w:sz w:val="17"/>
          <w:szCs w:val="17"/>
        </w:rPr>
        <w:t>The recent experience during the C</w:t>
      </w:r>
      <w:r w:rsidR="00E60DEB" w:rsidRPr="00722521">
        <w:rPr>
          <w:sz w:val="17"/>
          <w:szCs w:val="17"/>
        </w:rPr>
        <w:t>OVID</w:t>
      </w:r>
      <w:r w:rsidRPr="00722521">
        <w:rPr>
          <w:sz w:val="17"/>
          <w:szCs w:val="17"/>
        </w:rPr>
        <w:t xml:space="preserve">-19 crisis, however, highlighted a significant problem for the ESRB. At least for the insurance market, ESRB policies seem to be either repetitive of EIOPA policy decisions or driven by a desire to apply banking-inspired policies across the financial sector. The report of the ESRB on the distribution </w:t>
      </w:r>
      <w:r w:rsidRPr="00722521">
        <w:rPr>
          <w:sz w:val="17"/>
          <w:szCs w:val="17"/>
        </w:rPr>
        <w:lastRenderedPageBreak/>
        <w:t>of dividends in the financial sector during the C</w:t>
      </w:r>
      <w:r w:rsidR="00E60DEB" w:rsidRPr="00722521">
        <w:rPr>
          <w:sz w:val="17"/>
          <w:szCs w:val="17"/>
        </w:rPr>
        <w:t>OVID</w:t>
      </w:r>
      <w:r w:rsidRPr="00722521">
        <w:rPr>
          <w:sz w:val="17"/>
          <w:szCs w:val="17"/>
        </w:rPr>
        <w:t xml:space="preserve">-19 crisis called-out ensuring a level-playing field between financial services sectors as an argument why insurance undertakings should not make discretionary payments such as dividends or the repayment of intra-group loans. </w:t>
      </w:r>
      <w:r w:rsidR="00722521">
        <w:rPr>
          <w:sz w:val="17"/>
          <w:szCs w:val="17"/>
        </w:rPr>
        <w:t>VVO</w:t>
      </w:r>
      <w:r w:rsidRPr="00722521">
        <w:rPr>
          <w:sz w:val="17"/>
          <w:szCs w:val="17"/>
        </w:rPr>
        <w:t xml:space="preserve"> believes that such an approach </w:t>
      </w:r>
      <w:r w:rsidR="00E60DEB" w:rsidRPr="00722521">
        <w:rPr>
          <w:sz w:val="17"/>
          <w:szCs w:val="17"/>
        </w:rPr>
        <w:t xml:space="preserve">based on decisions taken for the banking sector </w:t>
      </w:r>
      <w:r w:rsidRPr="00722521">
        <w:rPr>
          <w:sz w:val="17"/>
          <w:szCs w:val="17"/>
        </w:rPr>
        <w:t>is biased and in fact deteriorating as the long-term nature of the insurance industry was a key parameter for the stability of financial markets. Prohibiting insurers from making payments to other, usually, long-term oriented investors such as pension funds increased the pressure on these players which was already building-up due to the disruptions immediately caused by the crisis.</w:t>
      </w:r>
    </w:p>
    <w:p w14:paraId="0C0E42DB" w14:textId="77777777" w:rsidR="00FF0043" w:rsidRPr="00722521" w:rsidRDefault="00FF0043" w:rsidP="00FF0043">
      <w:pPr>
        <w:mirrorIndents/>
        <w:rPr>
          <w:sz w:val="17"/>
          <w:szCs w:val="17"/>
        </w:rPr>
      </w:pPr>
    </w:p>
    <w:p w14:paraId="1A2795D1" w14:textId="79C885EA" w:rsidR="00FF0043" w:rsidRPr="00722521" w:rsidRDefault="00FF0043" w:rsidP="00FF0043">
      <w:pPr>
        <w:mirrorIndents/>
        <w:rPr>
          <w:sz w:val="17"/>
          <w:szCs w:val="17"/>
        </w:rPr>
      </w:pPr>
      <w:r w:rsidRPr="00722521">
        <w:rPr>
          <w:sz w:val="17"/>
          <w:szCs w:val="17"/>
        </w:rPr>
        <w:t xml:space="preserve">On more general policy areas, the ESRB acts to support the repetitive call of EIOPA for additional powers for the macroprudential supervision of the insurance market, </w:t>
      </w:r>
      <w:proofErr w:type="spellStart"/>
      <w:r w:rsidRPr="00722521">
        <w:rPr>
          <w:sz w:val="17"/>
          <w:szCs w:val="17"/>
        </w:rPr>
        <w:t>ie</w:t>
      </w:r>
      <w:proofErr w:type="spellEnd"/>
      <w:r w:rsidRPr="00722521">
        <w:rPr>
          <w:sz w:val="17"/>
          <w:szCs w:val="17"/>
        </w:rPr>
        <w:t xml:space="preserve"> liquidity tools and systemic risk measures. The interlinked governance of the ESFS threatens the independence of the ESRB from the ESAs.</w:t>
      </w:r>
    </w:p>
    <w:p w14:paraId="07B55CCD" w14:textId="77777777" w:rsidR="00A155F5" w:rsidRPr="00722521" w:rsidRDefault="00A155F5" w:rsidP="00A903E6">
      <w:pPr>
        <w:mirrorIndents/>
        <w:rPr>
          <w:sz w:val="17"/>
          <w:szCs w:val="17"/>
        </w:rPr>
      </w:pPr>
    </w:p>
    <w:p w14:paraId="38590EBF" w14:textId="77777777" w:rsidR="00A155F5" w:rsidRPr="00722521" w:rsidRDefault="00A155F5" w:rsidP="00A155F5">
      <w:pPr>
        <w:pStyle w:val="berschrift1"/>
        <w:ind w:left="0"/>
        <w:mirrorIndents/>
        <w:rPr>
          <w:rFonts w:ascii="Verdana" w:hAnsi="Verdana"/>
          <w:sz w:val="17"/>
          <w:szCs w:val="17"/>
        </w:rPr>
      </w:pPr>
    </w:p>
    <w:p w14:paraId="552970A3" w14:textId="5D524620" w:rsidR="00BA160A" w:rsidRPr="00722521" w:rsidRDefault="00BA160A" w:rsidP="00A155F5">
      <w:pPr>
        <w:pStyle w:val="berschrift1"/>
        <w:ind w:left="0"/>
        <w:mirrorIndents/>
        <w:rPr>
          <w:rFonts w:ascii="Verdana" w:hAnsi="Verdana"/>
          <w:sz w:val="17"/>
          <w:szCs w:val="17"/>
        </w:rPr>
      </w:pPr>
      <w:r w:rsidRPr="00722521">
        <w:rPr>
          <w:rFonts w:ascii="Verdana" w:hAnsi="Verdana"/>
          <w:sz w:val="17"/>
          <w:szCs w:val="17"/>
        </w:rPr>
        <w:t>B. Questions on the single</w:t>
      </w:r>
      <w:r w:rsidRPr="00722521">
        <w:rPr>
          <w:rFonts w:ascii="Verdana" w:hAnsi="Verdana"/>
          <w:spacing w:val="84"/>
          <w:sz w:val="17"/>
          <w:szCs w:val="17"/>
        </w:rPr>
        <w:t xml:space="preserve"> </w:t>
      </w:r>
      <w:r w:rsidRPr="00722521">
        <w:rPr>
          <w:rFonts w:ascii="Verdana" w:hAnsi="Verdana"/>
          <w:sz w:val="17"/>
          <w:szCs w:val="17"/>
        </w:rPr>
        <w:t>rulebook</w:t>
      </w:r>
    </w:p>
    <w:p w14:paraId="36A3605A" w14:textId="00AB5443" w:rsidR="00BA160A" w:rsidRPr="00722521" w:rsidRDefault="00BA160A" w:rsidP="00A155F5">
      <w:pPr>
        <w:pStyle w:val="Textkrper"/>
        <w:mirrorIndents/>
        <w:rPr>
          <w:b w:val="0"/>
          <w:sz w:val="17"/>
          <w:szCs w:val="17"/>
        </w:rPr>
      </w:pPr>
    </w:p>
    <w:p w14:paraId="0029FC9E" w14:textId="18D6BD24" w:rsidR="00BA160A" w:rsidRPr="00722521" w:rsidRDefault="00BA160A" w:rsidP="00A903E6">
      <w:pPr>
        <w:pStyle w:val="berschrift1"/>
        <w:numPr>
          <w:ilvl w:val="0"/>
          <w:numId w:val="6"/>
        </w:numPr>
        <w:tabs>
          <w:tab w:val="left" w:pos="499"/>
        </w:tabs>
        <w:ind w:left="232" w:hanging="383"/>
        <w:mirrorIndents/>
        <w:rPr>
          <w:rFonts w:ascii="Verdana" w:hAnsi="Verdana"/>
          <w:sz w:val="17"/>
          <w:szCs w:val="17"/>
        </w:rPr>
      </w:pPr>
      <w:r w:rsidRPr="00722521">
        <w:rPr>
          <w:rFonts w:ascii="Verdana" w:hAnsi="Verdana"/>
          <w:sz w:val="17"/>
          <w:szCs w:val="17"/>
        </w:rPr>
        <w:t>The ESAs work towards achieving a</w:t>
      </w:r>
      <w:r w:rsidRPr="00722521">
        <w:rPr>
          <w:rFonts w:ascii="Verdana" w:hAnsi="Verdana"/>
          <w:spacing w:val="11"/>
          <w:sz w:val="17"/>
          <w:szCs w:val="17"/>
        </w:rPr>
        <w:t xml:space="preserve"> </w:t>
      </w:r>
      <w:r w:rsidRPr="00722521">
        <w:rPr>
          <w:rFonts w:ascii="Verdana" w:hAnsi="Verdana"/>
          <w:sz w:val="17"/>
          <w:szCs w:val="17"/>
        </w:rPr>
        <w:t>rulebook</w:t>
      </w:r>
    </w:p>
    <w:p w14:paraId="65CCF7D0" w14:textId="3FF4E0F3" w:rsidR="00BA160A" w:rsidRPr="00722521" w:rsidRDefault="00BA160A" w:rsidP="00A903E6">
      <w:pPr>
        <w:pStyle w:val="Textkrper"/>
        <w:mirrorIndents/>
        <w:rPr>
          <w:rFonts w:ascii="Verdana" w:hAnsi="Verdana"/>
          <w:sz w:val="17"/>
          <w:szCs w:val="17"/>
        </w:rPr>
      </w:pPr>
    </w:p>
    <w:p w14:paraId="0DE45B2D" w14:textId="77777777" w:rsidR="00BA160A" w:rsidRPr="00722521" w:rsidRDefault="00BA160A" w:rsidP="00BE6FA5">
      <w:pPr>
        <w:pStyle w:val="Textkrper"/>
        <w:ind w:left="0"/>
        <w:mirrorIndents/>
        <w:rPr>
          <w:rFonts w:ascii="Verdana" w:hAnsi="Verdana"/>
          <w:sz w:val="17"/>
          <w:szCs w:val="17"/>
          <w:highlight w:val="lightGray"/>
        </w:rPr>
      </w:pPr>
      <w:r w:rsidRPr="00722521">
        <w:rPr>
          <w:rFonts w:ascii="Verdana" w:hAnsi="Verdana"/>
          <w:sz w:val="17"/>
          <w:szCs w:val="17"/>
          <w:highlight w:val="lightGray"/>
        </w:rPr>
        <w:t xml:space="preserve">Question 5.1 EBA: Do you consider that the technical standards and guidelines/recommendations developed by EBA have contributed sufficiently to further </w:t>
      </w:r>
      <w:proofErr w:type="spellStart"/>
      <w:r w:rsidRPr="00722521">
        <w:rPr>
          <w:rFonts w:ascii="Verdana" w:hAnsi="Verdana"/>
          <w:sz w:val="17"/>
          <w:szCs w:val="17"/>
          <w:highlight w:val="lightGray"/>
        </w:rPr>
        <w:t>harmonise</w:t>
      </w:r>
      <w:proofErr w:type="spellEnd"/>
      <w:r w:rsidRPr="00722521">
        <w:rPr>
          <w:rFonts w:ascii="Verdana" w:hAnsi="Verdana"/>
          <w:sz w:val="17"/>
          <w:szCs w:val="17"/>
          <w:highlight w:val="lightGray"/>
        </w:rPr>
        <w:t xml:space="preserve"> a core set of standards (the single rulebook)?</w:t>
      </w:r>
    </w:p>
    <w:p w14:paraId="028BF257" w14:textId="77777777" w:rsidR="00BE6FA5" w:rsidRPr="00722521" w:rsidRDefault="00BA160A" w:rsidP="00BE6FA5">
      <w:pPr>
        <w:pStyle w:val="CEABullet-Level1"/>
        <w:rPr>
          <w:color w:val="auto"/>
          <w:highlight w:val="lightGray"/>
        </w:rPr>
      </w:pPr>
      <w:r w:rsidRPr="00722521">
        <w:rPr>
          <w:color w:val="auto"/>
          <w:highlight w:val="lightGray"/>
        </w:rPr>
        <w:t xml:space="preserve">Yes </w:t>
      </w:r>
    </w:p>
    <w:p w14:paraId="22E07AE1" w14:textId="77777777" w:rsidR="00BE6FA5" w:rsidRPr="00722521" w:rsidRDefault="00BA160A" w:rsidP="00BE6FA5">
      <w:pPr>
        <w:pStyle w:val="CEABullet-Level1"/>
        <w:rPr>
          <w:color w:val="auto"/>
          <w:highlight w:val="lightGray"/>
        </w:rPr>
      </w:pPr>
      <w:r w:rsidRPr="00722521">
        <w:rPr>
          <w:color w:val="auto"/>
          <w:highlight w:val="lightGray"/>
        </w:rPr>
        <w:t xml:space="preserve">No </w:t>
      </w:r>
    </w:p>
    <w:p w14:paraId="0C8A80C1" w14:textId="4DDC98D8" w:rsidR="00BA160A" w:rsidRPr="00722521" w:rsidRDefault="00BA160A" w:rsidP="00BE6FA5">
      <w:pPr>
        <w:pStyle w:val="CEABullet-Level1"/>
        <w:rPr>
          <w:color w:val="auto"/>
          <w:highlight w:val="lightGray"/>
        </w:rPr>
      </w:pPr>
      <w:r w:rsidRPr="00722521">
        <w:rPr>
          <w:color w:val="auto"/>
          <w:highlight w:val="lightGray"/>
        </w:rPr>
        <w:t>Other</w:t>
      </w:r>
    </w:p>
    <w:p w14:paraId="387A2775" w14:textId="77777777" w:rsidR="00BA160A" w:rsidRPr="00722521" w:rsidRDefault="00BA160A" w:rsidP="00BE6FA5">
      <w:pPr>
        <w:pStyle w:val="CEABullet-Level1"/>
        <w:rPr>
          <w:color w:val="auto"/>
          <w:highlight w:val="lightGray"/>
        </w:rPr>
      </w:pPr>
      <w:r w:rsidRPr="00722521">
        <w:rPr>
          <w:color w:val="auto"/>
          <w:highlight w:val="lightGray"/>
        </w:rPr>
        <w:t>Don’t know / no opinion / not relevant</w:t>
      </w:r>
    </w:p>
    <w:p w14:paraId="414887F3" w14:textId="0C3B5268" w:rsidR="00BA160A" w:rsidRPr="00722521" w:rsidRDefault="00BA160A" w:rsidP="00A903E6">
      <w:pPr>
        <w:mirrorIndents/>
        <w:rPr>
          <w:sz w:val="17"/>
          <w:szCs w:val="17"/>
        </w:rPr>
      </w:pPr>
    </w:p>
    <w:p w14:paraId="277E0628" w14:textId="77777777" w:rsidR="00D612E9" w:rsidRPr="00722521" w:rsidRDefault="00D612E9" w:rsidP="00D612E9">
      <w:pPr>
        <w:pStyle w:val="CEABullet-Level1"/>
        <w:numPr>
          <w:ilvl w:val="0"/>
          <w:numId w:val="0"/>
        </w:numPr>
        <w:rPr>
          <w:color w:val="auto"/>
        </w:rPr>
      </w:pPr>
      <w:r w:rsidRPr="00722521">
        <w:rPr>
          <w:color w:val="auto"/>
        </w:rPr>
        <w:t>Don’t know / no opinion / not relevant</w:t>
      </w:r>
    </w:p>
    <w:p w14:paraId="5AD5253D" w14:textId="77777777" w:rsidR="00D612E9" w:rsidRPr="00722521" w:rsidRDefault="00D612E9" w:rsidP="00A903E6">
      <w:pPr>
        <w:mirrorIndents/>
        <w:rPr>
          <w:sz w:val="17"/>
          <w:szCs w:val="17"/>
        </w:rPr>
      </w:pPr>
    </w:p>
    <w:p w14:paraId="169443F4" w14:textId="77777777" w:rsidR="00BA160A" w:rsidRPr="00722521" w:rsidRDefault="00BA160A" w:rsidP="00BE6FA5">
      <w:pPr>
        <w:pStyle w:val="Textkrper"/>
        <w:ind w:left="0"/>
        <w:mirrorIndents/>
        <w:rPr>
          <w:rFonts w:ascii="Verdana" w:hAnsi="Verdana"/>
          <w:sz w:val="17"/>
          <w:szCs w:val="17"/>
        </w:rPr>
      </w:pPr>
      <w:r w:rsidRPr="00722521">
        <w:rPr>
          <w:rFonts w:ascii="Verdana" w:hAnsi="Verdana"/>
          <w:sz w:val="17"/>
          <w:szCs w:val="17"/>
          <w:highlight w:val="lightGray"/>
        </w:rPr>
        <w:t>Please specify what your mean by ‘other’ in your answer to question 5.1 for EBA:</w:t>
      </w:r>
    </w:p>
    <w:p w14:paraId="573188F9" w14:textId="1B3A957A" w:rsidR="00BA160A" w:rsidRPr="00722521" w:rsidRDefault="00BA160A" w:rsidP="00A903E6">
      <w:pPr>
        <w:mirrorIndents/>
        <w:rPr>
          <w:sz w:val="17"/>
          <w:szCs w:val="17"/>
        </w:rPr>
      </w:pPr>
    </w:p>
    <w:p w14:paraId="31851DBC" w14:textId="30647B78" w:rsidR="00BE6FA5" w:rsidRPr="00722521" w:rsidRDefault="00D612E9" w:rsidP="00A903E6">
      <w:pPr>
        <w:mirrorIndents/>
        <w:rPr>
          <w:sz w:val="17"/>
          <w:szCs w:val="17"/>
        </w:rPr>
      </w:pPr>
      <w:r w:rsidRPr="00722521">
        <w:rPr>
          <w:sz w:val="17"/>
          <w:szCs w:val="17"/>
        </w:rPr>
        <w:t>N/A</w:t>
      </w:r>
    </w:p>
    <w:p w14:paraId="0EEFF96D" w14:textId="77777777" w:rsidR="00BE6FA5" w:rsidRPr="00722521" w:rsidRDefault="00BE6FA5" w:rsidP="00A903E6">
      <w:pPr>
        <w:mirrorIndents/>
        <w:rPr>
          <w:sz w:val="17"/>
          <w:szCs w:val="17"/>
        </w:rPr>
      </w:pPr>
    </w:p>
    <w:p w14:paraId="22609E49" w14:textId="77777777" w:rsidR="00BA160A" w:rsidRPr="00722521" w:rsidRDefault="00BA160A" w:rsidP="00BE6FA5">
      <w:pPr>
        <w:pStyle w:val="Textkrper"/>
        <w:ind w:left="0"/>
        <w:mirrorIndents/>
        <w:rPr>
          <w:rFonts w:ascii="Verdana" w:hAnsi="Verdana"/>
          <w:sz w:val="17"/>
          <w:szCs w:val="17"/>
        </w:rPr>
      </w:pPr>
      <w:r w:rsidRPr="00722521">
        <w:rPr>
          <w:rFonts w:ascii="Verdana" w:hAnsi="Verdana"/>
          <w:sz w:val="17"/>
          <w:szCs w:val="17"/>
          <w:highlight w:val="lightGray"/>
        </w:rPr>
        <w:t>If you have identified areas for improvement for EBA, please explain:</w:t>
      </w:r>
    </w:p>
    <w:p w14:paraId="32610C35" w14:textId="2D720E5F" w:rsidR="00BE6FA5" w:rsidRPr="00722521" w:rsidRDefault="00BE6FA5" w:rsidP="00A903E6">
      <w:pPr>
        <w:mirrorIndents/>
        <w:rPr>
          <w:sz w:val="17"/>
          <w:szCs w:val="17"/>
        </w:rPr>
      </w:pPr>
    </w:p>
    <w:p w14:paraId="7E81EC9B" w14:textId="77777777" w:rsidR="00D612E9" w:rsidRPr="00722521" w:rsidRDefault="00D612E9" w:rsidP="00D612E9">
      <w:pPr>
        <w:mirrorIndents/>
        <w:rPr>
          <w:sz w:val="17"/>
          <w:szCs w:val="17"/>
        </w:rPr>
      </w:pPr>
      <w:r w:rsidRPr="00722521">
        <w:rPr>
          <w:sz w:val="17"/>
          <w:szCs w:val="17"/>
        </w:rPr>
        <w:t>N/A</w:t>
      </w:r>
    </w:p>
    <w:p w14:paraId="2CD4193B" w14:textId="77777777" w:rsidR="00BE6FA5" w:rsidRPr="00722521" w:rsidRDefault="00BE6FA5" w:rsidP="00BE6FA5">
      <w:pPr>
        <w:pStyle w:val="Textkrper"/>
        <w:ind w:left="0"/>
        <w:mirrorIndents/>
        <w:rPr>
          <w:rFonts w:ascii="Verdana" w:hAnsi="Verdana"/>
          <w:sz w:val="17"/>
          <w:szCs w:val="17"/>
        </w:rPr>
      </w:pPr>
    </w:p>
    <w:p w14:paraId="4011CDA8" w14:textId="7D01101D" w:rsidR="00BA160A" w:rsidRPr="00722521" w:rsidRDefault="00BA160A" w:rsidP="00BE6FA5">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5.1 for EBA:</w:t>
      </w:r>
    </w:p>
    <w:p w14:paraId="5ED011C0" w14:textId="77777777" w:rsidR="00BA160A" w:rsidRPr="00722521" w:rsidRDefault="00BA160A" w:rsidP="00A903E6">
      <w:pPr>
        <w:jc w:val="left"/>
        <w:rPr>
          <w:sz w:val="17"/>
          <w:szCs w:val="17"/>
        </w:rPr>
      </w:pPr>
    </w:p>
    <w:p w14:paraId="04F0F1DA" w14:textId="1F141B68" w:rsidR="00BE6FA5" w:rsidRPr="00722521" w:rsidRDefault="00D612E9" w:rsidP="00A903E6">
      <w:pPr>
        <w:jc w:val="left"/>
        <w:rPr>
          <w:sz w:val="17"/>
          <w:szCs w:val="17"/>
        </w:rPr>
      </w:pPr>
      <w:r w:rsidRPr="00722521">
        <w:rPr>
          <w:sz w:val="17"/>
          <w:szCs w:val="17"/>
        </w:rPr>
        <w:t>N/A</w:t>
      </w:r>
    </w:p>
    <w:p w14:paraId="20DE4FE1" w14:textId="77777777" w:rsidR="00BA160A" w:rsidRPr="00722521" w:rsidRDefault="00BA160A" w:rsidP="00A903E6">
      <w:pPr>
        <w:mirrorIndents/>
        <w:rPr>
          <w:sz w:val="17"/>
          <w:szCs w:val="17"/>
        </w:rPr>
      </w:pPr>
    </w:p>
    <w:p w14:paraId="39A6DB74" w14:textId="68BC0538" w:rsidR="00BA160A" w:rsidRPr="00722521" w:rsidRDefault="00BA160A" w:rsidP="00BE6FA5">
      <w:pPr>
        <w:pStyle w:val="Textkrper"/>
        <w:tabs>
          <w:tab w:val="left" w:pos="4213"/>
          <w:tab w:val="left" w:pos="5833"/>
          <w:tab w:val="left" w:pos="6402"/>
          <w:tab w:val="left" w:pos="7509"/>
          <w:tab w:val="left" w:pos="8387"/>
        </w:tabs>
        <w:ind w:left="0"/>
        <w:mirrorIndents/>
        <w:rPr>
          <w:rFonts w:ascii="Verdana" w:hAnsi="Verdana"/>
          <w:sz w:val="17"/>
          <w:szCs w:val="17"/>
        </w:rPr>
      </w:pPr>
      <w:r w:rsidRPr="00722521">
        <w:rPr>
          <w:rFonts w:ascii="Verdana" w:hAnsi="Verdana"/>
          <w:spacing w:val="2"/>
          <w:sz w:val="17"/>
          <w:szCs w:val="17"/>
          <w:highlight w:val="lightGray"/>
        </w:rPr>
        <w:t xml:space="preserve">Question </w:t>
      </w:r>
      <w:r w:rsidRPr="00722521">
        <w:rPr>
          <w:rFonts w:ascii="Verdana" w:hAnsi="Verdana"/>
          <w:sz w:val="17"/>
          <w:szCs w:val="17"/>
          <w:highlight w:val="lightGray"/>
        </w:rPr>
        <w:t xml:space="preserve">5.1 </w:t>
      </w:r>
      <w:r w:rsidRPr="00722521">
        <w:rPr>
          <w:rFonts w:ascii="Verdana" w:hAnsi="Verdana"/>
          <w:spacing w:val="2"/>
          <w:sz w:val="17"/>
          <w:szCs w:val="17"/>
          <w:highlight w:val="lightGray"/>
        </w:rPr>
        <w:t xml:space="preserve">EIOPA: </w:t>
      </w:r>
      <w:r w:rsidRPr="00722521">
        <w:rPr>
          <w:rFonts w:ascii="Verdana" w:hAnsi="Verdana"/>
          <w:sz w:val="17"/>
          <w:szCs w:val="17"/>
          <w:highlight w:val="lightGray"/>
        </w:rPr>
        <w:t xml:space="preserve">Do you </w:t>
      </w:r>
      <w:r w:rsidRPr="00722521">
        <w:rPr>
          <w:rFonts w:ascii="Verdana" w:hAnsi="Verdana"/>
          <w:spacing w:val="2"/>
          <w:sz w:val="17"/>
          <w:szCs w:val="17"/>
          <w:highlight w:val="lightGray"/>
        </w:rPr>
        <w:t xml:space="preserve">consider that </w:t>
      </w:r>
      <w:r w:rsidRPr="00722521">
        <w:rPr>
          <w:rFonts w:ascii="Verdana" w:hAnsi="Verdana"/>
          <w:sz w:val="17"/>
          <w:szCs w:val="17"/>
          <w:highlight w:val="lightGray"/>
        </w:rPr>
        <w:t xml:space="preserve">the </w:t>
      </w:r>
      <w:r w:rsidRPr="00722521">
        <w:rPr>
          <w:rFonts w:ascii="Verdana" w:hAnsi="Verdana"/>
          <w:spacing w:val="2"/>
          <w:sz w:val="17"/>
          <w:szCs w:val="17"/>
          <w:highlight w:val="lightGray"/>
        </w:rPr>
        <w:t xml:space="preserve">technical standards </w:t>
      </w:r>
      <w:r w:rsidRPr="00722521">
        <w:rPr>
          <w:rFonts w:ascii="Verdana" w:hAnsi="Verdana"/>
          <w:sz w:val="17"/>
          <w:szCs w:val="17"/>
          <w:highlight w:val="lightGray"/>
        </w:rPr>
        <w:t xml:space="preserve">and </w:t>
      </w:r>
      <w:r w:rsidRPr="00722521">
        <w:rPr>
          <w:rFonts w:ascii="Verdana" w:hAnsi="Verdana"/>
          <w:spacing w:val="3"/>
          <w:sz w:val="17"/>
          <w:szCs w:val="17"/>
          <w:highlight w:val="lightGray"/>
        </w:rPr>
        <w:t>guidelines/recommendations</w:t>
      </w:r>
      <w:r w:rsidR="00BE6FA5" w:rsidRPr="00722521">
        <w:rPr>
          <w:rFonts w:ascii="Verdana" w:hAnsi="Verdana"/>
          <w:spacing w:val="3"/>
          <w:sz w:val="17"/>
          <w:szCs w:val="17"/>
          <w:highlight w:val="lightGray"/>
        </w:rPr>
        <w:t xml:space="preserve"> </w:t>
      </w:r>
      <w:r w:rsidRPr="00722521">
        <w:rPr>
          <w:rFonts w:ascii="Verdana" w:hAnsi="Verdana"/>
          <w:spacing w:val="3"/>
          <w:sz w:val="17"/>
          <w:szCs w:val="17"/>
          <w:highlight w:val="lightGray"/>
        </w:rPr>
        <w:t>developed</w:t>
      </w:r>
      <w:r w:rsidR="00BE6FA5" w:rsidRPr="00722521">
        <w:rPr>
          <w:rFonts w:ascii="Verdana" w:hAnsi="Verdana"/>
          <w:spacing w:val="3"/>
          <w:sz w:val="17"/>
          <w:szCs w:val="17"/>
          <w:highlight w:val="lightGray"/>
        </w:rPr>
        <w:t xml:space="preserve"> </w:t>
      </w:r>
      <w:r w:rsidRPr="00722521">
        <w:rPr>
          <w:rFonts w:ascii="Verdana" w:hAnsi="Verdana"/>
          <w:sz w:val="17"/>
          <w:szCs w:val="17"/>
          <w:highlight w:val="lightGray"/>
        </w:rPr>
        <w:t>by</w:t>
      </w:r>
      <w:r w:rsidR="00BE6FA5" w:rsidRPr="00722521">
        <w:rPr>
          <w:rFonts w:ascii="Verdana" w:hAnsi="Verdana"/>
          <w:sz w:val="17"/>
          <w:szCs w:val="17"/>
          <w:highlight w:val="lightGray"/>
        </w:rPr>
        <w:t xml:space="preserve"> </w:t>
      </w:r>
      <w:r w:rsidRPr="00722521">
        <w:rPr>
          <w:rFonts w:ascii="Verdana" w:hAnsi="Verdana"/>
          <w:spacing w:val="3"/>
          <w:sz w:val="17"/>
          <w:szCs w:val="17"/>
          <w:highlight w:val="lightGray"/>
        </w:rPr>
        <w:t>EIOPA</w:t>
      </w:r>
      <w:r w:rsidR="00BE6FA5" w:rsidRPr="00722521">
        <w:rPr>
          <w:rFonts w:ascii="Verdana" w:hAnsi="Verdana"/>
          <w:spacing w:val="3"/>
          <w:sz w:val="17"/>
          <w:szCs w:val="17"/>
          <w:highlight w:val="lightGray"/>
        </w:rPr>
        <w:t xml:space="preserve"> </w:t>
      </w:r>
      <w:r w:rsidRPr="00722521">
        <w:rPr>
          <w:rFonts w:ascii="Verdana" w:hAnsi="Verdana"/>
          <w:spacing w:val="3"/>
          <w:sz w:val="17"/>
          <w:szCs w:val="17"/>
          <w:highlight w:val="lightGray"/>
        </w:rPr>
        <w:t>have</w:t>
      </w:r>
      <w:r w:rsidR="00BE6FA5" w:rsidRPr="00722521">
        <w:rPr>
          <w:rFonts w:ascii="Verdana" w:hAnsi="Verdana"/>
          <w:spacing w:val="3"/>
          <w:sz w:val="17"/>
          <w:szCs w:val="17"/>
          <w:highlight w:val="lightGray"/>
        </w:rPr>
        <w:t xml:space="preserve"> </w:t>
      </w:r>
      <w:r w:rsidRPr="00722521">
        <w:rPr>
          <w:rFonts w:ascii="Verdana" w:hAnsi="Verdana"/>
          <w:spacing w:val="3"/>
          <w:sz w:val="17"/>
          <w:szCs w:val="17"/>
          <w:highlight w:val="lightGray"/>
        </w:rPr>
        <w:t>contributed</w:t>
      </w:r>
      <w:r w:rsidR="00BE6FA5" w:rsidRPr="00722521">
        <w:rPr>
          <w:rFonts w:ascii="Verdana" w:hAnsi="Verdana"/>
          <w:spacing w:val="3"/>
          <w:sz w:val="17"/>
          <w:szCs w:val="17"/>
          <w:highlight w:val="lightGray"/>
        </w:rPr>
        <w:t xml:space="preserve"> </w:t>
      </w:r>
      <w:r w:rsidRPr="00722521">
        <w:rPr>
          <w:rFonts w:ascii="Verdana" w:hAnsi="Verdana"/>
          <w:sz w:val="17"/>
          <w:szCs w:val="17"/>
          <w:highlight w:val="lightGray"/>
        </w:rPr>
        <w:t xml:space="preserve">sufficiently to further </w:t>
      </w:r>
      <w:proofErr w:type="spellStart"/>
      <w:r w:rsidRPr="00722521">
        <w:rPr>
          <w:rFonts w:ascii="Verdana" w:hAnsi="Verdana"/>
          <w:sz w:val="17"/>
          <w:szCs w:val="17"/>
          <w:highlight w:val="lightGray"/>
        </w:rPr>
        <w:t>harmonise</w:t>
      </w:r>
      <w:proofErr w:type="spellEnd"/>
      <w:r w:rsidRPr="00722521">
        <w:rPr>
          <w:rFonts w:ascii="Verdana" w:hAnsi="Verdana"/>
          <w:sz w:val="17"/>
          <w:szCs w:val="17"/>
          <w:highlight w:val="lightGray"/>
        </w:rPr>
        <w:t xml:space="preserve"> a core set of standards (the single rulebook)?</w:t>
      </w:r>
    </w:p>
    <w:p w14:paraId="6DCF2F62" w14:textId="3CD79596" w:rsidR="00BE6FA5" w:rsidRPr="00722521" w:rsidRDefault="00BA160A" w:rsidP="00BE6FA5">
      <w:pPr>
        <w:pStyle w:val="CEABullet-Level1"/>
        <w:rPr>
          <w:color w:val="auto"/>
          <w:highlight w:val="lightGray"/>
        </w:rPr>
      </w:pPr>
      <w:r w:rsidRPr="00722521">
        <w:rPr>
          <w:color w:val="auto"/>
          <w:highlight w:val="lightGray"/>
        </w:rPr>
        <w:t xml:space="preserve">Yes </w:t>
      </w:r>
    </w:p>
    <w:p w14:paraId="24122FAF" w14:textId="77777777" w:rsidR="00BE6FA5" w:rsidRPr="00722521" w:rsidRDefault="00BA160A" w:rsidP="00BE6FA5">
      <w:pPr>
        <w:pStyle w:val="CEABullet-Level1"/>
        <w:rPr>
          <w:color w:val="auto"/>
          <w:highlight w:val="lightGray"/>
        </w:rPr>
      </w:pPr>
      <w:r w:rsidRPr="00722521">
        <w:rPr>
          <w:color w:val="auto"/>
          <w:highlight w:val="lightGray"/>
        </w:rPr>
        <w:t xml:space="preserve">No </w:t>
      </w:r>
    </w:p>
    <w:p w14:paraId="513DBF97" w14:textId="575647ED" w:rsidR="00BA160A" w:rsidRPr="00722521" w:rsidRDefault="00BA160A" w:rsidP="00BE6FA5">
      <w:pPr>
        <w:pStyle w:val="CEABullet-Level1"/>
        <w:rPr>
          <w:color w:val="auto"/>
          <w:highlight w:val="lightGray"/>
        </w:rPr>
      </w:pPr>
      <w:r w:rsidRPr="00722521">
        <w:rPr>
          <w:color w:val="auto"/>
          <w:highlight w:val="lightGray"/>
        </w:rPr>
        <w:t>Other</w:t>
      </w:r>
    </w:p>
    <w:p w14:paraId="48EBE483" w14:textId="77777777" w:rsidR="00BA160A" w:rsidRPr="00722521" w:rsidRDefault="00BA160A" w:rsidP="00BE6FA5">
      <w:pPr>
        <w:pStyle w:val="CEABullet-Level1"/>
        <w:rPr>
          <w:color w:val="auto"/>
          <w:highlight w:val="lightGray"/>
        </w:rPr>
      </w:pPr>
      <w:r w:rsidRPr="00722521">
        <w:rPr>
          <w:color w:val="auto"/>
          <w:highlight w:val="lightGray"/>
        </w:rPr>
        <w:t>Don’t know / no opinion / not relevant</w:t>
      </w:r>
    </w:p>
    <w:p w14:paraId="1CAA5B92" w14:textId="246099AE" w:rsidR="00BA160A" w:rsidRPr="00722521" w:rsidRDefault="00BA160A" w:rsidP="00A903E6">
      <w:pPr>
        <w:mirrorIndents/>
        <w:rPr>
          <w:sz w:val="17"/>
          <w:szCs w:val="17"/>
        </w:rPr>
      </w:pPr>
    </w:p>
    <w:p w14:paraId="28F47311" w14:textId="19E92CA0" w:rsidR="00D612E9" w:rsidRPr="00722521" w:rsidRDefault="00D612E9" w:rsidP="00A903E6">
      <w:pPr>
        <w:mirrorIndents/>
        <w:rPr>
          <w:sz w:val="17"/>
          <w:szCs w:val="17"/>
        </w:rPr>
      </w:pPr>
      <w:r w:rsidRPr="00722521">
        <w:rPr>
          <w:sz w:val="17"/>
          <w:szCs w:val="17"/>
        </w:rPr>
        <w:t>Yes</w:t>
      </w:r>
    </w:p>
    <w:p w14:paraId="2161C2EE" w14:textId="77777777" w:rsidR="00D612E9" w:rsidRPr="00722521" w:rsidRDefault="00D612E9" w:rsidP="00A903E6">
      <w:pPr>
        <w:mirrorIndents/>
        <w:rPr>
          <w:sz w:val="17"/>
          <w:szCs w:val="17"/>
        </w:rPr>
      </w:pPr>
    </w:p>
    <w:p w14:paraId="4E87ABAE" w14:textId="77777777" w:rsidR="00BA160A" w:rsidRPr="00722521" w:rsidRDefault="00BA160A" w:rsidP="00BE6FA5">
      <w:pPr>
        <w:pStyle w:val="Textkrper"/>
        <w:ind w:left="0"/>
        <w:mirrorIndents/>
        <w:rPr>
          <w:rFonts w:ascii="Verdana" w:hAnsi="Verdana"/>
          <w:sz w:val="17"/>
          <w:szCs w:val="17"/>
        </w:rPr>
      </w:pPr>
      <w:r w:rsidRPr="00722521">
        <w:rPr>
          <w:rFonts w:ascii="Verdana" w:hAnsi="Verdana"/>
          <w:sz w:val="17"/>
          <w:szCs w:val="17"/>
          <w:highlight w:val="lightGray"/>
        </w:rPr>
        <w:t>Please specify what your mean by ‘other’ in your answer to question 5.1 for EIOPA:</w:t>
      </w:r>
    </w:p>
    <w:p w14:paraId="33DCB348" w14:textId="08B0B7C7" w:rsidR="00BA160A" w:rsidRPr="00722521" w:rsidRDefault="00BA160A" w:rsidP="00A903E6">
      <w:pPr>
        <w:mirrorIndents/>
        <w:rPr>
          <w:sz w:val="17"/>
          <w:szCs w:val="17"/>
        </w:rPr>
      </w:pPr>
    </w:p>
    <w:p w14:paraId="7E870376" w14:textId="1AC4A5D1" w:rsidR="00BE6FA5" w:rsidRPr="00722521" w:rsidRDefault="00D612E9" w:rsidP="00A903E6">
      <w:pPr>
        <w:mirrorIndents/>
        <w:rPr>
          <w:sz w:val="17"/>
          <w:szCs w:val="17"/>
        </w:rPr>
      </w:pPr>
      <w:r w:rsidRPr="00722521">
        <w:rPr>
          <w:sz w:val="17"/>
          <w:szCs w:val="17"/>
        </w:rPr>
        <w:t>N/A</w:t>
      </w:r>
    </w:p>
    <w:p w14:paraId="7C264F97" w14:textId="77777777" w:rsidR="00BE6FA5" w:rsidRPr="00722521" w:rsidRDefault="00BE6FA5" w:rsidP="00A903E6">
      <w:pPr>
        <w:mirrorIndents/>
        <w:rPr>
          <w:sz w:val="17"/>
          <w:szCs w:val="17"/>
        </w:rPr>
      </w:pPr>
    </w:p>
    <w:p w14:paraId="34D69CAF" w14:textId="77777777" w:rsidR="00BA160A" w:rsidRPr="00722521" w:rsidRDefault="00BA160A" w:rsidP="00BE6FA5">
      <w:pPr>
        <w:pStyle w:val="Textkrper"/>
        <w:ind w:left="0"/>
        <w:mirrorIndents/>
        <w:rPr>
          <w:rFonts w:ascii="Verdana" w:hAnsi="Verdana"/>
          <w:sz w:val="17"/>
          <w:szCs w:val="17"/>
        </w:rPr>
      </w:pPr>
      <w:r w:rsidRPr="00722521">
        <w:rPr>
          <w:rFonts w:ascii="Verdana" w:hAnsi="Verdana"/>
          <w:sz w:val="17"/>
          <w:szCs w:val="17"/>
          <w:highlight w:val="lightGray"/>
        </w:rPr>
        <w:t>If you have identified areas for improvement for EIOPA, please explain:</w:t>
      </w:r>
    </w:p>
    <w:p w14:paraId="0232F3DB" w14:textId="084FBF62" w:rsidR="00BA160A" w:rsidRPr="00722521" w:rsidRDefault="00BA160A" w:rsidP="00A903E6">
      <w:pPr>
        <w:mirrorIndents/>
        <w:rPr>
          <w:sz w:val="17"/>
          <w:szCs w:val="17"/>
        </w:rPr>
      </w:pPr>
    </w:p>
    <w:p w14:paraId="766DD68F" w14:textId="41D5B0F4" w:rsidR="00BE6FA5" w:rsidRPr="00722521" w:rsidRDefault="00D612E9" w:rsidP="00A903E6">
      <w:pPr>
        <w:mirrorIndents/>
        <w:rPr>
          <w:sz w:val="17"/>
          <w:szCs w:val="17"/>
        </w:rPr>
      </w:pPr>
      <w:r w:rsidRPr="00722521">
        <w:rPr>
          <w:sz w:val="17"/>
          <w:szCs w:val="17"/>
        </w:rPr>
        <w:t>N/A</w:t>
      </w:r>
    </w:p>
    <w:p w14:paraId="35EDD9DC" w14:textId="77777777" w:rsidR="00BE6FA5" w:rsidRPr="00722521" w:rsidRDefault="00BE6FA5" w:rsidP="00A903E6">
      <w:pPr>
        <w:mirrorIndents/>
        <w:rPr>
          <w:sz w:val="17"/>
          <w:szCs w:val="17"/>
        </w:rPr>
      </w:pPr>
    </w:p>
    <w:p w14:paraId="77C1D266" w14:textId="77777777" w:rsidR="00BA160A" w:rsidRPr="00722521" w:rsidRDefault="00BA160A" w:rsidP="00D612E9">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5.1 for EIOPA:</w:t>
      </w:r>
    </w:p>
    <w:p w14:paraId="4791594F" w14:textId="24846518" w:rsidR="00BA160A" w:rsidRPr="00722521" w:rsidRDefault="00BA160A" w:rsidP="00A903E6">
      <w:pPr>
        <w:mirrorIndents/>
        <w:rPr>
          <w:sz w:val="17"/>
          <w:szCs w:val="17"/>
        </w:rPr>
      </w:pPr>
    </w:p>
    <w:p w14:paraId="3466B5C4" w14:textId="7CAEA3A2" w:rsidR="008A74F8" w:rsidRPr="00722521" w:rsidRDefault="00722521" w:rsidP="008A74F8">
      <w:pPr>
        <w:mirrorIndents/>
        <w:rPr>
          <w:sz w:val="17"/>
          <w:szCs w:val="17"/>
        </w:rPr>
      </w:pPr>
      <w:r>
        <w:rPr>
          <w:sz w:val="17"/>
          <w:szCs w:val="17"/>
        </w:rPr>
        <w:t>VVO</w:t>
      </w:r>
      <w:r w:rsidR="00D612E9" w:rsidRPr="00722521">
        <w:rPr>
          <w:sz w:val="17"/>
          <w:szCs w:val="17"/>
        </w:rPr>
        <w:t xml:space="preserve"> </w:t>
      </w:r>
      <w:r w:rsidR="008A74F8" w:rsidRPr="00722521">
        <w:rPr>
          <w:sz w:val="17"/>
          <w:szCs w:val="17"/>
        </w:rPr>
        <w:t>believes that the guidelines and recommendations of EIOPA</w:t>
      </w:r>
      <w:r w:rsidR="00407F68" w:rsidRPr="00722521">
        <w:rPr>
          <w:sz w:val="17"/>
          <w:szCs w:val="17"/>
        </w:rPr>
        <w:t>, when they are adopted as level III in accordance with level I and level II,</w:t>
      </w:r>
      <w:r w:rsidR="008A74F8" w:rsidRPr="00722521">
        <w:rPr>
          <w:sz w:val="17"/>
          <w:szCs w:val="17"/>
        </w:rPr>
        <w:t xml:space="preserve"> are an </w:t>
      </w:r>
      <w:r w:rsidR="00132F6E" w:rsidRPr="00722521">
        <w:rPr>
          <w:sz w:val="17"/>
          <w:szCs w:val="17"/>
        </w:rPr>
        <w:t>important</w:t>
      </w:r>
      <w:r w:rsidR="008A74F8" w:rsidRPr="00722521">
        <w:rPr>
          <w:sz w:val="17"/>
          <w:szCs w:val="17"/>
        </w:rPr>
        <w:t xml:space="preserve"> contribution to the single rulebook</w:t>
      </w:r>
      <w:r w:rsidR="00D612E9" w:rsidRPr="00722521">
        <w:rPr>
          <w:sz w:val="17"/>
          <w:szCs w:val="17"/>
        </w:rPr>
        <w:t>, and</w:t>
      </w:r>
      <w:r w:rsidR="008A74F8" w:rsidRPr="00722521">
        <w:rPr>
          <w:sz w:val="17"/>
          <w:szCs w:val="17"/>
        </w:rPr>
        <w:t xml:space="preserve"> generally appreciates the efforts of the Authority to develop uniform and consistent standards for the application by N</w:t>
      </w:r>
      <w:r w:rsidR="00D612E9" w:rsidRPr="00722521">
        <w:rPr>
          <w:sz w:val="17"/>
          <w:szCs w:val="17"/>
        </w:rPr>
        <w:t>S</w:t>
      </w:r>
      <w:r w:rsidR="008A74F8" w:rsidRPr="00722521">
        <w:rPr>
          <w:sz w:val="17"/>
          <w:szCs w:val="17"/>
        </w:rPr>
        <w:t xml:space="preserve">As. </w:t>
      </w:r>
      <w:r w:rsidR="00B35455" w:rsidRPr="00722521">
        <w:rPr>
          <w:sz w:val="17"/>
          <w:szCs w:val="17"/>
        </w:rPr>
        <w:t xml:space="preserve">However, there is a concern that </w:t>
      </w:r>
      <w:r w:rsidR="00F37EB0" w:rsidRPr="00722521">
        <w:rPr>
          <w:sz w:val="17"/>
          <w:szCs w:val="17"/>
        </w:rPr>
        <w:t>these guidelines and recommendations could be “adopted” (with the comply or explain procedure) into national markets by N</w:t>
      </w:r>
      <w:r w:rsidR="00B35455" w:rsidRPr="00722521">
        <w:rPr>
          <w:sz w:val="17"/>
          <w:szCs w:val="17"/>
        </w:rPr>
        <w:t>S</w:t>
      </w:r>
      <w:r w:rsidR="00F37EB0" w:rsidRPr="00722521">
        <w:rPr>
          <w:sz w:val="17"/>
          <w:szCs w:val="17"/>
        </w:rPr>
        <w:t xml:space="preserve">As with a reinforcement of the proposed rules leading to </w:t>
      </w:r>
      <w:r w:rsidR="00B35455" w:rsidRPr="00722521">
        <w:rPr>
          <w:sz w:val="17"/>
          <w:szCs w:val="17"/>
        </w:rPr>
        <w:t>divergences and local gold plating</w:t>
      </w:r>
      <w:r w:rsidR="00F37EB0" w:rsidRPr="00722521">
        <w:rPr>
          <w:sz w:val="17"/>
          <w:szCs w:val="17"/>
        </w:rPr>
        <w:t xml:space="preserve">. </w:t>
      </w:r>
    </w:p>
    <w:p w14:paraId="193740BB" w14:textId="77BB0B50" w:rsidR="00F37EB0" w:rsidRPr="00722521" w:rsidRDefault="00F37EB0" w:rsidP="008A74F8">
      <w:pPr>
        <w:mirrorIndents/>
        <w:rPr>
          <w:sz w:val="17"/>
          <w:szCs w:val="17"/>
        </w:rPr>
      </w:pPr>
    </w:p>
    <w:p w14:paraId="5DAE03E8" w14:textId="4D19EBE4" w:rsidR="00F37EB0" w:rsidRPr="00722521" w:rsidRDefault="00F37EB0" w:rsidP="008A74F8">
      <w:pPr>
        <w:mirrorIndents/>
        <w:rPr>
          <w:sz w:val="17"/>
          <w:szCs w:val="17"/>
        </w:rPr>
      </w:pPr>
      <w:r w:rsidRPr="00722521">
        <w:rPr>
          <w:sz w:val="17"/>
          <w:szCs w:val="17"/>
        </w:rPr>
        <w:t>Furthermore, the recent opinion published on April, 15 of the Advocate General of the CJEU on EBA guidelines regarding Product Oversights and governance arrangements for retail banking products showed that guidelines could be declared null when ESAs are exceeding their competences. While the final judgment of the CJEU on that case is not expected before end of 2021, this case is showing that soft law enacted by ESAs such guidelines must be limited.</w:t>
      </w:r>
    </w:p>
    <w:p w14:paraId="6357F8EB" w14:textId="77777777" w:rsidR="008A74F8" w:rsidRPr="00722521" w:rsidRDefault="008A74F8" w:rsidP="008A74F8">
      <w:pPr>
        <w:mirrorIndents/>
        <w:rPr>
          <w:sz w:val="17"/>
          <w:szCs w:val="17"/>
        </w:rPr>
      </w:pPr>
    </w:p>
    <w:p w14:paraId="40F52B9C" w14:textId="0DF1662C" w:rsidR="008A74F8" w:rsidRPr="00722521" w:rsidRDefault="008A74F8" w:rsidP="008A74F8">
      <w:pPr>
        <w:mirrorIndents/>
        <w:rPr>
          <w:sz w:val="17"/>
          <w:szCs w:val="17"/>
        </w:rPr>
      </w:pPr>
      <w:r w:rsidRPr="00722521">
        <w:rPr>
          <w:sz w:val="17"/>
          <w:szCs w:val="17"/>
        </w:rPr>
        <w:t>The guidelines and recommendations are to be developed based on concrete empowerments and should be designed accordingly (Article 16.1 EIOPA Regulation). The issuance guidelines and recommendations, often, require an interpretation of the legal acts which they empower the Authority to develop the tools. It is, therefore, vital that the process on guidelines and recommendations considers potential conflicts and sticks as close to the mandate as possible</w:t>
      </w:r>
      <w:r w:rsidR="00F37EB0" w:rsidRPr="00722521">
        <w:rPr>
          <w:sz w:val="17"/>
          <w:szCs w:val="17"/>
        </w:rPr>
        <w:t xml:space="preserve"> and do not create new requirements/concepts different from those provided by legislative acts</w:t>
      </w:r>
      <w:r w:rsidRPr="00722521">
        <w:rPr>
          <w:sz w:val="17"/>
          <w:szCs w:val="17"/>
        </w:rPr>
        <w:t>.</w:t>
      </w:r>
    </w:p>
    <w:p w14:paraId="1896CA27" w14:textId="77777777" w:rsidR="008A74F8" w:rsidRPr="00722521" w:rsidRDefault="008A74F8" w:rsidP="008A74F8">
      <w:pPr>
        <w:mirrorIndents/>
        <w:rPr>
          <w:sz w:val="17"/>
          <w:szCs w:val="17"/>
        </w:rPr>
      </w:pPr>
    </w:p>
    <w:p w14:paraId="6BD602C5" w14:textId="6EBB864C" w:rsidR="008A74F8" w:rsidRPr="00722521" w:rsidRDefault="008A74F8" w:rsidP="008A74F8">
      <w:pPr>
        <w:mirrorIndents/>
        <w:rPr>
          <w:sz w:val="17"/>
          <w:szCs w:val="17"/>
        </w:rPr>
      </w:pPr>
      <w:r w:rsidRPr="00722521">
        <w:rPr>
          <w:sz w:val="17"/>
          <w:szCs w:val="17"/>
        </w:rPr>
        <w:t xml:space="preserve">Article 16.2 EIOPA Regulation requires the consultation of guidelines and recommendations, where appropriate. </w:t>
      </w:r>
      <w:r w:rsidR="00722521">
        <w:rPr>
          <w:sz w:val="17"/>
          <w:szCs w:val="17"/>
        </w:rPr>
        <w:t>VVO</w:t>
      </w:r>
      <w:r w:rsidRPr="00722521">
        <w:rPr>
          <w:sz w:val="17"/>
          <w:szCs w:val="17"/>
        </w:rPr>
        <w:t xml:space="preserve"> </w:t>
      </w:r>
      <w:r w:rsidR="00D612E9" w:rsidRPr="00722521">
        <w:rPr>
          <w:sz w:val="17"/>
          <w:szCs w:val="17"/>
        </w:rPr>
        <w:t>notes that EIOPA has recently extended this consultation process to most of the tools it issues, which is welcome</w:t>
      </w:r>
      <w:r w:rsidRPr="00722521">
        <w:rPr>
          <w:sz w:val="17"/>
          <w:szCs w:val="17"/>
        </w:rPr>
        <w:t xml:space="preserve">. </w:t>
      </w:r>
      <w:r w:rsidR="00D612E9" w:rsidRPr="00722521">
        <w:rPr>
          <w:sz w:val="17"/>
          <w:szCs w:val="17"/>
        </w:rPr>
        <w:t>However,</w:t>
      </w:r>
      <w:r w:rsidRPr="00722521">
        <w:rPr>
          <w:sz w:val="17"/>
          <w:szCs w:val="17"/>
        </w:rPr>
        <w:t xml:space="preserve"> </w:t>
      </w:r>
      <w:r w:rsidR="00D612E9" w:rsidRPr="00722521">
        <w:rPr>
          <w:sz w:val="17"/>
          <w:szCs w:val="17"/>
        </w:rPr>
        <w:t xml:space="preserve">a better consideration of </w:t>
      </w:r>
      <w:r w:rsidRPr="00722521">
        <w:rPr>
          <w:sz w:val="17"/>
          <w:szCs w:val="17"/>
        </w:rPr>
        <w:t xml:space="preserve">the results of the consultations </w:t>
      </w:r>
      <w:r w:rsidR="00D612E9" w:rsidRPr="00722521">
        <w:rPr>
          <w:sz w:val="17"/>
          <w:szCs w:val="17"/>
        </w:rPr>
        <w:t>should</w:t>
      </w:r>
      <w:r w:rsidRPr="00722521">
        <w:rPr>
          <w:sz w:val="17"/>
          <w:szCs w:val="17"/>
        </w:rPr>
        <w:t xml:space="preserve"> be reflected. The feedback reports sometimes go above the concerns raised during consultation process and an appropriate discussion resolving of the concerns is not included.</w:t>
      </w:r>
    </w:p>
    <w:p w14:paraId="0C354026" w14:textId="77777777" w:rsidR="008A74F8" w:rsidRPr="00722521" w:rsidRDefault="008A74F8" w:rsidP="008A74F8">
      <w:pPr>
        <w:mirrorIndents/>
        <w:rPr>
          <w:sz w:val="17"/>
          <w:szCs w:val="17"/>
          <w:highlight w:val="yellow"/>
        </w:rPr>
      </w:pPr>
    </w:p>
    <w:p w14:paraId="24BB5466" w14:textId="77777777" w:rsidR="00D612E9" w:rsidRPr="00722521" w:rsidRDefault="008A74F8" w:rsidP="008A74F8">
      <w:pPr>
        <w:mirrorIndents/>
        <w:rPr>
          <w:sz w:val="17"/>
          <w:szCs w:val="17"/>
        </w:rPr>
      </w:pPr>
      <w:r w:rsidRPr="00722521">
        <w:rPr>
          <w:sz w:val="17"/>
          <w:szCs w:val="17"/>
        </w:rPr>
        <w:t xml:space="preserve">In addition, it is important that the guidelines and recommendations are regularly reviewed. A specific example </w:t>
      </w:r>
      <w:r w:rsidR="00D612E9" w:rsidRPr="00722521">
        <w:rPr>
          <w:sz w:val="17"/>
          <w:szCs w:val="17"/>
        </w:rPr>
        <w:t>is</w:t>
      </w:r>
      <w:r w:rsidRPr="00722521">
        <w:rPr>
          <w:sz w:val="17"/>
          <w:szCs w:val="17"/>
        </w:rPr>
        <w:t xml:space="preserve"> the EIOPA Guidelines on Basic Risk (EIOPA-BoS-14/172). The guidelines have been heavily criticised by stakeholders during their development. Since the application of the guidelines, some of the elementary concerns materialised as these guidelines fail to harmonise the interpretation and application rules, their core aim in accordance with paragraph 1.4 of these guidelines. Nonetheless, there is divergence among N</w:t>
      </w:r>
      <w:r w:rsidR="00D612E9" w:rsidRPr="00722521">
        <w:rPr>
          <w:sz w:val="17"/>
          <w:szCs w:val="17"/>
        </w:rPr>
        <w:t>S</w:t>
      </w:r>
      <w:r w:rsidRPr="00722521">
        <w:rPr>
          <w:sz w:val="17"/>
          <w:szCs w:val="17"/>
        </w:rPr>
        <w:t xml:space="preserve">As on what constitutes basis risk and how it should be quantified in the standard formula. The guidelines lead to inefficiencies in undertakings’ risk management: The exclusion of mitigation techniques from insurance companies' risk management as they are limiting undertakings’ abilities to transfer insurance risks to reinsurers. In consequence, the guidelines hinder an efficient insurance market. Insurers are retaining risk and capital that may otherwise be desirable to transfer to reinsurers in a mutually beneficial transaction. These concerns have been highlighted from the beginning. The according guidelines, however, have not been reviewed. </w:t>
      </w:r>
    </w:p>
    <w:p w14:paraId="716152CD" w14:textId="77777777" w:rsidR="00D612E9" w:rsidRPr="00722521" w:rsidRDefault="00D612E9" w:rsidP="008A74F8">
      <w:pPr>
        <w:mirrorIndents/>
        <w:rPr>
          <w:sz w:val="17"/>
          <w:szCs w:val="17"/>
        </w:rPr>
      </w:pPr>
    </w:p>
    <w:p w14:paraId="71EA9997" w14:textId="41A1A5C5" w:rsidR="008A74F8" w:rsidRPr="00722521" w:rsidRDefault="008A74F8" w:rsidP="008A74F8">
      <w:pPr>
        <w:mirrorIndents/>
        <w:rPr>
          <w:sz w:val="17"/>
          <w:szCs w:val="17"/>
        </w:rPr>
      </w:pPr>
      <w:r w:rsidRPr="00722521">
        <w:rPr>
          <w:sz w:val="17"/>
          <w:szCs w:val="17"/>
        </w:rPr>
        <w:t>The European Commission asked EIOPA to assess the treatment of basis risk under its Call for Advice to the Authority in preparation of the Solvency II Review in 2019. The according advice from EIOPA is not a reconsideration of the guidelines, but an upgrade of the guidelines to the Solvency II Delegated Acts.</w:t>
      </w:r>
    </w:p>
    <w:p w14:paraId="50132101" w14:textId="77777777" w:rsidR="008A74F8" w:rsidRPr="00722521" w:rsidRDefault="008A74F8" w:rsidP="008A74F8">
      <w:pPr>
        <w:mirrorIndents/>
        <w:rPr>
          <w:sz w:val="17"/>
          <w:szCs w:val="17"/>
        </w:rPr>
      </w:pPr>
    </w:p>
    <w:p w14:paraId="08E5F39D" w14:textId="6EE70A1A" w:rsidR="008A74F8" w:rsidRPr="00722521" w:rsidRDefault="00722521" w:rsidP="008A74F8">
      <w:pPr>
        <w:mirrorIndents/>
        <w:rPr>
          <w:sz w:val="17"/>
          <w:szCs w:val="17"/>
        </w:rPr>
      </w:pPr>
      <w:r>
        <w:rPr>
          <w:sz w:val="17"/>
          <w:szCs w:val="17"/>
        </w:rPr>
        <w:t>VVO</w:t>
      </w:r>
      <w:r w:rsidR="008A74F8" w:rsidRPr="00722521">
        <w:rPr>
          <w:sz w:val="17"/>
          <w:szCs w:val="17"/>
        </w:rPr>
        <w:t xml:space="preserve"> believes that this example emphasises the need for a regular review. The guidelines which were issued in 2014 (two years before the start of the application of the regulation which they are interpreting), should have been regularly reviewed and an appropriate report on the concerns raised by stakeholders should have been published.</w:t>
      </w:r>
    </w:p>
    <w:p w14:paraId="5DF16B92" w14:textId="2C34DD10" w:rsidR="00BE6FA5" w:rsidRPr="00722521" w:rsidRDefault="00BE6FA5" w:rsidP="00A903E6">
      <w:pPr>
        <w:mirrorIndents/>
        <w:rPr>
          <w:sz w:val="17"/>
          <w:szCs w:val="17"/>
        </w:rPr>
      </w:pPr>
    </w:p>
    <w:p w14:paraId="0311831C" w14:textId="0D606505" w:rsidR="00D114E8" w:rsidRPr="00722521" w:rsidRDefault="00D114E8" w:rsidP="00A903E6">
      <w:pPr>
        <w:mirrorIndents/>
        <w:rPr>
          <w:sz w:val="17"/>
          <w:szCs w:val="17"/>
        </w:rPr>
      </w:pPr>
      <w:r w:rsidRPr="00722521">
        <w:rPr>
          <w:sz w:val="17"/>
          <w:szCs w:val="17"/>
        </w:rPr>
        <w:t xml:space="preserve">Finally, </w:t>
      </w:r>
      <w:r w:rsidR="00722521">
        <w:rPr>
          <w:sz w:val="17"/>
          <w:szCs w:val="17"/>
        </w:rPr>
        <w:t>VVO</w:t>
      </w:r>
      <w:r w:rsidRPr="00722521">
        <w:rPr>
          <w:sz w:val="17"/>
          <w:szCs w:val="17"/>
        </w:rPr>
        <w:t xml:space="preserve"> reiterates its response to question 1.7.3. It would be beneficial to remind the necessity for the guidelines to take a “less is more” approach.</w:t>
      </w:r>
    </w:p>
    <w:p w14:paraId="1D07F1AE" w14:textId="77777777" w:rsidR="00BE6FA5" w:rsidRPr="00722521" w:rsidRDefault="00BE6FA5" w:rsidP="00A903E6">
      <w:pPr>
        <w:mirrorIndents/>
        <w:rPr>
          <w:sz w:val="17"/>
          <w:szCs w:val="17"/>
        </w:rPr>
      </w:pPr>
    </w:p>
    <w:p w14:paraId="2E1BFFD8" w14:textId="06A5C6EB"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5.2 Do you assess the procedure for the development of draft technical standards as foreseen in the ESA Regulations effective and efficient in view of the objective to ensure high quality and timely deliverables?</w:t>
      </w:r>
    </w:p>
    <w:p w14:paraId="70DF67A7" w14:textId="77777777" w:rsidR="00BE6FA5" w:rsidRPr="00722521" w:rsidRDefault="00BA160A" w:rsidP="00BE6FA5">
      <w:pPr>
        <w:pStyle w:val="CEABullet-Level1"/>
        <w:rPr>
          <w:color w:val="auto"/>
          <w:highlight w:val="lightGray"/>
        </w:rPr>
      </w:pPr>
      <w:r w:rsidRPr="00722521">
        <w:rPr>
          <w:color w:val="auto"/>
          <w:highlight w:val="lightGray"/>
        </w:rPr>
        <w:t xml:space="preserve">Yes </w:t>
      </w:r>
    </w:p>
    <w:p w14:paraId="49DC8487" w14:textId="77777777" w:rsidR="00BE6FA5" w:rsidRPr="00722521" w:rsidRDefault="00BA160A" w:rsidP="00BE6FA5">
      <w:pPr>
        <w:pStyle w:val="CEABullet-Level1"/>
        <w:rPr>
          <w:color w:val="auto"/>
          <w:highlight w:val="lightGray"/>
        </w:rPr>
      </w:pPr>
      <w:r w:rsidRPr="00722521">
        <w:rPr>
          <w:color w:val="auto"/>
          <w:highlight w:val="lightGray"/>
        </w:rPr>
        <w:t>No</w:t>
      </w:r>
    </w:p>
    <w:p w14:paraId="2F2357E4" w14:textId="2BD51B2B" w:rsidR="00BA160A" w:rsidRPr="00722521" w:rsidRDefault="00BA160A" w:rsidP="00BE6FA5">
      <w:pPr>
        <w:pStyle w:val="CEABullet-Level1"/>
        <w:rPr>
          <w:color w:val="auto"/>
          <w:highlight w:val="lightGray"/>
        </w:rPr>
      </w:pPr>
      <w:r w:rsidRPr="00722521">
        <w:rPr>
          <w:color w:val="auto"/>
          <w:highlight w:val="lightGray"/>
        </w:rPr>
        <w:t>Other</w:t>
      </w:r>
    </w:p>
    <w:p w14:paraId="79EF8151" w14:textId="297FF838" w:rsidR="00BA160A" w:rsidRPr="00722521" w:rsidRDefault="00BA160A" w:rsidP="00BE6FA5">
      <w:pPr>
        <w:pStyle w:val="CEABullet-Level1"/>
        <w:rPr>
          <w:color w:val="auto"/>
          <w:highlight w:val="lightGray"/>
        </w:rPr>
      </w:pPr>
      <w:r w:rsidRPr="00722521">
        <w:rPr>
          <w:color w:val="auto"/>
          <w:highlight w:val="lightGray"/>
        </w:rPr>
        <w:t>Don’t know / no opinion / not relevant</w:t>
      </w:r>
    </w:p>
    <w:p w14:paraId="7441092B" w14:textId="5832211A" w:rsidR="00BA160A" w:rsidRPr="00722521" w:rsidRDefault="00BA160A" w:rsidP="00A903E6">
      <w:pPr>
        <w:mirrorIndents/>
        <w:rPr>
          <w:sz w:val="17"/>
          <w:szCs w:val="17"/>
        </w:rPr>
      </w:pPr>
    </w:p>
    <w:p w14:paraId="162CC38E" w14:textId="2D3FB018" w:rsidR="00D612E9" w:rsidRPr="00722521" w:rsidRDefault="00D612E9" w:rsidP="00A903E6">
      <w:pPr>
        <w:mirrorIndents/>
        <w:rPr>
          <w:sz w:val="17"/>
          <w:szCs w:val="17"/>
        </w:rPr>
      </w:pPr>
      <w:r w:rsidRPr="00722521">
        <w:rPr>
          <w:sz w:val="17"/>
          <w:szCs w:val="17"/>
        </w:rPr>
        <w:t>Yes</w:t>
      </w:r>
    </w:p>
    <w:p w14:paraId="7F535957" w14:textId="77777777" w:rsidR="00D612E9" w:rsidRPr="00722521" w:rsidRDefault="00D612E9" w:rsidP="00A903E6">
      <w:pPr>
        <w:mirrorIndents/>
        <w:rPr>
          <w:sz w:val="17"/>
          <w:szCs w:val="17"/>
        </w:rPr>
      </w:pPr>
    </w:p>
    <w:p w14:paraId="7E09A37D"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specify what your mean by ‘other’ in your answer to question 5.2:</w:t>
      </w:r>
    </w:p>
    <w:p w14:paraId="127C1B2C" w14:textId="0FD7EE08" w:rsidR="00BA160A" w:rsidRPr="00722521" w:rsidRDefault="00BA160A" w:rsidP="00A903E6">
      <w:pPr>
        <w:mirrorIndents/>
        <w:rPr>
          <w:sz w:val="17"/>
          <w:szCs w:val="17"/>
        </w:rPr>
      </w:pPr>
    </w:p>
    <w:p w14:paraId="69D35BEE" w14:textId="6ED4643E" w:rsidR="00BE6FA5" w:rsidRPr="00722521" w:rsidRDefault="00D612E9" w:rsidP="00A903E6">
      <w:pPr>
        <w:mirrorIndents/>
        <w:rPr>
          <w:sz w:val="17"/>
          <w:szCs w:val="17"/>
        </w:rPr>
      </w:pPr>
      <w:r w:rsidRPr="00722521">
        <w:rPr>
          <w:sz w:val="17"/>
          <w:szCs w:val="17"/>
        </w:rPr>
        <w:t>N/A</w:t>
      </w:r>
    </w:p>
    <w:p w14:paraId="74407D17" w14:textId="77777777" w:rsidR="00BE6FA5" w:rsidRPr="00722521" w:rsidRDefault="00BE6FA5" w:rsidP="00A903E6">
      <w:pPr>
        <w:mirrorIndents/>
        <w:rPr>
          <w:sz w:val="17"/>
          <w:szCs w:val="17"/>
        </w:rPr>
      </w:pPr>
    </w:p>
    <w:p w14:paraId="3E2B22DA"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explain your answer to question 5.2:</w:t>
      </w:r>
    </w:p>
    <w:p w14:paraId="0256069E" w14:textId="1E6B9103" w:rsidR="00BA160A" w:rsidRPr="00722521" w:rsidRDefault="00BA160A" w:rsidP="00A903E6">
      <w:pPr>
        <w:mirrorIndents/>
        <w:rPr>
          <w:sz w:val="17"/>
          <w:szCs w:val="17"/>
        </w:rPr>
      </w:pPr>
    </w:p>
    <w:p w14:paraId="01B20AB5" w14:textId="73C04941" w:rsidR="008A74F8" w:rsidRPr="00722521" w:rsidRDefault="00722521" w:rsidP="008A74F8">
      <w:pPr>
        <w:mirrorIndents/>
        <w:rPr>
          <w:sz w:val="17"/>
          <w:szCs w:val="17"/>
        </w:rPr>
      </w:pPr>
      <w:r>
        <w:rPr>
          <w:sz w:val="17"/>
          <w:szCs w:val="17"/>
        </w:rPr>
        <w:t>VVO</w:t>
      </w:r>
      <w:r w:rsidR="008A74F8" w:rsidRPr="00722521">
        <w:rPr>
          <w:sz w:val="17"/>
          <w:szCs w:val="17"/>
        </w:rPr>
        <w:t xml:space="preserve"> believes that the process as foreseen in Article 290 TFEU and Article 10 EIOPA Regulation can provide for an effective and efficient process. </w:t>
      </w:r>
      <w:r w:rsidR="000806D6" w:rsidRPr="00722521">
        <w:rPr>
          <w:sz w:val="17"/>
          <w:szCs w:val="17"/>
        </w:rPr>
        <w:t>T</w:t>
      </w:r>
      <w:r w:rsidR="008A74F8" w:rsidRPr="00722521">
        <w:rPr>
          <w:sz w:val="17"/>
          <w:szCs w:val="17"/>
        </w:rPr>
        <w:t xml:space="preserve">he challenges and problems </w:t>
      </w:r>
      <w:r w:rsidR="000806D6" w:rsidRPr="00722521">
        <w:rPr>
          <w:sz w:val="17"/>
          <w:szCs w:val="17"/>
        </w:rPr>
        <w:t>encountered</w:t>
      </w:r>
      <w:r w:rsidR="008A74F8" w:rsidRPr="00722521">
        <w:rPr>
          <w:sz w:val="17"/>
          <w:szCs w:val="17"/>
        </w:rPr>
        <w:t xml:space="preserve"> often originate in the legislation delegating the powers for the development of regulatory technical standards (RTS). Insufficiently clear empowerments and short timelines present considerable threats to the quality of the RTS.</w:t>
      </w:r>
    </w:p>
    <w:p w14:paraId="26517814" w14:textId="77777777" w:rsidR="008A74F8" w:rsidRPr="00722521" w:rsidRDefault="008A74F8" w:rsidP="008A74F8">
      <w:pPr>
        <w:mirrorIndents/>
        <w:rPr>
          <w:sz w:val="17"/>
          <w:szCs w:val="17"/>
          <w:highlight w:val="yellow"/>
        </w:rPr>
      </w:pPr>
    </w:p>
    <w:p w14:paraId="06BE1DB1" w14:textId="2756B695" w:rsidR="00C317CD" w:rsidRPr="00722521" w:rsidRDefault="008A74F8" w:rsidP="008A74F8">
      <w:pPr>
        <w:mirrorIndents/>
        <w:rPr>
          <w:sz w:val="17"/>
          <w:szCs w:val="17"/>
        </w:rPr>
      </w:pPr>
      <w:r w:rsidRPr="00722521">
        <w:rPr>
          <w:sz w:val="17"/>
          <w:szCs w:val="17"/>
        </w:rPr>
        <w:t xml:space="preserve">An example in this respect are the RTS and delegated acts (DA) which are developed as part of the </w:t>
      </w:r>
      <w:r w:rsidR="000806D6" w:rsidRPr="00722521">
        <w:rPr>
          <w:sz w:val="17"/>
          <w:szCs w:val="17"/>
        </w:rPr>
        <w:t>s</w:t>
      </w:r>
      <w:r w:rsidRPr="00722521">
        <w:rPr>
          <w:sz w:val="17"/>
          <w:szCs w:val="17"/>
        </w:rPr>
        <w:t xml:space="preserve">ustainable </w:t>
      </w:r>
      <w:r w:rsidR="000806D6" w:rsidRPr="00722521">
        <w:rPr>
          <w:sz w:val="17"/>
          <w:szCs w:val="17"/>
        </w:rPr>
        <w:t>f</w:t>
      </w:r>
      <w:r w:rsidRPr="00722521">
        <w:rPr>
          <w:sz w:val="17"/>
          <w:szCs w:val="17"/>
        </w:rPr>
        <w:t xml:space="preserve">inance </w:t>
      </w:r>
      <w:r w:rsidR="000806D6" w:rsidRPr="00722521">
        <w:rPr>
          <w:sz w:val="17"/>
          <w:szCs w:val="17"/>
        </w:rPr>
        <w:t>p</w:t>
      </w:r>
      <w:r w:rsidRPr="00722521">
        <w:rPr>
          <w:sz w:val="17"/>
          <w:szCs w:val="17"/>
        </w:rPr>
        <w:t xml:space="preserve">ackage. Extremely short and overlapping timelines were further tightened by the delays caused by the operational challenges </w:t>
      </w:r>
      <w:proofErr w:type="gramStart"/>
      <w:r w:rsidR="00CB3434" w:rsidRPr="00722521">
        <w:rPr>
          <w:sz w:val="17"/>
          <w:szCs w:val="17"/>
        </w:rPr>
        <w:t xml:space="preserve">posed </w:t>
      </w:r>
      <w:r w:rsidRPr="00722521">
        <w:rPr>
          <w:sz w:val="17"/>
          <w:szCs w:val="17"/>
        </w:rPr>
        <w:t xml:space="preserve"> by</w:t>
      </w:r>
      <w:proofErr w:type="gramEnd"/>
      <w:r w:rsidRPr="00722521">
        <w:rPr>
          <w:sz w:val="17"/>
          <w:szCs w:val="17"/>
        </w:rPr>
        <w:t xml:space="preserve"> the Covid-19 crisis. The result is</w:t>
      </w:r>
      <w:r w:rsidR="00C317CD" w:rsidRPr="00722521">
        <w:rPr>
          <w:sz w:val="17"/>
          <w:szCs w:val="17"/>
        </w:rPr>
        <w:t>:</w:t>
      </w:r>
    </w:p>
    <w:p w14:paraId="28C99E08" w14:textId="21C3500E" w:rsidR="00C317CD" w:rsidRPr="00722521" w:rsidRDefault="008A74F8" w:rsidP="00C317CD">
      <w:pPr>
        <w:pStyle w:val="CEABullet-Level1"/>
        <w:rPr>
          <w:color w:val="auto"/>
        </w:rPr>
      </w:pPr>
      <w:r w:rsidRPr="00722521">
        <w:rPr>
          <w:color w:val="auto"/>
        </w:rPr>
        <w:t>the Sustainable Finance Disclosure Regulation</w:t>
      </w:r>
      <w:r w:rsidR="00C317CD" w:rsidRPr="00722521">
        <w:rPr>
          <w:color w:val="auto"/>
        </w:rPr>
        <w:t xml:space="preserve"> (SFDR)</w:t>
      </w:r>
      <w:r w:rsidRPr="00722521">
        <w:rPr>
          <w:color w:val="auto"/>
        </w:rPr>
        <w:t xml:space="preserve"> being applied by undertakings without the necessary subordinated regulation being in place </w:t>
      </w:r>
    </w:p>
    <w:p w14:paraId="0ACAC897" w14:textId="793F495C" w:rsidR="00C317CD" w:rsidRPr="00722521" w:rsidRDefault="008A74F8" w:rsidP="00C317CD">
      <w:pPr>
        <w:pStyle w:val="CEABullet-Level1"/>
        <w:rPr>
          <w:color w:val="auto"/>
        </w:rPr>
      </w:pPr>
      <w:r w:rsidRPr="00722521">
        <w:rPr>
          <w:color w:val="auto"/>
        </w:rPr>
        <w:t xml:space="preserve">the RTS </w:t>
      </w:r>
      <w:r w:rsidR="00CB3434" w:rsidRPr="00722521">
        <w:rPr>
          <w:color w:val="auto"/>
        </w:rPr>
        <w:t xml:space="preserve">under the SFDR </w:t>
      </w:r>
      <w:r w:rsidRPr="00722521">
        <w:rPr>
          <w:color w:val="auto"/>
        </w:rPr>
        <w:t xml:space="preserve">on the </w:t>
      </w:r>
      <w:r w:rsidR="00C317CD" w:rsidRPr="00722521">
        <w:rPr>
          <w:color w:val="auto"/>
        </w:rPr>
        <w:t>environmental</w:t>
      </w:r>
      <w:r w:rsidRPr="00722521">
        <w:rPr>
          <w:color w:val="auto"/>
        </w:rPr>
        <w:t xml:space="preserve"> </w:t>
      </w:r>
      <w:r w:rsidR="000806D6" w:rsidRPr="00722521">
        <w:rPr>
          <w:color w:val="auto"/>
        </w:rPr>
        <w:t>t</w:t>
      </w:r>
      <w:r w:rsidRPr="00722521">
        <w:rPr>
          <w:color w:val="auto"/>
        </w:rPr>
        <w:t>axonomy</w:t>
      </w:r>
      <w:r w:rsidR="00C317CD" w:rsidRPr="00722521">
        <w:rPr>
          <w:color w:val="auto"/>
        </w:rPr>
        <w:t>,</w:t>
      </w:r>
      <w:r w:rsidRPr="00722521">
        <w:rPr>
          <w:color w:val="auto"/>
        </w:rPr>
        <w:t xml:space="preserve"> which provide an essential catalogue for the assessment of “</w:t>
      </w:r>
      <w:r w:rsidR="00C317CD" w:rsidRPr="00722521">
        <w:rPr>
          <w:color w:val="auto"/>
        </w:rPr>
        <w:t xml:space="preserve">environmental </w:t>
      </w:r>
      <w:r w:rsidRPr="00722521">
        <w:rPr>
          <w:color w:val="auto"/>
        </w:rPr>
        <w:t>sustainability”</w:t>
      </w:r>
      <w:r w:rsidR="00C317CD" w:rsidRPr="00722521">
        <w:rPr>
          <w:color w:val="auto"/>
        </w:rPr>
        <w:t>,</w:t>
      </w:r>
      <w:r w:rsidRPr="00722521">
        <w:rPr>
          <w:color w:val="auto"/>
        </w:rPr>
        <w:t xml:space="preserve"> not </w:t>
      </w:r>
      <w:r w:rsidR="00C317CD" w:rsidRPr="00722521">
        <w:rPr>
          <w:color w:val="auto"/>
        </w:rPr>
        <w:t xml:space="preserve">being </w:t>
      </w:r>
      <w:r w:rsidRPr="00722521">
        <w:rPr>
          <w:color w:val="auto"/>
        </w:rPr>
        <w:t>available</w:t>
      </w:r>
    </w:p>
    <w:p w14:paraId="1E786532" w14:textId="74C4C66A" w:rsidR="008A74F8" w:rsidRPr="00722521" w:rsidRDefault="008A74F8" w:rsidP="00EF375B">
      <w:pPr>
        <w:pStyle w:val="CEABullet-Level1"/>
        <w:rPr>
          <w:color w:val="auto"/>
        </w:rPr>
      </w:pPr>
      <w:r w:rsidRPr="00722521">
        <w:rPr>
          <w:color w:val="auto"/>
        </w:rPr>
        <w:t xml:space="preserve">the draft amendments to the DA aiming to incorporate sustainability objectives into Solvency II and the Insurance Distribution Directive (IDD) </w:t>
      </w:r>
      <w:r w:rsidR="00C317CD" w:rsidRPr="00722521">
        <w:rPr>
          <w:color w:val="auto"/>
        </w:rPr>
        <w:t xml:space="preserve">potentially being </w:t>
      </w:r>
      <w:r w:rsidRPr="00722521">
        <w:rPr>
          <w:color w:val="auto"/>
        </w:rPr>
        <w:t>inconsistent with the SFDR and the Taxonomy</w:t>
      </w:r>
      <w:r w:rsidR="00051D29" w:rsidRPr="00722521">
        <w:rPr>
          <w:color w:val="auto"/>
        </w:rPr>
        <w:t xml:space="preserve"> (see joint </w:t>
      </w:r>
      <w:hyperlink r:id="rId12" w:history="1">
        <w:r w:rsidR="00051D29" w:rsidRPr="00722521">
          <w:rPr>
            <w:rStyle w:val="Hyperlink"/>
            <w:color w:val="auto"/>
          </w:rPr>
          <w:t>letter</w:t>
        </w:r>
      </w:hyperlink>
      <w:r w:rsidR="00051D29" w:rsidRPr="00722521">
        <w:rPr>
          <w:color w:val="auto"/>
        </w:rPr>
        <w:t>)</w:t>
      </w:r>
    </w:p>
    <w:p w14:paraId="3BFCCED6" w14:textId="071682A1" w:rsidR="00BA2EE0" w:rsidRPr="00722521" w:rsidRDefault="00BA2EE0" w:rsidP="003453E3">
      <w:pPr>
        <w:pStyle w:val="CEABullet-Level1"/>
        <w:rPr>
          <w:color w:val="auto"/>
        </w:rPr>
      </w:pPr>
      <w:r w:rsidRPr="00722521">
        <w:rPr>
          <w:color w:val="auto"/>
        </w:rPr>
        <w:t>consumer testing run in parallel with the ESAs public consultation did not allow the ESAs to factor-in the outcomes of the consumer testing in the proposals included in the public consultation</w:t>
      </w:r>
      <w:r w:rsidR="00BD3EDD" w:rsidRPr="00722521">
        <w:rPr>
          <w:color w:val="auto"/>
        </w:rPr>
        <w:t xml:space="preserve"> and obliged</w:t>
      </w:r>
      <w:r w:rsidRPr="00722521">
        <w:rPr>
          <w:color w:val="auto"/>
        </w:rPr>
        <w:t xml:space="preserve"> </w:t>
      </w:r>
      <w:r w:rsidR="00BD3EDD" w:rsidRPr="00722521">
        <w:rPr>
          <w:color w:val="auto"/>
        </w:rPr>
        <w:t>s</w:t>
      </w:r>
      <w:r w:rsidRPr="00722521">
        <w:rPr>
          <w:color w:val="auto"/>
        </w:rPr>
        <w:t>takeholder</w:t>
      </w:r>
      <w:r w:rsidR="00BD3EDD" w:rsidRPr="00722521">
        <w:rPr>
          <w:color w:val="auto"/>
        </w:rPr>
        <w:t>s to comment on</w:t>
      </w:r>
      <w:r w:rsidRPr="00722521">
        <w:rPr>
          <w:color w:val="auto"/>
        </w:rPr>
        <w:t xml:space="preserve"> incomplete or work-in-progress</w:t>
      </w:r>
      <w:r w:rsidR="00BD3EDD" w:rsidRPr="00722521">
        <w:rPr>
          <w:color w:val="auto"/>
        </w:rPr>
        <w:t xml:space="preserve"> options</w:t>
      </w:r>
      <w:r w:rsidRPr="00722521">
        <w:rPr>
          <w:color w:val="auto"/>
        </w:rPr>
        <w:t xml:space="preserve">. </w:t>
      </w:r>
    </w:p>
    <w:p w14:paraId="0BCEF60D" w14:textId="77777777" w:rsidR="008A74F8" w:rsidRPr="00722521" w:rsidRDefault="008A74F8" w:rsidP="008A74F8">
      <w:pPr>
        <w:mirrorIndents/>
        <w:rPr>
          <w:sz w:val="17"/>
          <w:szCs w:val="17"/>
        </w:rPr>
      </w:pPr>
    </w:p>
    <w:p w14:paraId="1DC1FDC2" w14:textId="77777777" w:rsidR="008A74F8" w:rsidRPr="00722521" w:rsidRDefault="008A74F8" w:rsidP="008A74F8">
      <w:pPr>
        <w:mirrorIndents/>
        <w:rPr>
          <w:sz w:val="17"/>
          <w:szCs w:val="17"/>
        </w:rPr>
      </w:pPr>
      <w:r w:rsidRPr="00722521">
        <w:rPr>
          <w:sz w:val="17"/>
          <w:szCs w:val="17"/>
        </w:rPr>
        <w:t>The procedures, as foreseen by Articles 10-14 EIOPA Regulation provide for all necessary means to ensure effective and efficient processes and compliance with better regulation standards. However, it is not possible for EIOPA (ESMA and EBA) to run these processes properly if there is insufficient time to ensure that the better regulation targets are met.</w:t>
      </w:r>
    </w:p>
    <w:p w14:paraId="3630B552" w14:textId="77777777" w:rsidR="008A74F8" w:rsidRPr="00722521" w:rsidRDefault="008A74F8" w:rsidP="008A74F8">
      <w:pPr>
        <w:mirrorIndents/>
        <w:rPr>
          <w:sz w:val="17"/>
          <w:szCs w:val="17"/>
        </w:rPr>
      </w:pPr>
    </w:p>
    <w:p w14:paraId="05A8ED53" w14:textId="1D0E2F22" w:rsidR="008A74F8" w:rsidRPr="00722521" w:rsidRDefault="008A74F8" w:rsidP="008A74F8">
      <w:pPr>
        <w:mirrorIndents/>
        <w:rPr>
          <w:sz w:val="17"/>
          <w:szCs w:val="17"/>
        </w:rPr>
      </w:pPr>
      <w:r w:rsidRPr="00722521">
        <w:rPr>
          <w:sz w:val="17"/>
          <w:szCs w:val="17"/>
        </w:rPr>
        <w:t xml:space="preserve">In addition, </w:t>
      </w:r>
      <w:r w:rsidR="00722521">
        <w:rPr>
          <w:sz w:val="17"/>
          <w:szCs w:val="17"/>
        </w:rPr>
        <w:t>VVO</w:t>
      </w:r>
      <w:r w:rsidRPr="00722521">
        <w:rPr>
          <w:sz w:val="17"/>
          <w:szCs w:val="17"/>
        </w:rPr>
        <w:t xml:space="preserve"> believes that higher governance standards on the processes of the European Commission is required. Between the submission of the draft RTS and the publication of the proposal for a DA the European Commission should assess how the empowerment has been fulfilled and what alternative measures had been considered. Particularly where the RTS required interpretation of the Level 1 regulation, the European Commission should inform the European Parliament and the Council how the rules were interpreted and why the European Commission and EIOPA (the other ESAs) came to this interpretation.</w:t>
      </w:r>
    </w:p>
    <w:p w14:paraId="3983E725" w14:textId="77777777" w:rsidR="00B35455" w:rsidRPr="00722521" w:rsidRDefault="00B35455" w:rsidP="008A74F8">
      <w:pPr>
        <w:mirrorIndents/>
        <w:rPr>
          <w:sz w:val="17"/>
          <w:szCs w:val="17"/>
        </w:rPr>
      </w:pPr>
    </w:p>
    <w:p w14:paraId="4E3F54BA" w14:textId="699DD1FB" w:rsidR="00F37EB0" w:rsidRPr="00722521" w:rsidRDefault="00F37EB0" w:rsidP="008A74F8">
      <w:pPr>
        <w:mirrorIndents/>
        <w:rPr>
          <w:sz w:val="17"/>
          <w:szCs w:val="17"/>
        </w:rPr>
      </w:pPr>
      <w:r w:rsidRPr="00722521">
        <w:rPr>
          <w:sz w:val="17"/>
          <w:szCs w:val="17"/>
        </w:rPr>
        <w:t xml:space="preserve">With regard to the timetable, Regulatory Technical Standards (see art.10 to 15 </w:t>
      </w:r>
      <w:r w:rsidR="00B35455" w:rsidRPr="00722521">
        <w:rPr>
          <w:sz w:val="17"/>
          <w:szCs w:val="17"/>
        </w:rPr>
        <w:t xml:space="preserve">of </w:t>
      </w:r>
      <w:r w:rsidRPr="00722521">
        <w:rPr>
          <w:sz w:val="17"/>
          <w:szCs w:val="17"/>
        </w:rPr>
        <w:t xml:space="preserve">EIOPA regulation) could be problematic for financial entities when they are published one year after the entry into force of the Regulation or the Directive, </w:t>
      </w:r>
      <w:r w:rsidR="00B35455" w:rsidRPr="00722521">
        <w:rPr>
          <w:sz w:val="17"/>
          <w:szCs w:val="17"/>
        </w:rPr>
        <w:t>as it is the case for the</w:t>
      </w:r>
      <w:r w:rsidRPr="00722521">
        <w:rPr>
          <w:sz w:val="17"/>
          <w:szCs w:val="17"/>
        </w:rPr>
        <w:t xml:space="preserve"> DORA regulation and future RTS art. 14.</w:t>
      </w:r>
    </w:p>
    <w:p w14:paraId="1FA6DFEE" w14:textId="166B56E4" w:rsidR="00BE6FA5" w:rsidRPr="00722521" w:rsidRDefault="00BE6FA5" w:rsidP="00A903E6">
      <w:pPr>
        <w:mirrorIndents/>
        <w:rPr>
          <w:sz w:val="17"/>
          <w:szCs w:val="17"/>
        </w:rPr>
      </w:pPr>
    </w:p>
    <w:p w14:paraId="2EF12EF6" w14:textId="77777777" w:rsidR="00BE6FA5" w:rsidRPr="00722521" w:rsidRDefault="00BE6FA5" w:rsidP="00A903E6">
      <w:pPr>
        <w:mirrorIndents/>
        <w:rPr>
          <w:sz w:val="17"/>
          <w:szCs w:val="17"/>
        </w:rPr>
      </w:pPr>
    </w:p>
    <w:p w14:paraId="39489C5D" w14:textId="77777777" w:rsidR="00BA160A" w:rsidRPr="00722521" w:rsidRDefault="00BA160A" w:rsidP="000806D6">
      <w:pPr>
        <w:pStyle w:val="Textkrper"/>
        <w:ind w:left="0"/>
        <w:mirrorIndents/>
        <w:rPr>
          <w:rFonts w:ascii="Verdana" w:hAnsi="Verdana"/>
          <w:sz w:val="17"/>
          <w:szCs w:val="17"/>
        </w:rPr>
      </w:pPr>
      <w:r w:rsidRPr="00722521">
        <w:rPr>
          <w:rFonts w:ascii="Verdana" w:hAnsi="Verdana"/>
          <w:sz w:val="17"/>
          <w:szCs w:val="17"/>
          <w:highlight w:val="lightGray"/>
        </w:rPr>
        <w:t>If you have identified areas for improvement, please explain:</w:t>
      </w:r>
    </w:p>
    <w:p w14:paraId="3BF1E2C5" w14:textId="0409AC03" w:rsidR="00BA160A" w:rsidRPr="00722521" w:rsidRDefault="00BA160A" w:rsidP="00A903E6">
      <w:pPr>
        <w:mirrorIndents/>
        <w:rPr>
          <w:sz w:val="17"/>
          <w:szCs w:val="17"/>
        </w:rPr>
      </w:pPr>
    </w:p>
    <w:p w14:paraId="0218ABF0" w14:textId="3EAA942B" w:rsidR="00BE6FA5" w:rsidRPr="00722521" w:rsidRDefault="000806D6" w:rsidP="00A903E6">
      <w:pPr>
        <w:mirrorIndents/>
        <w:rPr>
          <w:sz w:val="17"/>
          <w:szCs w:val="17"/>
        </w:rPr>
      </w:pPr>
      <w:r w:rsidRPr="00722521">
        <w:rPr>
          <w:sz w:val="17"/>
          <w:szCs w:val="17"/>
        </w:rPr>
        <w:t>See previous answer.</w:t>
      </w:r>
    </w:p>
    <w:p w14:paraId="30AAFD2D" w14:textId="77777777" w:rsidR="00BE6FA5" w:rsidRPr="00722521" w:rsidRDefault="00BE6FA5" w:rsidP="00A903E6">
      <w:pPr>
        <w:mirrorIndents/>
        <w:rPr>
          <w:sz w:val="17"/>
          <w:szCs w:val="17"/>
        </w:rPr>
      </w:pPr>
    </w:p>
    <w:p w14:paraId="071FF3CB" w14:textId="6A97F8B3" w:rsidR="00BA160A" w:rsidRPr="00722521" w:rsidRDefault="00BA160A" w:rsidP="000806D6">
      <w:pPr>
        <w:pStyle w:val="Textkrper"/>
        <w:ind w:left="0"/>
        <w:mirrorIndents/>
        <w:rPr>
          <w:rFonts w:ascii="Verdana" w:hAnsi="Verdana"/>
          <w:sz w:val="17"/>
          <w:szCs w:val="17"/>
          <w:highlight w:val="lightGray"/>
        </w:rPr>
      </w:pPr>
      <w:r w:rsidRPr="00722521">
        <w:rPr>
          <w:rFonts w:ascii="Verdana" w:hAnsi="Verdana"/>
          <w:sz w:val="17"/>
          <w:szCs w:val="17"/>
          <w:highlight w:val="lightGray"/>
        </w:rPr>
        <w:t>Question 5.3 When several ESAs need to amend joint technical standards (e.g. PRIIPs RTS) and there is a blocking minority at the Board of Supervisors of one of the ESAs, what would you propose as solution to ensure that the amendment process runs smoothly?</w:t>
      </w:r>
    </w:p>
    <w:p w14:paraId="65CD17A4" w14:textId="128537B8" w:rsidR="00BA160A" w:rsidRPr="00722521" w:rsidRDefault="00BA160A" w:rsidP="00A903E6">
      <w:pPr>
        <w:mirrorIndents/>
        <w:rPr>
          <w:sz w:val="17"/>
          <w:szCs w:val="17"/>
        </w:rPr>
      </w:pPr>
    </w:p>
    <w:p w14:paraId="28FA132C" w14:textId="6F5BD405" w:rsidR="008A74F8" w:rsidRPr="00722521" w:rsidRDefault="00722521" w:rsidP="008A74F8">
      <w:pPr>
        <w:mirrorIndents/>
        <w:rPr>
          <w:sz w:val="17"/>
          <w:szCs w:val="17"/>
        </w:rPr>
      </w:pPr>
      <w:r>
        <w:rPr>
          <w:sz w:val="17"/>
          <w:szCs w:val="17"/>
        </w:rPr>
        <w:t>VVO</w:t>
      </w:r>
      <w:r w:rsidR="008A74F8" w:rsidRPr="00722521">
        <w:rPr>
          <w:sz w:val="17"/>
          <w:szCs w:val="17"/>
        </w:rPr>
        <w:t xml:space="preserve"> believes that it is an important prerequisite for the quality of technical standards (and other tools which are jointly developed) that the ESAs have to adopt the standards in unanimity. Each of the ESAs has a specific role and expertise to contribute to the process. The process can only run “smoothly” if the concerns and technical problems arising from the standards have been duly considered and appropriately addressed.</w:t>
      </w:r>
    </w:p>
    <w:p w14:paraId="1CBE3815" w14:textId="77777777" w:rsidR="008A74F8" w:rsidRPr="00722521" w:rsidRDefault="008A74F8" w:rsidP="008A74F8">
      <w:pPr>
        <w:mirrorIndents/>
        <w:rPr>
          <w:sz w:val="17"/>
          <w:szCs w:val="17"/>
          <w:highlight w:val="yellow"/>
        </w:rPr>
      </w:pPr>
    </w:p>
    <w:p w14:paraId="487A40D7" w14:textId="432D2BB4" w:rsidR="008A74F8" w:rsidRPr="00722521" w:rsidRDefault="008A74F8" w:rsidP="008A74F8">
      <w:pPr>
        <w:mirrorIndents/>
        <w:rPr>
          <w:sz w:val="17"/>
          <w:szCs w:val="17"/>
        </w:rPr>
      </w:pPr>
      <w:r w:rsidRPr="00722521">
        <w:rPr>
          <w:sz w:val="17"/>
          <w:szCs w:val="17"/>
        </w:rPr>
        <w:t xml:space="preserve">The review of the PRIIPs RTS </w:t>
      </w:r>
      <w:proofErr w:type="gramStart"/>
      <w:r w:rsidRPr="00722521">
        <w:rPr>
          <w:sz w:val="17"/>
          <w:szCs w:val="17"/>
        </w:rPr>
        <w:t>are</w:t>
      </w:r>
      <w:proofErr w:type="gramEnd"/>
      <w:r w:rsidRPr="00722521">
        <w:rPr>
          <w:sz w:val="17"/>
          <w:szCs w:val="17"/>
        </w:rPr>
        <w:t xml:space="preserve"> a negative example in this respect. While the EIOPA </w:t>
      </w:r>
      <w:proofErr w:type="spellStart"/>
      <w:r w:rsidRPr="00722521">
        <w:rPr>
          <w:sz w:val="17"/>
          <w:szCs w:val="17"/>
        </w:rPr>
        <w:t>BoS</w:t>
      </w:r>
      <w:proofErr w:type="spellEnd"/>
      <w:r w:rsidRPr="00722521">
        <w:rPr>
          <w:sz w:val="17"/>
          <w:szCs w:val="17"/>
        </w:rPr>
        <w:t xml:space="preserve"> rejected the draft RTS in October 2020, political pressure was build-up to force the Authority into adopting the standard. EIOPA finally did so in early 2021. </w:t>
      </w:r>
      <w:r w:rsidR="00722521">
        <w:rPr>
          <w:sz w:val="17"/>
          <w:szCs w:val="17"/>
        </w:rPr>
        <w:t>VVO</w:t>
      </w:r>
      <w:r w:rsidRPr="00722521">
        <w:rPr>
          <w:sz w:val="17"/>
          <w:szCs w:val="17"/>
        </w:rPr>
        <w:t xml:space="preserve"> believes that this process is inappropriate and flawed. EIOPA </w:t>
      </w:r>
      <w:proofErr w:type="spellStart"/>
      <w:r w:rsidRPr="00722521">
        <w:rPr>
          <w:sz w:val="17"/>
          <w:szCs w:val="17"/>
        </w:rPr>
        <w:t>BoS</w:t>
      </w:r>
      <w:proofErr w:type="spellEnd"/>
      <w:r w:rsidRPr="00722521">
        <w:rPr>
          <w:sz w:val="17"/>
          <w:szCs w:val="17"/>
        </w:rPr>
        <w:t xml:space="preserve"> members refused to approve the RTS based on its inaccuracy for insurance products and the potential consumer threat which the implementation of the standard will cause. By pushing the standard through the EIOPA </w:t>
      </w:r>
      <w:proofErr w:type="spellStart"/>
      <w:r w:rsidRPr="00722521">
        <w:rPr>
          <w:sz w:val="17"/>
          <w:szCs w:val="17"/>
        </w:rPr>
        <w:t>BoS</w:t>
      </w:r>
      <w:proofErr w:type="spellEnd"/>
      <w:r w:rsidRPr="00722521">
        <w:rPr>
          <w:sz w:val="17"/>
          <w:szCs w:val="17"/>
        </w:rPr>
        <w:t xml:space="preserve"> without addressing the concerns of the EIOPA </w:t>
      </w:r>
      <w:proofErr w:type="spellStart"/>
      <w:r w:rsidRPr="00722521">
        <w:rPr>
          <w:sz w:val="17"/>
          <w:szCs w:val="17"/>
        </w:rPr>
        <w:t>BoS</w:t>
      </w:r>
      <w:proofErr w:type="spellEnd"/>
      <w:r w:rsidRPr="00722521">
        <w:rPr>
          <w:sz w:val="17"/>
          <w:szCs w:val="17"/>
        </w:rPr>
        <w:t xml:space="preserve"> the European Commission and the ESAs expose EU consumers to considerable risk caused by the provision inaccurate or misleading information and insurance undertakings to legal uncertainty. More than </w:t>
      </w:r>
      <w:r w:rsidR="00A30475" w:rsidRPr="00722521">
        <w:rPr>
          <w:sz w:val="17"/>
          <w:szCs w:val="17"/>
        </w:rPr>
        <w:t>three</w:t>
      </w:r>
      <w:r w:rsidR="008E4353" w:rsidRPr="00722521">
        <w:rPr>
          <w:sz w:val="17"/>
          <w:szCs w:val="17"/>
        </w:rPr>
        <w:t xml:space="preserve"> </w:t>
      </w:r>
      <w:r w:rsidR="00A30475" w:rsidRPr="00722521">
        <w:rPr>
          <w:sz w:val="17"/>
          <w:szCs w:val="17"/>
        </w:rPr>
        <w:t xml:space="preserve">quarters </w:t>
      </w:r>
      <w:r w:rsidRPr="00722521">
        <w:rPr>
          <w:sz w:val="17"/>
          <w:szCs w:val="17"/>
        </w:rPr>
        <w:t>of the products in scope of the PRIIPs Regulation are insurance-based investment products (IBIPs). Nonetheless, have the concerns of the authorities in charge of the supervision of the marketing of these products been ignored.</w:t>
      </w:r>
    </w:p>
    <w:p w14:paraId="15164F53" w14:textId="77777777" w:rsidR="008A74F8" w:rsidRPr="00722521" w:rsidRDefault="008A74F8" w:rsidP="008A74F8">
      <w:pPr>
        <w:mirrorIndents/>
        <w:rPr>
          <w:sz w:val="17"/>
          <w:szCs w:val="17"/>
        </w:rPr>
      </w:pPr>
    </w:p>
    <w:p w14:paraId="13EDE71E" w14:textId="77777777" w:rsidR="008A74F8" w:rsidRPr="00722521" w:rsidRDefault="008A74F8" w:rsidP="008A74F8">
      <w:pPr>
        <w:mirrorIndents/>
        <w:rPr>
          <w:sz w:val="17"/>
          <w:szCs w:val="17"/>
        </w:rPr>
      </w:pPr>
      <w:r w:rsidRPr="00722521">
        <w:rPr>
          <w:sz w:val="17"/>
          <w:szCs w:val="17"/>
        </w:rPr>
        <w:t>Rather than further undermining the process of the joined development of technical standards by the ESAs in the interest of “smooth” process and at the expense of consumers and market credibility, the governance should be strengthened to ensure that concerns of each of the ESAs are appropriately addressed before the adoption of the technical standard by the European Commission. The PRIIPs RTS will do more harm than good and should be a warning example.</w:t>
      </w:r>
    </w:p>
    <w:p w14:paraId="1BB7375B" w14:textId="3499C33C" w:rsidR="00BE6FA5" w:rsidRPr="00722521" w:rsidRDefault="00BE6FA5" w:rsidP="00A903E6">
      <w:pPr>
        <w:mirrorIndents/>
        <w:rPr>
          <w:sz w:val="17"/>
          <w:szCs w:val="17"/>
        </w:rPr>
      </w:pPr>
    </w:p>
    <w:p w14:paraId="09E39E9B" w14:textId="77777777" w:rsidR="00BE6FA5" w:rsidRPr="00722521" w:rsidRDefault="00BE6FA5" w:rsidP="00A903E6">
      <w:pPr>
        <w:mirrorIndents/>
        <w:rPr>
          <w:sz w:val="17"/>
          <w:szCs w:val="17"/>
        </w:rPr>
      </w:pPr>
    </w:p>
    <w:p w14:paraId="0810CCFE" w14:textId="2314D9AA"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Question 5.4 In particular, are stakeholders sufficiently consulted and any potential impacts sufficiently assessed?</w:t>
      </w:r>
    </w:p>
    <w:p w14:paraId="31E84DC1" w14:textId="5290CF76" w:rsidR="00BE6FA5" w:rsidRPr="00722521" w:rsidRDefault="00BA160A" w:rsidP="00BE6FA5">
      <w:pPr>
        <w:pStyle w:val="CEABullet-Level1"/>
        <w:rPr>
          <w:color w:val="auto"/>
          <w:highlight w:val="lightGray"/>
        </w:rPr>
      </w:pPr>
      <w:r w:rsidRPr="00722521">
        <w:rPr>
          <w:color w:val="auto"/>
          <w:highlight w:val="lightGray"/>
        </w:rPr>
        <w:t xml:space="preserve">Yes </w:t>
      </w:r>
    </w:p>
    <w:p w14:paraId="269F227A" w14:textId="77777777" w:rsidR="00BE6FA5" w:rsidRPr="00722521" w:rsidRDefault="00BA160A" w:rsidP="00BE6FA5">
      <w:pPr>
        <w:pStyle w:val="CEABullet-Level1"/>
        <w:rPr>
          <w:color w:val="auto"/>
          <w:highlight w:val="lightGray"/>
        </w:rPr>
      </w:pPr>
      <w:r w:rsidRPr="00722521">
        <w:rPr>
          <w:color w:val="auto"/>
          <w:highlight w:val="lightGray"/>
        </w:rPr>
        <w:t xml:space="preserve">No </w:t>
      </w:r>
    </w:p>
    <w:p w14:paraId="0794DAA8" w14:textId="23D467CE" w:rsidR="00BA160A" w:rsidRPr="00722521" w:rsidRDefault="00BA160A" w:rsidP="00BE6FA5">
      <w:pPr>
        <w:pStyle w:val="CEABullet-Level1"/>
        <w:rPr>
          <w:color w:val="auto"/>
          <w:highlight w:val="lightGray"/>
        </w:rPr>
      </w:pPr>
      <w:r w:rsidRPr="00722521">
        <w:rPr>
          <w:color w:val="auto"/>
          <w:highlight w:val="lightGray"/>
        </w:rPr>
        <w:t>Other</w:t>
      </w:r>
    </w:p>
    <w:p w14:paraId="74952337" w14:textId="77777777" w:rsidR="00BA160A" w:rsidRPr="00722521" w:rsidRDefault="00BA160A" w:rsidP="00BE6FA5">
      <w:pPr>
        <w:pStyle w:val="CEABullet-Level1"/>
        <w:rPr>
          <w:color w:val="auto"/>
          <w:highlight w:val="lightGray"/>
        </w:rPr>
      </w:pPr>
      <w:r w:rsidRPr="00722521">
        <w:rPr>
          <w:color w:val="auto"/>
          <w:highlight w:val="lightGray"/>
        </w:rPr>
        <w:t>Don’t know / no opinion / not relevant</w:t>
      </w:r>
    </w:p>
    <w:p w14:paraId="4F9F7397" w14:textId="7249D7B9" w:rsidR="00AA009E" w:rsidRPr="00722521" w:rsidRDefault="00AA009E" w:rsidP="00A903E6">
      <w:pPr>
        <w:mirrorIndents/>
        <w:rPr>
          <w:sz w:val="17"/>
          <w:szCs w:val="17"/>
        </w:rPr>
      </w:pPr>
    </w:p>
    <w:p w14:paraId="15E5C7C0" w14:textId="352604FE" w:rsidR="00660DF0" w:rsidRPr="00722521" w:rsidRDefault="00660DF0" w:rsidP="00A903E6">
      <w:pPr>
        <w:mirrorIndents/>
        <w:rPr>
          <w:sz w:val="17"/>
          <w:szCs w:val="17"/>
        </w:rPr>
      </w:pPr>
      <w:r w:rsidRPr="00722521">
        <w:rPr>
          <w:sz w:val="17"/>
          <w:szCs w:val="17"/>
        </w:rPr>
        <w:t>Other</w:t>
      </w:r>
    </w:p>
    <w:p w14:paraId="5831AE9E" w14:textId="77777777" w:rsidR="00660DF0" w:rsidRPr="00722521" w:rsidRDefault="00660DF0" w:rsidP="00A903E6">
      <w:pPr>
        <w:mirrorIndents/>
        <w:rPr>
          <w:sz w:val="17"/>
          <w:szCs w:val="17"/>
        </w:rPr>
      </w:pPr>
    </w:p>
    <w:p w14:paraId="55DE4CA3"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specify what your mean by ‘other’ in your answer to question 5.4:</w:t>
      </w:r>
    </w:p>
    <w:p w14:paraId="6FB227B1" w14:textId="63E0AD06" w:rsidR="00BA160A" w:rsidRPr="00722521" w:rsidRDefault="00BA160A" w:rsidP="00A903E6">
      <w:pPr>
        <w:mirrorIndents/>
        <w:rPr>
          <w:sz w:val="17"/>
          <w:szCs w:val="17"/>
        </w:rPr>
      </w:pPr>
    </w:p>
    <w:p w14:paraId="3D5ABE55" w14:textId="6A183304" w:rsidR="00BE6FA5" w:rsidRPr="00722521" w:rsidRDefault="00E87A4D" w:rsidP="00A903E6">
      <w:pPr>
        <w:mirrorIndents/>
        <w:rPr>
          <w:sz w:val="17"/>
          <w:szCs w:val="17"/>
        </w:rPr>
      </w:pPr>
      <w:r w:rsidRPr="00722521">
        <w:rPr>
          <w:sz w:val="17"/>
          <w:szCs w:val="17"/>
        </w:rPr>
        <w:t>The stakeholders are sufficiently consulted, but the potential impacts are not sufficiently assessed (see explanation in the following answer).</w:t>
      </w:r>
    </w:p>
    <w:p w14:paraId="2FF6D6A8" w14:textId="77777777" w:rsidR="00BE6FA5" w:rsidRPr="00722521" w:rsidRDefault="00BE6FA5" w:rsidP="00A903E6">
      <w:pPr>
        <w:mirrorIndents/>
        <w:rPr>
          <w:sz w:val="17"/>
          <w:szCs w:val="17"/>
        </w:rPr>
      </w:pPr>
    </w:p>
    <w:p w14:paraId="20A9B0C2"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explain your answer to question 5.4:</w:t>
      </w:r>
    </w:p>
    <w:p w14:paraId="32C8C2FC" w14:textId="039BA709" w:rsidR="00BA160A" w:rsidRPr="00722521" w:rsidRDefault="00BA160A" w:rsidP="00A903E6">
      <w:pPr>
        <w:mirrorIndents/>
        <w:rPr>
          <w:sz w:val="17"/>
          <w:szCs w:val="17"/>
        </w:rPr>
      </w:pPr>
    </w:p>
    <w:p w14:paraId="546A0F96" w14:textId="77777777" w:rsidR="0025626E" w:rsidRPr="00722521" w:rsidRDefault="008A74F8" w:rsidP="008A74F8">
      <w:pPr>
        <w:mirrorIndents/>
        <w:rPr>
          <w:sz w:val="17"/>
          <w:szCs w:val="17"/>
        </w:rPr>
      </w:pPr>
      <w:r w:rsidRPr="00722521">
        <w:rPr>
          <w:sz w:val="17"/>
          <w:szCs w:val="17"/>
        </w:rPr>
        <w:t>In general, EIOPA adheres to the standards set out in its establishing regulation and what is understood as better regulation with regards to the development of RTS and Implementing Technical Standards (ITS), guidelines, recommendations etc. It is important to note that measures to improvement to the consultation and assessment process must not lead to a tick-</w:t>
      </w:r>
      <w:r w:rsidR="00AA009E" w:rsidRPr="00722521">
        <w:rPr>
          <w:sz w:val="17"/>
          <w:szCs w:val="17"/>
        </w:rPr>
        <w:t>the-</w:t>
      </w:r>
      <w:r w:rsidRPr="00722521">
        <w:rPr>
          <w:sz w:val="17"/>
          <w:szCs w:val="17"/>
        </w:rPr>
        <w:t xml:space="preserve">box exercised. Providing feedback to consultation involves significant efforts from stakeholders. The assessment and feedback statement should reflect these efforts and provide an appropriate response to the aspects and concerns raised. </w:t>
      </w:r>
    </w:p>
    <w:p w14:paraId="79DCC3C4" w14:textId="77777777" w:rsidR="0025626E" w:rsidRPr="00722521" w:rsidRDefault="0025626E" w:rsidP="008A74F8">
      <w:pPr>
        <w:mirrorIndents/>
        <w:rPr>
          <w:sz w:val="17"/>
          <w:szCs w:val="17"/>
        </w:rPr>
      </w:pPr>
    </w:p>
    <w:p w14:paraId="5B7A4778" w14:textId="16F37201" w:rsidR="008A74F8" w:rsidRPr="00722521" w:rsidRDefault="0025626E" w:rsidP="008A74F8">
      <w:pPr>
        <w:mirrorIndents/>
        <w:rPr>
          <w:sz w:val="17"/>
          <w:szCs w:val="17"/>
        </w:rPr>
      </w:pPr>
      <w:r w:rsidRPr="00722521">
        <w:rPr>
          <w:sz w:val="17"/>
          <w:szCs w:val="17"/>
        </w:rPr>
        <w:lastRenderedPageBreak/>
        <w:t>Moreover</w:t>
      </w:r>
      <w:r w:rsidR="008A74F8" w:rsidRPr="00722521">
        <w:rPr>
          <w:sz w:val="17"/>
          <w:szCs w:val="17"/>
        </w:rPr>
        <w:t xml:space="preserve">, </w:t>
      </w:r>
      <w:r w:rsidR="00722521">
        <w:rPr>
          <w:sz w:val="17"/>
          <w:szCs w:val="17"/>
        </w:rPr>
        <w:t>VVO</w:t>
      </w:r>
      <w:r w:rsidR="008A74F8" w:rsidRPr="00722521">
        <w:rPr>
          <w:sz w:val="17"/>
          <w:szCs w:val="17"/>
        </w:rPr>
        <w:t xml:space="preserve"> also feels that the quality of the reflection of input and feedback differs significantly between the processes. A more standardised approach on how feedback has been taken into account might be helpful.  </w:t>
      </w:r>
    </w:p>
    <w:p w14:paraId="7D14B1E3" w14:textId="77777777" w:rsidR="008A74F8" w:rsidRPr="00722521" w:rsidRDefault="008A74F8" w:rsidP="008A74F8">
      <w:pPr>
        <w:mirrorIndents/>
        <w:rPr>
          <w:sz w:val="17"/>
          <w:szCs w:val="17"/>
          <w:highlight w:val="yellow"/>
        </w:rPr>
      </w:pPr>
    </w:p>
    <w:p w14:paraId="72FBA500" w14:textId="27FA22A5" w:rsidR="0025626E" w:rsidRPr="00722521" w:rsidRDefault="008A74F8" w:rsidP="008A74F8">
      <w:pPr>
        <w:mirrorIndents/>
        <w:rPr>
          <w:sz w:val="17"/>
          <w:szCs w:val="17"/>
        </w:rPr>
      </w:pPr>
      <w:r w:rsidRPr="00722521">
        <w:rPr>
          <w:sz w:val="17"/>
          <w:szCs w:val="17"/>
        </w:rPr>
        <w:t xml:space="preserve">Nonetheless, </w:t>
      </w:r>
      <w:r w:rsidR="00722521">
        <w:rPr>
          <w:sz w:val="17"/>
          <w:szCs w:val="17"/>
        </w:rPr>
        <w:t>VVO</w:t>
      </w:r>
      <w:r w:rsidRPr="00722521">
        <w:rPr>
          <w:sz w:val="17"/>
          <w:szCs w:val="17"/>
        </w:rPr>
        <w:t xml:space="preserve"> believes that the stakeholder feedback could be better reflected in the preparation and explanation of the draft standards and also in guidelines, recommendations, opinions etc. Particularly where consistent concerns have been raised by stakeholders or a group thereof, a more in dept explanatory statement which also assesses the impact of potential alternative methods</w:t>
      </w:r>
      <w:r w:rsidR="0025626E" w:rsidRPr="00722521">
        <w:rPr>
          <w:sz w:val="17"/>
          <w:szCs w:val="17"/>
        </w:rPr>
        <w:t xml:space="preserve"> would be welcome</w:t>
      </w:r>
      <w:r w:rsidRPr="00722521">
        <w:rPr>
          <w:sz w:val="17"/>
          <w:szCs w:val="17"/>
        </w:rPr>
        <w:t xml:space="preserve">. </w:t>
      </w:r>
    </w:p>
    <w:p w14:paraId="079230E2" w14:textId="77777777" w:rsidR="0025626E" w:rsidRPr="00722521" w:rsidRDefault="0025626E" w:rsidP="008A74F8">
      <w:pPr>
        <w:mirrorIndents/>
        <w:rPr>
          <w:sz w:val="17"/>
          <w:szCs w:val="17"/>
        </w:rPr>
      </w:pPr>
    </w:p>
    <w:p w14:paraId="1DF955DE" w14:textId="77E5860A" w:rsidR="008A74F8" w:rsidRPr="00722521" w:rsidRDefault="008A74F8" w:rsidP="008A74F8">
      <w:pPr>
        <w:mirrorIndents/>
        <w:rPr>
          <w:sz w:val="17"/>
          <w:szCs w:val="17"/>
        </w:rPr>
      </w:pPr>
      <w:r w:rsidRPr="00722521">
        <w:rPr>
          <w:sz w:val="17"/>
          <w:szCs w:val="17"/>
        </w:rPr>
        <w:t xml:space="preserve">The EIOPA </w:t>
      </w:r>
      <w:r w:rsidR="0025626E" w:rsidRPr="00722521">
        <w:rPr>
          <w:sz w:val="17"/>
          <w:szCs w:val="17"/>
        </w:rPr>
        <w:t>o</w:t>
      </w:r>
      <w:r w:rsidRPr="00722521">
        <w:rPr>
          <w:sz w:val="17"/>
          <w:szCs w:val="17"/>
        </w:rPr>
        <w:t xml:space="preserve">pinion on the </w:t>
      </w:r>
      <w:r w:rsidR="0025626E" w:rsidRPr="00722521">
        <w:rPr>
          <w:sz w:val="17"/>
          <w:szCs w:val="17"/>
        </w:rPr>
        <w:t>2020 r</w:t>
      </w:r>
      <w:r w:rsidRPr="00722521">
        <w:rPr>
          <w:sz w:val="17"/>
          <w:szCs w:val="17"/>
        </w:rPr>
        <w:t xml:space="preserve">eview of Solvency II is a good example. The </w:t>
      </w:r>
      <w:r w:rsidR="0025626E" w:rsidRPr="00722521">
        <w:rPr>
          <w:sz w:val="17"/>
          <w:szCs w:val="17"/>
        </w:rPr>
        <w:t>o</w:t>
      </w:r>
      <w:r w:rsidRPr="00722521">
        <w:rPr>
          <w:sz w:val="17"/>
          <w:szCs w:val="17"/>
        </w:rPr>
        <w:t xml:space="preserve">pinion was prepared based on excessive consultations on various options and additional proposals were requested. Stakeholders and EIOPA made significant efforts on these consultations. Despite the volume of the </w:t>
      </w:r>
      <w:r w:rsidR="0025626E" w:rsidRPr="00722521">
        <w:rPr>
          <w:sz w:val="17"/>
          <w:szCs w:val="17"/>
        </w:rPr>
        <w:t>o</w:t>
      </w:r>
      <w:r w:rsidRPr="00722521">
        <w:rPr>
          <w:sz w:val="17"/>
          <w:szCs w:val="17"/>
        </w:rPr>
        <w:t>pinion (about 100 pages)</w:t>
      </w:r>
      <w:r w:rsidR="0025626E" w:rsidRPr="00722521">
        <w:rPr>
          <w:sz w:val="17"/>
          <w:szCs w:val="17"/>
        </w:rPr>
        <w:t>,</w:t>
      </w:r>
      <w:r w:rsidRPr="00722521">
        <w:rPr>
          <w:sz w:val="17"/>
          <w:szCs w:val="17"/>
        </w:rPr>
        <w:t xml:space="preserve"> its background </w:t>
      </w:r>
      <w:r w:rsidR="0025626E" w:rsidRPr="00722521">
        <w:rPr>
          <w:sz w:val="17"/>
          <w:szCs w:val="17"/>
        </w:rPr>
        <w:t>analysis document</w:t>
      </w:r>
      <w:r w:rsidRPr="00722521">
        <w:rPr>
          <w:sz w:val="17"/>
          <w:szCs w:val="17"/>
        </w:rPr>
        <w:t xml:space="preserve"> (</w:t>
      </w:r>
      <w:r w:rsidR="0025626E" w:rsidRPr="00722521">
        <w:rPr>
          <w:sz w:val="17"/>
          <w:szCs w:val="17"/>
        </w:rPr>
        <w:t>over</w:t>
      </w:r>
      <w:r w:rsidRPr="00722521">
        <w:rPr>
          <w:sz w:val="17"/>
          <w:szCs w:val="17"/>
        </w:rPr>
        <w:t xml:space="preserve"> 1000 pages)</w:t>
      </w:r>
      <w:r w:rsidR="0025626E" w:rsidRPr="00722521">
        <w:rPr>
          <w:sz w:val="17"/>
          <w:szCs w:val="17"/>
        </w:rPr>
        <w:t xml:space="preserve"> and its background “impact assessment” (almost 500 pages)</w:t>
      </w:r>
      <w:r w:rsidRPr="00722521">
        <w:rPr>
          <w:sz w:val="17"/>
          <w:szCs w:val="17"/>
        </w:rPr>
        <w:t xml:space="preserve">, </w:t>
      </w:r>
      <w:r w:rsidR="00722521">
        <w:rPr>
          <w:sz w:val="17"/>
          <w:szCs w:val="17"/>
        </w:rPr>
        <w:t>VVO</w:t>
      </w:r>
      <w:r w:rsidRPr="00722521">
        <w:rPr>
          <w:sz w:val="17"/>
          <w:szCs w:val="17"/>
        </w:rPr>
        <w:t xml:space="preserve"> does not feel that the views of stakeholders have been sufficiently reflected, specifically with regards to the concerns raised about an alternative method for the extrapolation of the risk-free-rate term structure suggested by EIOPA and a reviewed calibration of the interest-rate sub-module. Rather than taking the concerns into account and testing the impact of alternative suggestions, EIOPA went ahead with its own </w:t>
      </w:r>
      <w:r w:rsidR="0025626E" w:rsidRPr="00722521">
        <w:rPr>
          <w:sz w:val="17"/>
          <w:szCs w:val="17"/>
        </w:rPr>
        <w:t xml:space="preserve">flawed </w:t>
      </w:r>
      <w:r w:rsidRPr="00722521">
        <w:rPr>
          <w:sz w:val="17"/>
          <w:szCs w:val="17"/>
        </w:rPr>
        <w:t>methodology.</w:t>
      </w:r>
    </w:p>
    <w:p w14:paraId="6A0CC969" w14:textId="7988A064" w:rsidR="00BE6FA5" w:rsidRPr="00722521" w:rsidRDefault="00BE6FA5" w:rsidP="00A903E6">
      <w:pPr>
        <w:mirrorIndents/>
        <w:rPr>
          <w:sz w:val="17"/>
          <w:szCs w:val="17"/>
        </w:rPr>
      </w:pPr>
    </w:p>
    <w:p w14:paraId="382D6C64" w14:textId="77777777" w:rsidR="00D114E8" w:rsidRPr="00722521" w:rsidRDefault="00D114E8" w:rsidP="00D114E8">
      <w:pPr>
        <w:mirrorIndents/>
        <w:rPr>
          <w:sz w:val="17"/>
          <w:szCs w:val="17"/>
        </w:rPr>
      </w:pPr>
      <w:r w:rsidRPr="00722521">
        <w:rPr>
          <w:sz w:val="17"/>
          <w:szCs w:val="17"/>
        </w:rPr>
        <w:t xml:space="preserve">Finally, the potential impact that EIOPA’s standards and guidance might have should not be assessed too narrowly and limited to supervisory objectives, but it should also encompass the broader objectives of the European Union. EIOPA should be able to demonstrate how their regulations, guidelines, statements, opinions objectively contribute to deliver the priorities of the EU. This is a matter of accountability of EIOPA action before the EU Co-Legislators, the stakeholders and the wider public.  </w:t>
      </w:r>
    </w:p>
    <w:p w14:paraId="097E15A4" w14:textId="77777777" w:rsidR="00D114E8" w:rsidRPr="00722521" w:rsidRDefault="00D114E8" w:rsidP="00A903E6">
      <w:pPr>
        <w:mirrorIndents/>
        <w:rPr>
          <w:sz w:val="17"/>
          <w:szCs w:val="17"/>
        </w:rPr>
      </w:pPr>
    </w:p>
    <w:p w14:paraId="637F7FC6" w14:textId="77777777" w:rsidR="00BE6FA5" w:rsidRPr="00722521" w:rsidRDefault="00BE6FA5" w:rsidP="00A903E6">
      <w:pPr>
        <w:mirrorIndents/>
        <w:rPr>
          <w:sz w:val="17"/>
          <w:szCs w:val="17"/>
        </w:rPr>
      </w:pPr>
    </w:p>
    <w:p w14:paraId="5AED0687" w14:textId="77777777" w:rsidR="00BA160A" w:rsidRPr="00722521" w:rsidRDefault="00BA160A" w:rsidP="00BE6FA5">
      <w:pPr>
        <w:pStyle w:val="Textkrper"/>
        <w:ind w:left="0"/>
        <w:mirrorIndents/>
        <w:rPr>
          <w:rFonts w:ascii="Verdana" w:hAnsi="Verdana"/>
          <w:sz w:val="17"/>
          <w:szCs w:val="17"/>
        </w:rPr>
      </w:pPr>
      <w:r w:rsidRPr="00722521">
        <w:rPr>
          <w:rFonts w:ascii="Verdana" w:hAnsi="Verdana"/>
          <w:sz w:val="17"/>
          <w:szCs w:val="17"/>
          <w:highlight w:val="lightGray"/>
        </w:rPr>
        <w:t>If you have identified areas for improvement, please explain:</w:t>
      </w:r>
    </w:p>
    <w:p w14:paraId="5B9A8AE9" w14:textId="6AAFF27A" w:rsidR="00BA160A" w:rsidRPr="00722521" w:rsidRDefault="00BA160A" w:rsidP="00A903E6">
      <w:pPr>
        <w:mirrorIndents/>
        <w:rPr>
          <w:sz w:val="17"/>
          <w:szCs w:val="17"/>
        </w:rPr>
      </w:pPr>
    </w:p>
    <w:p w14:paraId="67616596" w14:textId="5C505978" w:rsidR="00BE6FA5" w:rsidRPr="00722521" w:rsidRDefault="005301AF" w:rsidP="00A903E6">
      <w:pPr>
        <w:mirrorIndents/>
        <w:rPr>
          <w:sz w:val="17"/>
          <w:szCs w:val="17"/>
        </w:rPr>
      </w:pPr>
      <w:r w:rsidRPr="00722521">
        <w:rPr>
          <w:sz w:val="17"/>
          <w:szCs w:val="17"/>
        </w:rPr>
        <w:t>See previous answer.</w:t>
      </w:r>
    </w:p>
    <w:p w14:paraId="56AA983B" w14:textId="77777777" w:rsidR="00BE6FA5" w:rsidRPr="00722521" w:rsidRDefault="00BE6FA5" w:rsidP="00A903E6">
      <w:pPr>
        <w:mirrorIndents/>
        <w:rPr>
          <w:sz w:val="17"/>
          <w:szCs w:val="17"/>
        </w:rPr>
      </w:pPr>
    </w:p>
    <w:p w14:paraId="0D2CDE2A" w14:textId="7C2A1BC1" w:rsidR="00BA160A" w:rsidRPr="00722521" w:rsidRDefault="00BA160A" w:rsidP="00BE6FA5">
      <w:pPr>
        <w:pStyle w:val="Textkrper"/>
        <w:tabs>
          <w:tab w:val="left" w:pos="1607"/>
          <w:tab w:val="left" w:pos="2263"/>
          <w:tab w:val="left" w:pos="3054"/>
          <w:tab w:val="left" w:pos="3814"/>
          <w:tab w:val="left" w:pos="5103"/>
          <w:tab w:val="left" w:pos="6656"/>
          <w:tab w:val="left" w:pos="7734"/>
          <w:tab w:val="left" w:pos="9408"/>
        </w:tabs>
        <w:ind w:left="0"/>
        <w:mirrorIndents/>
        <w:rPr>
          <w:rFonts w:ascii="Verdana" w:hAnsi="Verdana"/>
          <w:sz w:val="17"/>
          <w:szCs w:val="17"/>
        </w:rPr>
      </w:pPr>
      <w:r w:rsidRPr="00722521">
        <w:rPr>
          <w:rFonts w:ascii="Verdana" w:hAnsi="Verdana"/>
          <w:spacing w:val="7"/>
          <w:sz w:val="17"/>
          <w:szCs w:val="17"/>
          <w:highlight w:val="lightGray"/>
        </w:rPr>
        <w:t>Question</w:t>
      </w:r>
      <w:r w:rsidR="00BE6FA5" w:rsidRPr="00722521">
        <w:rPr>
          <w:rFonts w:ascii="Verdana" w:hAnsi="Verdana"/>
          <w:spacing w:val="7"/>
          <w:sz w:val="17"/>
          <w:szCs w:val="17"/>
          <w:highlight w:val="lightGray"/>
        </w:rPr>
        <w:t xml:space="preserve"> </w:t>
      </w:r>
      <w:r w:rsidRPr="00722521">
        <w:rPr>
          <w:rFonts w:ascii="Verdana" w:hAnsi="Verdana"/>
          <w:spacing w:val="5"/>
          <w:sz w:val="17"/>
          <w:szCs w:val="17"/>
          <w:highlight w:val="lightGray"/>
        </w:rPr>
        <w:t>5.5</w:t>
      </w:r>
      <w:r w:rsidR="00BE6FA5" w:rsidRPr="00722521">
        <w:rPr>
          <w:rFonts w:ascii="Verdana" w:hAnsi="Verdana"/>
          <w:spacing w:val="5"/>
          <w:sz w:val="17"/>
          <w:szCs w:val="17"/>
          <w:highlight w:val="lightGray"/>
        </w:rPr>
        <w:t xml:space="preserve"> </w:t>
      </w:r>
      <w:r w:rsidRPr="00722521">
        <w:rPr>
          <w:rFonts w:ascii="Verdana" w:hAnsi="Verdana"/>
          <w:spacing w:val="5"/>
          <w:sz w:val="17"/>
          <w:szCs w:val="17"/>
          <w:highlight w:val="lightGray"/>
        </w:rPr>
        <w:t>Can</w:t>
      </w:r>
      <w:r w:rsidR="00BE6FA5" w:rsidRPr="00722521">
        <w:rPr>
          <w:rFonts w:ascii="Verdana" w:hAnsi="Verdana"/>
          <w:spacing w:val="5"/>
          <w:sz w:val="17"/>
          <w:szCs w:val="17"/>
          <w:highlight w:val="lightGray"/>
        </w:rPr>
        <w:t xml:space="preserve"> </w:t>
      </w:r>
      <w:r w:rsidRPr="00722521">
        <w:rPr>
          <w:rFonts w:ascii="Verdana" w:hAnsi="Verdana"/>
          <w:spacing w:val="5"/>
          <w:sz w:val="17"/>
          <w:szCs w:val="17"/>
          <w:highlight w:val="lightGray"/>
        </w:rPr>
        <w:t>you</w:t>
      </w:r>
      <w:r w:rsidR="00BE6FA5" w:rsidRPr="00722521">
        <w:rPr>
          <w:rFonts w:ascii="Verdana" w:hAnsi="Verdana"/>
          <w:spacing w:val="5"/>
          <w:sz w:val="17"/>
          <w:szCs w:val="17"/>
          <w:highlight w:val="lightGray"/>
        </w:rPr>
        <w:t xml:space="preserve"> </w:t>
      </w:r>
      <w:r w:rsidRPr="00722521">
        <w:rPr>
          <w:rFonts w:ascii="Verdana" w:hAnsi="Verdana"/>
          <w:spacing w:val="6"/>
          <w:sz w:val="17"/>
          <w:szCs w:val="17"/>
          <w:highlight w:val="lightGray"/>
        </w:rPr>
        <w:t>provide</w:t>
      </w:r>
      <w:r w:rsidR="00BE6FA5" w:rsidRPr="00722521">
        <w:rPr>
          <w:rFonts w:ascii="Verdana" w:hAnsi="Verdana"/>
          <w:spacing w:val="6"/>
          <w:sz w:val="17"/>
          <w:szCs w:val="17"/>
          <w:highlight w:val="lightGray"/>
        </w:rPr>
        <w:t xml:space="preserve"> </w:t>
      </w:r>
      <w:r w:rsidRPr="00722521">
        <w:rPr>
          <w:rFonts w:ascii="Verdana" w:hAnsi="Verdana"/>
          <w:spacing w:val="7"/>
          <w:sz w:val="17"/>
          <w:szCs w:val="17"/>
          <w:highlight w:val="lightGray"/>
        </w:rPr>
        <w:t>examples</w:t>
      </w:r>
      <w:r w:rsidR="00BE6FA5" w:rsidRPr="00722521">
        <w:rPr>
          <w:rFonts w:ascii="Verdana" w:hAnsi="Verdana"/>
          <w:spacing w:val="7"/>
          <w:sz w:val="17"/>
          <w:szCs w:val="17"/>
          <w:highlight w:val="lightGray"/>
        </w:rPr>
        <w:t xml:space="preserve"> </w:t>
      </w:r>
      <w:r w:rsidRPr="00722521">
        <w:rPr>
          <w:rFonts w:ascii="Verdana" w:hAnsi="Verdana"/>
          <w:spacing w:val="6"/>
          <w:sz w:val="17"/>
          <w:szCs w:val="17"/>
          <w:highlight w:val="lightGray"/>
        </w:rPr>
        <w:t>where</w:t>
      </w:r>
      <w:r w:rsidR="00BE6FA5" w:rsidRPr="00722521">
        <w:rPr>
          <w:rFonts w:ascii="Verdana" w:hAnsi="Verdana"/>
          <w:spacing w:val="6"/>
          <w:sz w:val="17"/>
          <w:szCs w:val="17"/>
          <w:highlight w:val="lightGray"/>
        </w:rPr>
        <w:t xml:space="preserve"> </w:t>
      </w:r>
      <w:r w:rsidRPr="00722521">
        <w:rPr>
          <w:rFonts w:ascii="Verdana" w:hAnsi="Verdana"/>
          <w:spacing w:val="7"/>
          <w:sz w:val="17"/>
          <w:szCs w:val="17"/>
          <w:highlight w:val="lightGray"/>
        </w:rPr>
        <w:t>guidelines</w:t>
      </w:r>
      <w:r w:rsidR="00BE6FA5" w:rsidRPr="00722521">
        <w:rPr>
          <w:rFonts w:ascii="Verdana" w:hAnsi="Verdana"/>
          <w:spacing w:val="7"/>
          <w:sz w:val="17"/>
          <w:szCs w:val="17"/>
          <w:highlight w:val="lightGray"/>
        </w:rPr>
        <w:t xml:space="preserve"> </w:t>
      </w:r>
      <w:r w:rsidRPr="00722521">
        <w:rPr>
          <w:rFonts w:ascii="Verdana" w:hAnsi="Verdana"/>
          <w:spacing w:val="5"/>
          <w:sz w:val="17"/>
          <w:szCs w:val="17"/>
          <w:highlight w:val="lightGray"/>
        </w:rPr>
        <w:t xml:space="preserve">and </w:t>
      </w:r>
      <w:r w:rsidRPr="00722521">
        <w:rPr>
          <w:rFonts w:ascii="Verdana" w:hAnsi="Verdana"/>
          <w:sz w:val="17"/>
          <w:szCs w:val="17"/>
          <w:highlight w:val="lightGray"/>
        </w:rPr>
        <w:t>recommendations</w:t>
      </w:r>
      <w:r w:rsidRPr="00722521">
        <w:rPr>
          <w:rFonts w:ascii="Verdana" w:hAnsi="Verdana"/>
          <w:spacing w:val="44"/>
          <w:sz w:val="17"/>
          <w:szCs w:val="17"/>
          <w:highlight w:val="lightGray"/>
        </w:rPr>
        <w:t xml:space="preserve"> </w:t>
      </w:r>
      <w:r w:rsidRPr="00722521">
        <w:rPr>
          <w:rFonts w:ascii="Verdana" w:hAnsi="Verdana"/>
          <w:sz w:val="17"/>
          <w:szCs w:val="17"/>
          <w:highlight w:val="lightGray"/>
        </w:rPr>
        <w:t>issued</w:t>
      </w:r>
      <w:r w:rsidRPr="00722521">
        <w:rPr>
          <w:rFonts w:ascii="Verdana" w:hAnsi="Verdana"/>
          <w:spacing w:val="44"/>
          <w:sz w:val="17"/>
          <w:szCs w:val="17"/>
          <w:highlight w:val="lightGray"/>
        </w:rPr>
        <w:t xml:space="preserve"> </w:t>
      </w:r>
      <w:r w:rsidRPr="00722521">
        <w:rPr>
          <w:rFonts w:ascii="Verdana" w:hAnsi="Verdana"/>
          <w:sz w:val="17"/>
          <w:szCs w:val="17"/>
          <w:highlight w:val="lightGray"/>
        </w:rPr>
        <w:t>by</w:t>
      </w:r>
      <w:r w:rsidRPr="00722521">
        <w:rPr>
          <w:rFonts w:ascii="Verdana" w:hAnsi="Verdana"/>
          <w:spacing w:val="44"/>
          <w:sz w:val="17"/>
          <w:szCs w:val="17"/>
          <w:highlight w:val="lightGray"/>
        </w:rPr>
        <w:t xml:space="preserve"> </w:t>
      </w:r>
      <w:r w:rsidRPr="00722521">
        <w:rPr>
          <w:rFonts w:ascii="Verdana" w:hAnsi="Verdana"/>
          <w:sz w:val="17"/>
          <w:szCs w:val="17"/>
          <w:highlight w:val="lightGray"/>
        </w:rPr>
        <w:t>the</w:t>
      </w:r>
      <w:r w:rsidRPr="00722521">
        <w:rPr>
          <w:rFonts w:ascii="Verdana" w:hAnsi="Verdana"/>
          <w:spacing w:val="44"/>
          <w:sz w:val="17"/>
          <w:szCs w:val="17"/>
          <w:highlight w:val="lightGray"/>
        </w:rPr>
        <w:t xml:space="preserve"> </w:t>
      </w:r>
      <w:r w:rsidRPr="00722521">
        <w:rPr>
          <w:rFonts w:ascii="Verdana" w:hAnsi="Verdana"/>
          <w:sz w:val="17"/>
          <w:szCs w:val="17"/>
          <w:highlight w:val="lightGray"/>
        </w:rPr>
        <w:t>ESAs</w:t>
      </w:r>
      <w:r w:rsidRPr="00722521">
        <w:rPr>
          <w:rFonts w:ascii="Verdana" w:hAnsi="Verdana"/>
          <w:spacing w:val="44"/>
          <w:sz w:val="17"/>
          <w:szCs w:val="17"/>
          <w:highlight w:val="lightGray"/>
        </w:rPr>
        <w:t xml:space="preserve"> </w:t>
      </w:r>
      <w:r w:rsidRPr="00722521">
        <w:rPr>
          <w:rFonts w:ascii="Verdana" w:hAnsi="Verdana"/>
          <w:sz w:val="17"/>
          <w:szCs w:val="17"/>
          <w:highlight w:val="lightGray"/>
        </w:rPr>
        <w:t>have</w:t>
      </w:r>
      <w:r w:rsidRPr="00722521">
        <w:rPr>
          <w:rFonts w:ascii="Verdana" w:hAnsi="Verdana"/>
          <w:spacing w:val="44"/>
          <w:sz w:val="17"/>
          <w:szCs w:val="17"/>
          <w:highlight w:val="lightGray"/>
        </w:rPr>
        <w:t xml:space="preserve"> </w:t>
      </w:r>
      <w:r w:rsidRPr="00722521">
        <w:rPr>
          <w:rFonts w:ascii="Verdana" w:hAnsi="Verdana"/>
          <w:sz w:val="17"/>
          <w:szCs w:val="17"/>
          <w:highlight w:val="lightGray"/>
        </w:rPr>
        <w:t>particularly</w:t>
      </w:r>
      <w:r w:rsidRPr="00722521">
        <w:rPr>
          <w:rFonts w:ascii="Verdana" w:hAnsi="Verdana"/>
          <w:spacing w:val="44"/>
          <w:sz w:val="17"/>
          <w:szCs w:val="17"/>
          <w:highlight w:val="lightGray"/>
        </w:rPr>
        <w:t xml:space="preserve"> </w:t>
      </w:r>
      <w:r w:rsidRPr="00722521">
        <w:rPr>
          <w:rFonts w:ascii="Verdana" w:hAnsi="Verdana"/>
          <w:sz w:val="17"/>
          <w:szCs w:val="17"/>
          <w:highlight w:val="lightGray"/>
        </w:rPr>
        <w:t>contributed</w:t>
      </w:r>
      <w:r w:rsidRPr="00722521">
        <w:rPr>
          <w:rFonts w:ascii="Verdana" w:hAnsi="Verdana"/>
          <w:spacing w:val="44"/>
          <w:sz w:val="17"/>
          <w:szCs w:val="17"/>
          <w:highlight w:val="lightGray"/>
        </w:rPr>
        <w:t xml:space="preserve"> </w:t>
      </w:r>
      <w:r w:rsidRPr="00722521">
        <w:rPr>
          <w:rFonts w:ascii="Verdana" w:hAnsi="Verdana"/>
          <w:sz w:val="17"/>
          <w:szCs w:val="17"/>
          <w:highlight w:val="lightGray"/>
        </w:rPr>
        <w:t>to</w:t>
      </w:r>
      <w:r w:rsidRPr="00722521">
        <w:rPr>
          <w:rFonts w:ascii="Verdana" w:hAnsi="Verdana"/>
          <w:spacing w:val="44"/>
          <w:sz w:val="17"/>
          <w:szCs w:val="17"/>
          <w:highlight w:val="lightGray"/>
        </w:rPr>
        <w:t xml:space="preserve"> </w:t>
      </w:r>
      <w:r w:rsidRPr="00722521">
        <w:rPr>
          <w:rFonts w:ascii="Verdana" w:hAnsi="Verdana"/>
          <w:sz w:val="17"/>
          <w:szCs w:val="17"/>
          <w:highlight w:val="lightGray"/>
        </w:rPr>
        <w:t>the</w:t>
      </w:r>
      <w:r w:rsidR="00BE6FA5" w:rsidRPr="00722521">
        <w:rPr>
          <w:rFonts w:ascii="Verdana" w:hAnsi="Verdana"/>
          <w:sz w:val="17"/>
          <w:szCs w:val="17"/>
          <w:highlight w:val="lightGray"/>
        </w:rPr>
        <w:t xml:space="preserve"> </w:t>
      </w:r>
      <w:r w:rsidRPr="00722521">
        <w:rPr>
          <w:rFonts w:ascii="Verdana" w:hAnsi="Verdana"/>
          <w:sz w:val="17"/>
          <w:szCs w:val="17"/>
          <w:highlight w:val="lightGray"/>
        </w:rPr>
        <w:t>establishment of consistent, converging, efficient and effective supervisory practices and to ensuring the common, uniform and consistent application of Union law?</w:t>
      </w:r>
    </w:p>
    <w:p w14:paraId="6C17D10C" w14:textId="4ECA1232" w:rsidR="00BA160A" w:rsidRPr="00722521" w:rsidRDefault="00BA160A" w:rsidP="00A903E6">
      <w:pPr>
        <w:mirrorIndents/>
        <w:rPr>
          <w:sz w:val="17"/>
          <w:szCs w:val="17"/>
        </w:rPr>
      </w:pPr>
    </w:p>
    <w:p w14:paraId="77031DE3" w14:textId="28D68C40" w:rsidR="00E87A4D" w:rsidRPr="00722521" w:rsidRDefault="008A74F8" w:rsidP="008A74F8">
      <w:pPr>
        <w:mirrorIndents/>
        <w:rPr>
          <w:sz w:val="17"/>
          <w:szCs w:val="17"/>
        </w:rPr>
      </w:pPr>
      <w:r w:rsidRPr="00722521">
        <w:rPr>
          <w:sz w:val="17"/>
          <w:szCs w:val="17"/>
        </w:rPr>
        <w:t xml:space="preserve">Since its establishment in 2010, EIOPA issued 44 guidelines, either by itself or jointly with the other ESAs. </w:t>
      </w:r>
      <w:r w:rsidR="00722521">
        <w:rPr>
          <w:sz w:val="17"/>
          <w:szCs w:val="17"/>
        </w:rPr>
        <w:t>VVO</w:t>
      </w:r>
      <w:r w:rsidRPr="00722521">
        <w:rPr>
          <w:sz w:val="17"/>
          <w:szCs w:val="17"/>
        </w:rPr>
        <w:t xml:space="preserve"> is convinced that the guidelines contributed to the consistency and convergence of supervision in the EU single market for insurance. Often, the question is if the guidelines might have potential negative impact, </w:t>
      </w:r>
      <w:proofErr w:type="spellStart"/>
      <w:r w:rsidRPr="00722521">
        <w:rPr>
          <w:sz w:val="17"/>
          <w:szCs w:val="17"/>
        </w:rPr>
        <w:t>eg</w:t>
      </w:r>
      <w:proofErr w:type="spellEnd"/>
      <w:r w:rsidRPr="00722521">
        <w:rPr>
          <w:sz w:val="17"/>
          <w:szCs w:val="17"/>
        </w:rPr>
        <w:t xml:space="preserve"> by limiting the freedoms provided in the legal basis or by its interpretation, either for the market as such or to the detriment of particular players. </w:t>
      </w:r>
      <w:r w:rsidR="00660DF0" w:rsidRPr="00722521">
        <w:rPr>
          <w:sz w:val="17"/>
          <w:szCs w:val="17"/>
        </w:rPr>
        <w:t>In particular,</w:t>
      </w:r>
      <w:r w:rsidRPr="00722521">
        <w:rPr>
          <w:sz w:val="17"/>
          <w:szCs w:val="17"/>
        </w:rPr>
        <w:t xml:space="preserve"> the preparatory guidelines on Solvency II issued by EIOPA risked such a negative impact, where essential elements of the legal framework (namely the Solvency II Delegated Acts) were not agreed at the time of the issuance of the guidelines. </w:t>
      </w:r>
    </w:p>
    <w:p w14:paraId="56F5878F" w14:textId="77777777" w:rsidR="00E87A4D" w:rsidRPr="00722521" w:rsidRDefault="00E87A4D" w:rsidP="008A74F8">
      <w:pPr>
        <w:mirrorIndents/>
        <w:rPr>
          <w:sz w:val="17"/>
          <w:szCs w:val="17"/>
        </w:rPr>
      </w:pPr>
    </w:p>
    <w:p w14:paraId="373B2136" w14:textId="20800034" w:rsidR="008A74F8" w:rsidRPr="00722521" w:rsidRDefault="008A74F8" w:rsidP="008A74F8">
      <w:pPr>
        <w:mirrorIndents/>
        <w:rPr>
          <w:sz w:val="17"/>
          <w:szCs w:val="17"/>
        </w:rPr>
      </w:pPr>
      <w:r w:rsidRPr="00722521">
        <w:rPr>
          <w:sz w:val="17"/>
          <w:szCs w:val="17"/>
        </w:rPr>
        <w:t xml:space="preserve">For the consistency of the single rulebook, it is important that the hierarchy of measures is ensured and that the measures are build-upon each other and not developed in parallel. </w:t>
      </w:r>
      <w:r w:rsidR="00F37EB0" w:rsidRPr="00722521">
        <w:rPr>
          <w:sz w:val="17"/>
          <w:szCs w:val="17"/>
        </w:rPr>
        <w:t xml:space="preserve">For example regarding EIOPA’s guidelines on ICT, they have been published whereas DORA is under discussion and which provide future RTS prepared by EIOPA. This situation is confusing for insurance undertakings and lead to legal uncertainty. </w:t>
      </w:r>
      <w:r w:rsidRPr="00722521">
        <w:rPr>
          <w:sz w:val="17"/>
          <w:szCs w:val="17"/>
        </w:rPr>
        <w:t xml:space="preserve">To safeguard the consistency and hierarchy of measures, the addition to Article 16 EIOPA Regulation that </w:t>
      </w:r>
      <w:r w:rsidRPr="00722521">
        <w:rPr>
          <w:i/>
          <w:iCs/>
          <w:sz w:val="17"/>
          <w:szCs w:val="17"/>
        </w:rPr>
        <w:t>“guidelines and recommendations shall not merely refer to, or reproduce, elements of legislative acts.”</w:t>
      </w:r>
      <w:r w:rsidRPr="00722521">
        <w:rPr>
          <w:sz w:val="17"/>
          <w:szCs w:val="17"/>
        </w:rPr>
        <w:t xml:space="preserve"> </w:t>
      </w:r>
      <w:r w:rsidR="00F37EB0" w:rsidRPr="00722521">
        <w:rPr>
          <w:sz w:val="17"/>
          <w:szCs w:val="17"/>
        </w:rPr>
        <w:t xml:space="preserve">[or add new requirements/concepts] </w:t>
      </w:r>
      <w:r w:rsidRPr="00722521">
        <w:rPr>
          <w:sz w:val="17"/>
          <w:szCs w:val="17"/>
        </w:rPr>
        <w:t>(Article 16.2a EIOPA Regulation) was essential.</w:t>
      </w:r>
    </w:p>
    <w:p w14:paraId="7275F74C" w14:textId="77777777" w:rsidR="008A74F8" w:rsidRPr="00722521" w:rsidRDefault="008A74F8" w:rsidP="008A74F8">
      <w:pPr>
        <w:mirrorIndents/>
        <w:rPr>
          <w:sz w:val="17"/>
          <w:szCs w:val="17"/>
        </w:rPr>
      </w:pPr>
    </w:p>
    <w:p w14:paraId="5908E9CD" w14:textId="2E467A21" w:rsidR="008A74F8" w:rsidRPr="00722521" w:rsidRDefault="008A74F8" w:rsidP="008A74F8">
      <w:pPr>
        <w:mirrorIndents/>
        <w:rPr>
          <w:sz w:val="17"/>
          <w:szCs w:val="17"/>
        </w:rPr>
      </w:pPr>
      <w:r w:rsidRPr="00722521">
        <w:rPr>
          <w:sz w:val="17"/>
          <w:szCs w:val="17"/>
        </w:rPr>
        <w:t>With regards to recommendations, EIOPA has issued recommendations to N</w:t>
      </w:r>
      <w:r w:rsidR="00E87A4D" w:rsidRPr="00722521">
        <w:rPr>
          <w:sz w:val="17"/>
          <w:szCs w:val="17"/>
        </w:rPr>
        <w:t>S</w:t>
      </w:r>
      <w:r w:rsidRPr="00722521">
        <w:rPr>
          <w:sz w:val="17"/>
          <w:szCs w:val="17"/>
        </w:rPr>
        <w:t xml:space="preserve">As at multiple occasions. </w:t>
      </w:r>
      <w:r w:rsidR="00722521">
        <w:rPr>
          <w:sz w:val="17"/>
          <w:szCs w:val="17"/>
        </w:rPr>
        <w:t>VVO</w:t>
      </w:r>
      <w:r w:rsidRPr="00722521">
        <w:rPr>
          <w:sz w:val="17"/>
          <w:szCs w:val="17"/>
        </w:rPr>
        <w:t xml:space="preserve"> believes that the already mentioned recommendations in conclusion of the peer review of the EIOPA decision on the collaboration of NCAs provides for a good example for recommendations which can significant improvement the convergent and consistent supervision across the EU.</w:t>
      </w:r>
    </w:p>
    <w:p w14:paraId="3928DC3C" w14:textId="6519CC22" w:rsidR="00474BF6" w:rsidRPr="00722521" w:rsidRDefault="00474BF6" w:rsidP="00A903E6">
      <w:pPr>
        <w:mirrorIndents/>
        <w:rPr>
          <w:sz w:val="17"/>
          <w:szCs w:val="17"/>
        </w:rPr>
      </w:pPr>
    </w:p>
    <w:p w14:paraId="29B91E74" w14:textId="77777777" w:rsidR="00474BF6" w:rsidRPr="00722521" w:rsidRDefault="00474BF6" w:rsidP="00A903E6">
      <w:pPr>
        <w:mirrorIndents/>
        <w:rPr>
          <w:sz w:val="17"/>
          <w:szCs w:val="17"/>
        </w:rPr>
      </w:pPr>
    </w:p>
    <w:p w14:paraId="68BBA10F" w14:textId="25FBE2E6" w:rsidR="00BA160A" w:rsidRPr="00722521" w:rsidRDefault="00BA160A" w:rsidP="00474BF6">
      <w:pPr>
        <w:pStyle w:val="Textkrper"/>
        <w:ind w:left="0"/>
        <w:mirrorIndents/>
        <w:rPr>
          <w:rFonts w:ascii="Verdana" w:hAnsi="Verdana"/>
          <w:sz w:val="17"/>
          <w:szCs w:val="17"/>
        </w:rPr>
      </w:pPr>
      <w:r w:rsidRPr="00722521">
        <w:rPr>
          <w:rFonts w:ascii="Verdana" w:hAnsi="Verdana"/>
          <w:sz w:val="17"/>
          <w:szCs w:val="17"/>
          <w:highlight w:val="lightGray"/>
        </w:rPr>
        <w:t>Question 5.6 Would you consider it useful if the ESAs could adopt guidelines in areas that do not fall under the scope of legislation listed in Article 1 (2) of the ESAs founding Regulations and are not necessary to ensure the effective and consistent application of that legislation?</w:t>
      </w:r>
    </w:p>
    <w:p w14:paraId="3A152AC6" w14:textId="77777777" w:rsidR="00474BF6" w:rsidRPr="00722521" w:rsidRDefault="00BA160A" w:rsidP="00474BF6">
      <w:pPr>
        <w:pStyle w:val="CEABullet-Level1"/>
        <w:rPr>
          <w:color w:val="auto"/>
          <w:highlight w:val="lightGray"/>
        </w:rPr>
      </w:pPr>
      <w:r w:rsidRPr="00722521">
        <w:rPr>
          <w:color w:val="auto"/>
          <w:highlight w:val="lightGray"/>
        </w:rPr>
        <w:t xml:space="preserve">Yes </w:t>
      </w:r>
    </w:p>
    <w:p w14:paraId="011EA547" w14:textId="03F3C690" w:rsidR="00BA160A" w:rsidRPr="00722521" w:rsidRDefault="00BA160A" w:rsidP="00474BF6">
      <w:pPr>
        <w:pStyle w:val="CEABullet-Level1"/>
        <w:rPr>
          <w:color w:val="auto"/>
          <w:highlight w:val="lightGray"/>
        </w:rPr>
      </w:pPr>
      <w:r w:rsidRPr="00722521">
        <w:rPr>
          <w:color w:val="auto"/>
          <w:highlight w:val="lightGray"/>
        </w:rPr>
        <w:t>No</w:t>
      </w:r>
    </w:p>
    <w:p w14:paraId="0FB74CB1" w14:textId="77777777" w:rsidR="00BA160A" w:rsidRPr="00722521" w:rsidRDefault="00BA160A" w:rsidP="00474BF6">
      <w:pPr>
        <w:pStyle w:val="CEABullet-Level1"/>
        <w:rPr>
          <w:color w:val="auto"/>
          <w:highlight w:val="lightGray"/>
        </w:rPr>
      </w:pPr>
      <w:r w:rsidRPr="00722521">
        <w:rPr>
          <w:color w:val="auto"/>
          <w:highlight w:val="lightGray"/>
        </w:rPr>
        <w:t>Don’t know / no opinion / not relevant</w:t>
      </w:r>
    </w:p>
    <w:p w14:paraId="06ABD3ED" w14:textId="67DBE71E" w:rsidR="00474BF6" w:rsidRPr="00722521" w:rsidRDefault="00474BF6" w:rsidP="00A903E6">
      <w:pPr>
        <w:mirrorIndents/>
        <w:rPr>
          <w:sz w:val="17"/>
          <w:szCs w:val="17"/>
        </w:rPr>
      </w:pPr>
    </w:p>
    <w:p w14:paraId="7A3E69B9" w14:textId="300848BF" w:rsidR="00660DF0" w:rsidRPr="00722521" w:rsidRDefault="00660DF0" w:rsidP="00A903E6">
      <w:pPr>
        <w:mirrorIndents/>
        <w:rPr>
          <w:sz w:val="17"/>
          <w:szCs w:val="17"/>
        </w:rPr>
      </w:pPr>
      <w:r w:rsidRPr="00722521">
        <w:rPr>
          <w:sz w:val="17"/>
          <w:szCs w:val="17"/>
        </w:rPr>
        <w:t>No</w:t>
      </w:r>
    </w:p>
    <w:p w14:paraId="48DB9B62" w14:textId="77777777" w:rsidR="00660DF0" w:rsidRPr="00722521" w:rsidRDefault="00660DF0" w:rsidP="00A903E6">
      <w:pPr>
        <w:mirrorIndents/>
        <w:rPr>
          <w:sz w:val="17"/>
          <w:szCs w:val="17"/>
        </w:rPr>
      </w:pPr>
    </w:p>
    <w:p w14:paraId="2BCCAF1A" w14:textId="77777777" w:rsidR="00BA160A" w:rsidRPr="00722521" w:rsidRDefault="00BA160A" w:rsidP="00474BF6">
      <w:pPr>
        <w:pStyle w:val="Textkrper"/>
        <w:ind w:left="0"/>
        <w:mirrorIndents/>
        <w:rPr>
          <w:rFonts w:ascii="Verdana" w:hAnsi="Verdana"/>
          <w:sz w:val="17"/>
          <w:szCs w:val="17"/>
        </w:rPr>
      </w:pPr>
      <w:r w:rsidRPr="00722521">
        <w:rPr>
          <w:rFonts w:ascii="Verdana" w:hAnsi="Verdana"/>
          <w:sz w:val="17"/>
          <w:szCs w:val="17"/>
          <w:highlight w:val="lightGray"/>
        </w:rPr>
        <w:t>Please specify in which areas it would be useful for the ESAs to adopt such guidelines:</w:t>
      </w:r>
    </w:p>
    <w:p w14:paraId="10D60B74" w14:textId="7954E1AE" w:rsidR="00BA160A" w:rsidRPr="00722521" w:rsidRDefault="00BA160A" w:rsidP="00A903E6">
      <w:pPr>
        <w:mirrorIndents/>
        <w:rPr>
          <w:sz w:val="17"/>
          <w:szCs w:val="17"/>
        </w:rPr>
      </w:pPr>
    </w:p>
    <w:p w14:paraId="4862D7C2" w14:textId="05124C0B" w:rsidR="00474BF6" w:rsidRPr="00722521" w:rsidRDefault="00660DF0" w:rsidP="00A903E6">
      <w:pPr>
        <w:mirrorIndents/>
        <w:rPr>
          <w:sz w:val="17"/>
          <w:szCs w:val="17"/>
        </w:rPr>
      </w:pPr>
      <w:r w:rsidRPr="00722521">
        <w:rPr>
          <w:sz w:val="17"/>
          <w:szCs w:val="17"/>
        </w:rPr>
        <w:t>N/A</w:t>
      </w:r>
    </w:p>
    <w:p w14:paraId="39F9DD9A" w14:textId="77777777" w:rsidR="00474BF6" w:rsidRPr="00722521" w:rsidRDefault="00474BF6" w:rsidP="00A903E6">
      <w:pPr>
        <w:mirrorIndents/>
        <w:rPr>
          <w:sz w:val="17"/>
          <w:szCs w:val="17"/>
        </w:rPr>
      </w:pPr>
    </w:p>
    <w:p w14:paraId="7E82234C" w14:textId="77777777" w:rsidR="00BA160A" w:rsidRPr="00722521" w:rsidRDefault="00BA160A" w:rsidP="00474BF6">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5.6:</w:t>
      </w:r>
    </w:p>
    <w:p w14:paraId="7523A1E4" w14:textId="77777777" w:rsidR="00474BF6" w:rsidRPr="00722521" w:rsidRDefault="00474BF6" w:rsidP="00474BF6">
      <w:pPr>
        <w:mirrorIndents/>
        <w:rPr>
          <w:sz w:val="17"/>
          <w:szCs w:val="17"/>
        </w:rPr>
      </w:pPr>
    </w:p>
    <w:p w14:paraId="2D61F43B" w14:textId="7356376D" w:rsidR="008A74F8" w:rsidRPr="00722521" w:rsidRDefault="00722521" w:rsidP="008A74F8">
      <w:pPr>
        <w:mirrorIndents/>
        <w:rPr>
          <w:sz w:val="17"/>
          <w:szCs w:val="17"/>
        </w:rPr>
      </w:pPr>
      <w:r>
        <w:rPr>
          <w:sz w:val="17"/>
          <w:szCs w:val="17"/>
        </w:rPr>
        <w:t>VVO</w:t>
      </w:r>
      <w:r w:rsidR="008A74F8" w:rsidRPr="00722521">
        <w:rPr>
          <w:sz w:val="17"/>
          <w:szCs w:val="17"/>
        </w:rPr>
        <w:t xml:space="preserve"> believes that it is indispensable that the mandate of EIOPA (and the other ESAs) for the issuance of guidelines is clearly defined</w:t>
      </w:r>
      <w:r w:rsidR="00A102A5" w:rsidRPr="00722521">
        <w:rPr>
          <w:sz w:val="17"/>
          <w:szCs w:val="17"/>
        </w:rPr>
        <w:t xml:space="preserve"> in the </w:t>
      </w:r>
      <w:r w:rsidR="00C05321" w:rsidRPr="00722521">
        <w:rPr>
          <w:sz w:val="17"/>
          <w:szCs w:val="17"/>
        </w:rPr>
        <w:t>underlying legislative acts referred to in Article 1(2) EIOPA Regulation</w:t>
      </w:r>
      <w:r w:rsidR="008A74F8" w:rsidRPr="00722521">
        <w:rPr>
          <w:sz w:val="17"/>
          <w:szCs w:val="17"/>
        </w:rPr>
        <w:t xml:space="preserve">. Therefore, two steps are necessary: a) the definition of the legal acts under which EIOPA can be empowered to issue guidelines and b) the clear description of the mandate and </w:t>
      </w:r>
      <w:r w:rsidR="00C05321" w:rsidRPr="00722521">
        <w:rPr>
          <w:sz w:val="17"/>
          <w:szCs w:val="17"/>
        </w:rPr>
        <w:t xml:space="preserve">explicit </w:t>
      </w:r>
      <w:r w:rsidR="008A74F8" w:rsidRPr="00722521">
        <w:rPr>
          <w:sz w:val="17"/>
          <w:szCs w:val="17"/>
        </w:rPr>
        <w:t xml:space="preserve">empowerment for the specific guideline in this </w:t>
      </w:r>
      <w:r w:rsidR="00C05321" w:rsidRPr="00722521">
        <w:rPr>
          <w:sz w:val="17"/>
          <w:szCs w:val="17"/>
        </w:rPr>
        <w:t>underlying legislative act</w:t>
      </w:r>
      <w:r w:rsidR="008A74F8" w:rsidRPr="00722521">
        <w:rPr>
          <w:sz w:val="17"/>
          <w:szCs w:val="17"/>
        </w:rPr>
        <w:t>. The preparatory guidelines under Solvency II or the pre-emptive guidelines on product oversight &amp; governance ahead of the IMD review provide evidence that processes and mandates need to be clearly defined</w:t>
      </w:r>
      <w:r w:rsidR="00C05321" w:rsidRPr="00722521">
        <w:rPr>
          <w:sz w:val="17"/>
          <w:szCs w:val="17"/>
        </w:rPr>
        <w:t xml:space="preserve"> to ensure legal certainty and respect the rule of law as one of the EU fundamental values</w:t>
      </w:r>
      <w:r w:rsidR="008A74F8" w:rsidRPr="00722521">
        <w:rPr>
          <w:sz w:val="17"/>
          <w:szCs w:val="17"/>
        </w:rPr>
        <w:t>.</w:t>
      </w:r>
    </w:p>
    <w:p w14:paraId="21E353A0" w14:textId="77777777" w:rsidR="008A74F8" w:rsidRPr="00722521" w:rsidRDefault="008A74F8" w:rsidP="008A74F8">
      <w:pPr>
        <w:mirrorIndents/>
        <w:rPr>
          <w:sz w:val="17"/>
          <w:szCs w:val="17"/>
        </w:rPr>
      </w:pPr>
    </w:p>
    <w:p w14:paraId="5D895958" w14:textId="45D4D75E" w:rsidR="00474BF6" w:rsidRPr="00722521" w:rsidRDefault="008A74F8" w:rsidP="00474BF6">
      <w:pPr>
        <w:mirrorIndents/>
        <w:rPr>
          <w:sz w:val="17"/>
          <w:szCs w:val="17"/>
        </w:rPr>
      </w:pPr>
      <w:r w:rsidRPr="00722521">
        <w:rPr>
          <w:sz w:val="17"/>
          <w:szCs w:val="17"/>
        </w:rPr>
        <w:t xml:space="preserve">It is important that </w:t>
      </w:r>
      <w:r w:rsidR="00C05321" w:rsidRPr="00722521">
        <w:rPr>
          <w:sz w:val="17"/>
          <w:szCs w:val="17"/>
        </w:rPr>
        <w:t xml:space="preserve">to respect the EU legal framework and </w:t>
      </w:r>
      <w:r w:rsidRPr="00722521">
        <w:rPr>
          <w:sz w:val="17"/>
          <w:szCs w:val="17"/>
        </w:rPr>
        <w:t xml:space="preserve">EIOPA does not become a quasi-regulator. EIOPA is a supervisory authority executing a predefined mandate and representing supervisory expertise and interest. Political and strategic decisions must not be subject to the mandate and the power of the Authority. Such decisions need to remain with </w:t>
      </w:r>
      <w:r w:rsidR="00660DF0" w:rsidRPr="00722521">
        <w:rPr>
          <w:sz w:val="17"/>
          <w:szCs w:val="17"/>
        </w:rPr>
        <w:t>c</w:t>
      </w:r>
      <w:r w:rsidRPr="00722521">
        <w:rPr>
          <w:sz w:val="17"/>
          <w:szCs w:val="17"/>
        </w:rPr>
        <w:t>o-</w:t>
      </w:r>
      <w:r w:rsidR="00660DF0" w:rsidRPr="00722521">
        <w:rPr>
          <w:sz w:val="17"/>
          <w:szCs w:val="17"/>
        </w:rPr>
        <w:t>l</w:t>
      </w:r>
      <w:r w:rsidRPr="00722521">
        <w:rPr>
          <w:sz w:val="17"/>
          <w:szCs w:val="17"/>
        </w:rPr>
        <w:t>egislators. In addition, it must be ensured that soft-law measures issued by EIOPA do not present any right of initiative neither explicitly nor implicitly triggering legislative processes</w:t>
      </w:r>
      <w:r w:rsidR="00C05321" w:rsidRPr="00722521">
        <w:rPr>
          <w:sz w:val="17"/>
          <w:szCs w:val="17"/>
        </w:rPr>
        <w:t xml:space="preserve"> or undermine the CJEU’s right to interpret the law</w:t>
      </w:r>
      <w:r w:rsidRPr="00722521">
        <w:rPr>
          <w:sz w:val="17"/>
          <w:szCs w:val="17"/>
        </w:rPr>
        <w:t>.</w:t>
      </w:r>
    </w:p>
    <w:p w14:paraId="11E46175" w14:textId="6D8FFFF8" w:rsidR="00474BF6" w:rsidRPr="00722521" w:rsidRDefault="00474BF6" w:rsidP="00474BF6">
      <w:pPr>
        <w:mirrorIndents/>
        <w:rPr>
          <w:sz w:val="17"/>
          <w:szCs w:val="17"/>
        </w:rPr>
      </w:pPr>
    </w:p>
    <w:p w14:paraId="22D87DB3" w14:textId="77777777" w:rsidR="001E5FA7" w:rsidRPr="00722521" w:rsidRDefault="001E5FA7" w:rsidP="00474BF6">
      <w:pPr>
        <w:mirrorIndents/>
        <w:rPr>
          <w:sz w:val="17"/>
          <w:szCs w:val="17"/>
        </w:rPr>
      </w:pPr>
    </w:p>
    <w:p w14:paraId="61446DCB" w14:textId="79356EB0" w:rsidR="00BA160A" w:rsidRPr="00722521" w:rsidRDefault="00BA160A" w:rsidP="00474BF6">
      <w:pPr>
        <w:mirrorIndents/>
        <w:rPr>
          <w:b/>
          <w:bCs/>
          <w:sz w:val="17"/>
          <w:szCs w:val="17"/>
        </w:rPr>
      </w:pPr>
      <w:r w:rsidRPr="00722521">
        <w:rPr>
          <w:b/>
          <w:sz w:val="17"/>
          <w:szCs w:val="17"/>
          <w:highlight w:val="lightGray"/>
        </w:rPr>
        <w:t xml:space="preserve">Question 5.6.1 If you think of the </w:t>
      </w:r>
      <w:proofErr w:type="spellStart"/>
      <w:r w:rsidRPr="00722521">
        <w:rPr>
          <w:b/>
          <w:sz w:val="17"/>
          <w:szCs w:val="17"/>
          <w:highlight w:val="lightGray"/>
        </w:rPr>
        <w:t>Wirecard</w:t>
      </w:r>
      <w:proofErr w:type="spellEnd"/>
      <w:r w:rsidRPr="00722521">
        <w:rPr>
          <w:b/>
          <w:sz w:val="17"/>
          <w:szCs w:val="17"/>
          <w:highlight w:val="lightGray"/>
        </w:rPr>
        <w:t xml:space="preserve"> case as an example, how could supervision be improved in the field of auditing and financial reporting?</w:t>
      </w:r>
    </w:p>
    <w:p w14:paraId="7A1EF85E" w14:textId="5B8ED9D4" w:rsidR="00474BF6" w:rsidRPr="00722521" w:rsidRDefault="00BA160A" w:rsidP="00474BF6">
      <w:pPr>
        <w:pStyle w:val="CEABullet-Level1"/>
        <w:rPr>
          <w:color w:val="auto"/>
          <w:highlight w:val="lightGray"/>
        </w:rPr>
      </w:pPr>
      <w:r w:rsidRPr="00722521">
        <w:rPr>
          <w:color w:val="auto"/>
          <w:highlight w:val="lightGray"/>
        </w:rPr>
        <w:t xml:space="preserve">Including </w:t>
      </w:r>
      <w:hyperlink r:id="rId13" w:history="1">
        <w:r w:rsidRPr="00722521">
          <w:rPr>
            <w:rStyle w:val="Hyperlink"/>
            <w:color w:val="auto"/>
            <w:szCs w:val="17"/>
            <w:highlight w:val="lightGray"/>
          </w:rPr>
          <w:t xml:space="preserve">Regulation (EC) No 1606/2002 (IAS Regulation) </w:t>
        </w:r>
      </w:hyperlink>
      <w:r w:rsidRPr="00722521">
        <w:rPr>
          <w:color w:val="auto"/>
          <w:highlight w:val="lightGray"/>
        </w:rPr>
        <w:t xml:space="preserve">and </w:t>
      </w:r>
      <w:hyperlink r:id="rId14" w:history="1">
        <w:r w:rsidRPr="00722521">
          <w:rPr>
            <w:rStyle w:val="Hyperlink"/>
            <w:color w:val="auto"/>
            <w:szCs w:val="17"/>
            <w:highlight w:val="lightGray"/>
          </w:rPr>
          <w:t>Directive 2013</w:t>
        </w:r>
      </w:hyperlink>
      <w:hyperlink r:id="rId15" w:history="1">
        <w:r w:rsidRPr="00722521">
          <w:rPr>
            <w:rStyle w:val="Hyperlink"/>
            <w:color w:val="auto"/>
            <w:szCs w:val="17"/>
            <w:highlight w:val="lightGray"/>
          </w:rPr>
          <w:t xml:space="preserve">/34/EU (Accounting Directive) </w:t>
        </w:r>
      </w:hyperlink>
      <w:r w:rsidRPr="00722521">
        <w:rPr>
          <w:color w:val="auto"/>
          <w:highlight w:val="lightGray"/>
        </w:rPr>
        <w:t xml:space="preserve">in Article 1(2) of the ESMA Regulation </w:t>
      </w:r>
    </w:p>
    <w:p w14:paraId="1E8238B0" w14:textId="017B8160" w:rsidR="00BA160A" w:rsidRPr="00722521" w:rsidRDefault="00BA160A" w:rsidP="00474BF6">
      <w:pPr>
        <w:pStyle w:val="CEABullet-Level1"/>
        <w:rPr>
          <w:color w:val="auto"/>
          <w:highlight w:val="lightGray"/>
        </w:rPr>
      </w:pPr>
      <w:r w:rsidRPr="00722521">
        <w:rPr>
          <w:color w:val="auto"/>
          <w:highlight w:val="lightGray"/>
        </w:rPr>
        <w:t>Other</w:t>
      </w:r>
    </w:p>
    <w:p w14:paraId="04C58B1D" w14:textId="77777777" w:rsidR="00BA160A" w:rsidRPr="00722521" w:rsidRDefault="00BA160A" w:rsidP="00474BF6">
      <w:pPr>
        <w:pStyle w:val="CEABullet-Level1"/>
        <w:rPr>
          <w:color w:val="auto"/>
          <w:highlight w:val="lightGray"/>
        </w:rPr>
      </w:pPr>
      <w:r w:rsidRPr="00722521">
        <w:rPr>
          <w:color w:val="auto"/>
          <w:highlight w:val="lightGray"/>
        </w:rPr>
        <w:t>No improvements are needed</w:t>
      </w:r>
    </w:p>
    <w:p w14:paraId="29767C7A" w14:textId="729F5D16" w:rsidR="00BA160A" w:rsidRPr="00722521" w:rsidRDefault="00BA160A" w:rsidP="00474BF6">
      <w:pPr>
        <w:pStyle w:val="CEABullet-Level1"/>
        <w:rPr>
          <w:color w:val="auto"/>
          <w:highlight w:val="lightGray"/>
        </w:rPr>
      </w:pPr>
      <w:r w:rsidRPr="00722521">
        <w:rPr>
          <w:color w:val="auto"/>
          <w:highlight w:val="lightGray"/>
        </w:rPr>
        <w:t>Don’t know / no opinion / not relevant</w:t>
      </w:r>
    </w:p>
    <w:p w14:paraId="41921CDA" w14:textId="5A734F12" w:rsidR="00BA160A" w:rsidRPr="00722521" w:rsidRDefault="00BA160A" w:rsidP="00A903E6">
      <w:pPr>
        <w:mirrorIndents/>
        <w:rPr>
          <w:sz w:val="17"/>
          <w:szCs w:val="17"/>
        </w:rPr>
      </w:pPr>
    </w:p>
    <w:p w14:paraId="3942B035" w14:textId="405499F2" w:rsidR="00694CA7" w:rsidRPr="00722521" w:rsidRDefault="00694CA7" w:rsidP="00A903E6">
      <w:pPr>
        <w:mirrorIndents/>
        <w:rPr>
          <w:sz w:val="17"/>
          <w:szCs w:val="17"/>
        </w:rPr>
      </w:pPr>
      <w:r w:rsidRPr="00722521">
        <w:rPr>
          <w:sz w:val="17"/>
          <w:szCs w:val="17"/>
        </w:rPr>
        <w:t xml:space="preserve"> no improvements are needed</w:t>
      </w:r>
    </w:p>
    <w:p w14:paraId="6D22A2ED" w14:textId="1CC65B3F" w:rsidR="00694CA7" w:rsidRPr="00722521" w:rsidRDefault="00694CA7" w:rsidP="00694CA7">
      <w:pPr>
        <w:mirrorIndents/>
        <w:rPr>
          <w:sz w:val="17"/>
          <w:szCs w:val="17"/>
        </w:rPr>
      </w:pPr>
      <w:r w:rsidRPr="00722521">
        <w:rPr>
          <w:sz w:val="17"/>
          <w:szCs w:val="17"/>
        </w:rPr>
        <w:t xml:space="preserve">It is not sufficiently clear what might be the envisaged purpose of the suggestion to include the IAS Regulation and the Accounting Directive into the scope of Article 1 (2) of the ESMA Regulation. We believe that the scope of entities required to apply IFRS in the EU is properly defined. In addition, the existing procedures for the endorsement of the IFRS developed and issued by the IASB (incl. the key role of the endorsement advice to be provided by EFRAG to the Commission after the </w:t>
      </w:r>
      <w:proofErr w:type="spellStart"/>
      <w:r w:rsidRPr="00722521">
        <w:rPr>
          <w:sz w:val="17"/>
          <w:szCs w:val="17"/>
        </w:rPr>
        <w:t>Maystadt</w:t>
      </w:r>
      <w:proofErr w:type="spellEnd"/>
      <w:r w:rsidRPr="00722521">
        <w:rPr>
          <w:sz w:val="17"/>
          <w:szCs w:val="17"/>
        </w:rPr>
        <w:t xml:space="preserve"> report of October 2013) is properly determined as well. Hence, the endorsement process of IFRS in the EU does not need any changes. And we don’t see what kind of role ESMA should play for reporting entities which are not issuers, i.e. which are outside of the scope of the Transparency Directive. </w:t>
      </w:r>
    </w:p>
    <w:p w14:paraId="64D14E90" w14:textId="77777777" w:rsidR="00694CA7" w:rsidRPr="00722521" w:rsidRDefault="00694CA7" w:rsidP="00694CA7">
      <w:pPr>
        <w:mirrorIndents/>
        <w:rPr>
          <w:sz w:val="17"/>
          <w:szCs w:val="17"/>
        </w:rPr>
      </w:pPr>
    </w:p>
    <w:p w14:paraId="1E8DADFA" w14:textId="7F01715F" w:rsidR="00694CA7" w:rsidRPr="00722521" w:rsidRDefault="00722521" w:rsidP="00A903E6">
      <w:pPr>
        <w:mirrorIndents/>
        <w:rPr>
          <w:sz w:val="17"/>
          <w:szCs w:val="17"/>
        </w:rPr>
      </w:pPr>
      <w:r>
        <w:rPr>
          <w:sz w:val="17"/>
          <w:szCs w:val="17"/>
        </w:rPr>
        <w:t>VVO</w:t>
      </w:r>
      <w:r w:rsidR="00694CA7" w:rsidRPr="00722521">
        <w:rPr>
          <w:sz w:val="17"/>
          <w:szCs w:val="17"/>
        </w:rPr>
        <w:t xml:space="preserve"> believes that legislations listed in Article 1 (2) of the ESMA’s founding Regulation strikes the proper balance of what is important to ensure that ESMA can be effective when undertaking actions necessary from the European perspective; specifically as the Article 1 (3) of the ESMA’s founding Regulation already provides a basis for ESMA being active in the field of corporate governance, auditing and financial reporting, provided that </w:t>
      </w:r>
      <w:r w:rsidR="00694CA7" w:rsidRPr="00722521">
        <w:rPr>
          <w:sz w:val="17"/>
          <w:szCs w:val="17"/>
        </w:rPr>
        <w:lastRenderedPageBreak/>
        <w:t xml:space="preserve">such actions are necessary to ensure the effective and consistent application of those acts listed in Article 1 (2). Hence, from </w:t>
      </w:r>
      <w:r>
        <w:rPr>
          <w:sz w:val="17"/>
          <w:szCs w:val="17"/>
        </w:rPr>
        <w:t>VVO</w:t>
      </w:r>
      <w:r w:rsidR="00694CA7" w:rsidRPr="00722521">
        <w:rPr>
          <w:sz w:val="17"/>
          <w:szCs w:val="17"/>
        </w:rPr>
        <w:t>’s perspective an enlargement of the scope does not seem to be urgently required.</w:t>
      </w:r>
    </w:p>
    <w:p w14:paraId="689A9D00" w14:textId="77777777" w:rsidR="00660DF0" w:rsidRPr="00722521" w:rsidRDefault="00660DF0" w:rsidP="00A903E6">
      <w:pPr>
        <w:mirrorIndents/>
        <w:rPr>
          <w:sz w:val="17"/>
          <w:szCs w:val="17"/>
        </w:rPr>
      </w:pPr>
    </w:p>
    <w:p w14:paraId="1D69AA71" w14:textId="77777777" w:rsidR="00BA160A" w:rsidRPr="00722521" w:rsidRDefault="00BA160A" w:rsidP="00474BF6">
      <w:pPr>
        <w:pStyle w:val="Textkrper"/>
        <w:ind w:left="0"/>
        <w:mirrorIndents/>
        <w:rPr>
          <w:rFonts w:ascii="Verdana" w:hAnsi="Verdana"/>
          <w:sz w:val="17"/>
          <w:szCs w:val="17"/>
        </w:rPr>
      </w:pPr>
      <w:r w:rsidRPr="00722521">
        <w:rPr>
          <w:rFonts w:ascii="Verdana" w:hAnsi="Verdana"/>
          <w:sz w:val="17"/>
          <w:szCs w:val="17"/>
          <w:highlight w:val="lightGray"/>
        </w:rPr>
        <w:t>Please explain what your mean by ‘other’ in your answer to question 5.6.1:</w:t>
      </w:r>
    </w:p>
    <w:p w14:paraId="2FBC2702" w14:textId="2877B9D2" w:rsidR="00BA160A" w:rsidRPr="00722521" w:rsidRDefault="00BA160A" w:rsidP="00A903E6">
      <w:pPr>
        <w:mirrorIndents/>
        <w:rPr>
          <w:sz w:val="17"/>
          <w:szCs w:val="17"/>
        </w:rPr>
      </w:pPr>
    </w:p>
    <w:p w14:paraId="14206DA8" w14:textId="40E0C387" w:rsidR="00474BF6" w:rsidRPr="00722521" w:rsidRDefault="00660DF0" w:rsidP="00A903E6">
      <w:pPr>
        <w:mirrorIndents/>
        <w:rPr>
          <w:sz w:val="17"/>
          <w:szCs w:val="17"/>
        </w:rPr>
      </w:pPr>
      <w:r w:rsidRPr="00722521">
        <w:rPr>
          <w:sz w:val="17"/>
          <w:szCs w:val="17"/>
        </w:rPr>
        <w:t>N/A</w:t>
      </w:r>
    </w:p>
    <w:p w14:paraId="6442DE2E" w14:textId="77777777" w:rsidR="00474BF6" w:rsidRPr="00722521" w:rsidRDefault="00474BF6" w:rsidP="00A903E6">
      <w:pPr>
        <w:mirrorIndents/>
        <w:rPr>
          <w:sz w:val="17"/>
          <w:szCs w:val="17"/>
        </w:rPr>
      </w:pPr>
    </w:p>
    <w:p w14:paraId="60314D71" w14:textId="77777777" w:rsidR="00BA160A" w:rsidRPr="00722521" w:rsidRDefault="00BA160A" w:rsidP="00474BF6">
      <w:pPr>
        <w:pStyle w:val="Textkrper"/>
        <w:ind w:left="0"/>
        <w:mirrorIndents/>
        <w:rPr>
          <w:rFonts w:ascii="Verdana" w:hAnsi="Verdana"/>
          <w:sz w:val="17"/>
          <w:szCs w:val="17"/>
          <w:highlight w:val="lightGray"/>
        </w:rPr>
      </w:pPr>
      <w:r w:rsidRPr="00722521">
        <w:rPr>
          <w:rFonts w:ascii="Verdana" w:hAnsi="Verdana"/>
          <w:sz w:val="17"/>
          <w:szCs w:val="17"/>
          <w:highlight w:val="lightGray"/>
        </w:rPr>
        <w:t xml:space="preserve">Question 5.7 Do you think that the role of ESMA with regard to </w:t>
      </w:r>
      <w:hyperlink r:id="rId16" w:history="1">
        <w:proofErr w:type="gramStart"/>
        <w:r w:rsidRPr="00722521">
          <w:rPr>
            <w:rStyle w:val="Hyperlink"/>
            <w:rFonts w:ascii="Verdana" w:hAnsi="Verdana"/>
            <w:color w:val="auto"/>
            <w:sz w:val="17"/>
            <w:szCs w:val="17"/>
            <w:highlight w:val="lightGray"/>
          </w:rPr>
          <w:t xml:space="preserve">Directive </w:t>
        </w:r>
        <w:r w:rsidRPr="00722521">
          <w:rPr>
            <w:rStyle w:val="Hyperlink"/>
            <w:rFonts w:ascii="Verdana" w:hAnsi="Verdana"/>
            <w:color w:val="auto"/>
            <w:spacing w:val="56"/>
            <w:sz w:val="17"/>
            <w:szCs w:val="17"/>
            <w:highlight w:val="lightGray"/>
          </w:rPr>
          <w:t xml:space="preserve"> </w:t>
        </w:r>
        <w:r w:rsidRPr="00722521">
          <w:rPr>
            <w:rStyle w:val="Hyperlink"/>
            <w:rFonts w:ascii="Verdana" w:hAnsi="Verdana"/>
            <w:color w:val="auto"/>
            <w:sz w:val="17"/>
            <w:szCs w:val="17"/>
            <w:highlight w:val="lightGray"/>
          </w:rPr>
          <w:t>2004</w:t>
        </w:r>
        <w:proofErr w:type="gramEnd"/>
      </w:hyperlink>
    </w:p>
    <w:p w14:paraId="5E74E076" w14:textId="1592D5CE" w:rsidR="00BA160A" w:rsidRPr="00722521" w:rsidRDefault="00E311DF" w:rsidP="00A903E6">
      <w:pPr>
        <w:pStyle w:val="Textkrper"/>
        <w:tabs>
          <w:tab w:val="left" w:pos="1673"/>
          <w:tab w:val="left" w:pos="4183"/>
          <w:tab w:val="left" w:pos="6030"/>
          <w:tab w:val="left" w:pos="7311"/>
          <w:tab w:val="left" w:pos="8155"/>
        </w:tabs>
        <w:mirrorIndents/>
        <w:rPr>
          <w:rFonts w:ascii="Verdana" w:hAnsi="Verdana"/>
          <w:sz w:val="17"/>
          <w:szCs w:val="17"/>
        </w:rPr>
      </w:pPr>
      <w:hyperlink r:id="rId17" w:history="1">
        <w:r w:rsidR="00BA160A" w:rsidRPr="00722521">
          <w:rPr>
            <w:rStyle w:val="Hyperlink"/>
            <w:rFonts w:ascii="Verdana" w:hAnsi="Verdana"/>
            <w:color w:val="auto"/>
            <w:spacing w:val="9"/>
            <w:sz w:val="17"/>
            <w:szCs w:val="17"/>
            <w:highlight w:val="lightGray"/>
          </w:rPr>
          <w:t>/109/EC</w:t>
        </w:r>
        <w:r w:rsidR="00474BF6" w:rsidRPr="00722521">
          <w:rPr>
            <w:rStyle w:val="Hyperlink"/>
            <w:rFonts w:ascii="Verdana" w:hAnsi="Verdana"/>
            <w:color w:val="auto"/>
            <w:spacing w:val="9"/>
            <w:sz w:val="17"/>
            <w:szCs w:val="17"/>
            <w:highlight w:val="lightGray"/>
          </w:rPr>
          <w:t xml:space="preserve"> </w:t>
        </w:r>
        <w:r w:rsidR="00BA160A" w:rsidRPr="00722521">
          <w:rPr>
            <w:rStyle w:val="Hyperlink"/>
            <w:rFonts w:ascii="Verdana" w:hAnsi="Verdana"/>
            <w:color w:val="auto"/>
            <w:spacing w:val="10"/>
            <w:sz w:val="17"/>
            <w:szCs w:val="17"/>
            <w:highlight w:val="lightGray"/>
          </w:rPr>
          <w:t>(Transparency</w:t>
        </w:r>
        <w:r w:rsidR="00474BF6" w:rsidRPr="00722521">
          <w:rPr>
            <w:rStyle w:val="Hyperlink"/>
            <w:rFonts w:ascii="Verdana" w:hAnsi="Verdana"/>
            <w:color w:val="auto"/>
            <w:spacing w:val="10"/>
            <w:sz w:val="17"/>
            <w:szCs w:val="17"/>
            <w:highlight w:val="lightGray"/>
          </w:rPr>
          <w:t xml:space="preserve"> </w:t>
        </w:r>
        <w:r w:rsidR="00BA160A" w:rsidRPr="00722521">
          <w:rPr>
            <w:rStyle w:val="Hyperlink"/>
            <w:rFonts w:ascii="Verdana" w:hAnsi="Verdana"/>
            <w:color w:val="auto"/>
            <w:spacing w:val="9"/>
            <w:sz w:val="17"/>
            <w:szCs w:val="17"/>
            <w:highlight w:val="lightGray"/>
          </w:rPr>
          <w:t>D</w:t>
        </w:r>
      </w:hyperlink>
      <w:r w:rsidR="00BA160A" w:rsidRPr="00722521">
        <w:rPr>
          <w:rFonts w:ascii="Verdana" w:hAnsi="Verdana"/>
          <w:spacing w:val="9"/>
          <w:sz w:val="17"/>
          <w:szCs w:val="17"/>
          <w:highlight w:val="lightGray"/>
        </w:rPr>
        <w:t>irective)</w:t>
      </w:r>
      <w:r w:rsidR="00474BF6" w:rsidRPr="00722521">
        <w:rPr>
          <w:rFonts w:ascii="Verdana" w:hAnsi="Verdana"/>
          <w:spacing w:val="9"/>
          <w:sz w:val="17"/>
          <w:szCs w:val="17"/>
          <w:highlight w:val="lightGray"/>
        </w:rPr>
        <w:t xml:space="preserve"> </w:t>
      </w:r>
      <w:r w:rsidR="00BA160A" w:rsidRPr="00722521">
        <w:rPr>
          <w:rFonts w:ascii="Verdana" w:hAnsi="Verdana"/>
          <w:spacing w:val="8"/>
          <w:sz w:val="17"/>
          <w:szCs w:val="17"/>
          <w:highlight w:val="lightGray"/>
        </w:rPr>
        <w:t>could</w:t>
      </w:r>
      <w:r w:rsidR="00474BF6" w:rsidRPr="00722521">
        <w:rPr>
          <w:rFonts w:ascii="Verdana" w:hAnsi="Verdana"/>
          <w:spacing w:val="8"/>
          <w:sz w:val="17"/>
          <w:szCs w:val="17"/>
          <w:highlight w:val="lightGray"/>
        </w:rPr>
        <w:t xml:space="preserve"> </w:t>
      </w:r>
      <w:r w:rsidR="00BA160A" w:rsidRPr="00722521">
        <w:rPr>
          <w:rFonts w:ascii="Verdana" w:hAnsi="Verdana"/>
          <w:spacing w:val="5"/>
          <w:sz w:val="17"/>
          <w:szCs w:val="17"/>
          <w:highlight w:val="lightGray"/>
        </w:rPr>
        <w:t>be</w:t>
      </w:r>
      <w:r w:rsidR="00474BF6" w:rsidRPr="00722521">
        <w:rPr>
          <w:rFonts w:ascii="Verdana" w:hAnsi="Verdana"/>
          <w:spacing w:val="5"/>
          <w:sz w:val="17"/>
          <w:szCs w:val="17"/>
          <w:highlight w:val="lightGray"/>
        </w:rPr>
        <w:t xml:space="preserve"> </w:t>
      </w:r>
      <w:r w:rsidR="00BA160A" w:rsidRPr="00722521">
        <w:rPr>
          <w:rFonts w:ascii="Verdana" w:hAnsi="Verdana"/>
          <w:spacing w:val="10"/>
          <w:sz w:val="17"/>
          <w:szCs w:val="17"/>
          <w:highlight w:val="lightGray"/>
        </w:rPr>
        <w:t>strengthened?</w:t>
      </w:r>
    </w:p>
    <w:p w14:paraId="44D3E4BC" w14:textId="77777777" w:rsidR="00BA160A" w:rsidRPr="00722521" w:rsidRDefault="00BA160A" w:rsidP="00A903E6">
      <w:pPr>
        <w:pStyle w:val="Textkrper"/>
        <w:mirrorIndents/>
        <w:rPr>
          <w:rFonts w:ascii="Verdana" w:hAnsi="Verdana"/>
          <w:sz w:val="17"/>
          <w:szCs w:val="17"/>
        </w:rPr>
      </w:pPr>
    </w:p>
    <w:p w14:paraId="0FFAE049" w14:textId="26C4D981" w:rsidR="00BA160A" w:rsidRPr="00722521" w:rsidRDefault="00BA160A" w:rsidP="00474BF6">
      <w:pPr>
        <w:pStyle w:val="Textkrper"/>
        <w:ind w:left="0"/>
        <w:mirrorIndents/>
        <w:rPr>
          <w:rFonts w:ascii="Verdana" w:hAnsi="Verdana"/>
          <w:sz w:val="17"/>
          <w:szCs w:val="17"/>
        </w:rPr>
      </w:pPr>
      <w:r w:rsidRPr="00722521">
        <w:rPr>
          <w:rFonts w:ascii="Verdana" w:hAnsi="Verdana"/>
          <w:sz w:val="17"/>
          <w:szCs w:val="17"/>
          <w:highlight w:val="lightGray"/>
        </w:rPr>
        <w:t xml:space="preserve">For example, by including a mandate for ESMA to draft RTS in order to further </w:t>
      </w:r>
      <w:proofErr w:type="spellStart"/>
      <w:r w:rsidRPr="00722521">
        <w:rPr>
          <w:rFonts w:ascii="Verdana" w:hAnsi="Verdana"/>
          <w:sz w:val="17"/>
          <w:szCs w:val="17"/>
          <w:highlight w:val="lightGray"/>
        </w:rPr>
        <w:t>harmonise</w:t>
      </w:r>
      <w:proofErr w:type="spellEnd"/>
      <w:r w:rsidRPr="00722521">
        <w:rPr>
          <w:rFonts w:ascii="Verdana" w:hAnsi="Verdana"/>
          <w:sz w:val="17"/>
          <w:szCs w:val="17"/>
          <w:highlight w:val="lightGray"/>
        </w:rPr>
        <w:t xml:space="preserve"> enforcement of financial (and non-financial) information:</w:t>
      </w:r>
    </w:p>
    <w:p w14:paraId="3708B45E" w14:textId="77777777" w:rsidR="00474BF6" w:rsidRPr="00722521" w:rsidRDefault="00BA160A" w:rsidP="00474BF6">
      <w:pPr>
        <w:pStyle w:val="CEABullet-Level1"/>
        <w:rPr>
          <w:color w:val="auto"/>
          <w:highlight w:val="lightGray"/>
        </w:rPr>
      </w:pPr>
      <w:r w:rsidRPr="00722521">
        <w:rPr>
          <w:color w:val="auto"/>
          <w:highlight w:val="lightGray"/>
        </w:rPr>
        <w:t xml:space="preserve">Yes </w:t>
      </w:r>
    </w:p>
    <w:p w14:paraId="267AF7C9" w14:textId="3D2106A5" w:rsidR="00BA160A" w:rsidRPr="00722521" w:rsidRDefault="00BA160A" w:rsidP="00474BF6">
      <w:pPr>
        <w:pStyle w:val="CEABullet-Level1"/>
        <w:rPr>
          <w:color w:val="auto"/>
          <w:highlight w:val="lightGray"/>
        </w:rPr>
      </w:pPr>
      <w:r w:rsidRPr="00722521">
        <w:rPr>
          <w:color w:val="auto"/>
          <w:highlight w:val="lightGray"/>
        </w:rPr>
        <w:t>No</w:t>
      </w:r>
    </w:p>
    <w:p w14:paraId="56809463" w14:textId="77777777" w:rsidR="00BA160A" w:rsidRPr="00722521" w:rsidRDefault="00BA160A" w:rsidP="00474BF6">
      <w:pPr>
        <w:pStyle w:val="CEABullet-Level1"/>
        <w:rPr>
          <w:color w:val="auto"/>
          <w:highlight w:val="lightGray"/>
        </w:rPr>
      </w:pPr>
      <w:r w:rsidRPr="00722521">
        <w:rPr>
          <w:color w:val="auto"/>
          <w:highlight w:val="lightGray"/>
        </w:rPr>
        <w:t>Don’t know / no opinion / not relevant</w:t>
      </w:r>
    </w:p>
    <w:p w14:paraId="1DC986EA" w14:textId="447D524C" w:rsidR="00BA160A" w:rsidRPr="00722521" w:rsidRDefault="00BA160A" w:rsidP="00A903E6">
      <w:pPr>
        <w:mirrorIndents/>
        <w:rPr>
          <w:sz w:val="17"/>
          <w:szCs w:val="17"/>
        </w:rPr>
      </w:pPr>
    </w:p>
    <w:p w14:paraId="6DCC05DB" w14:textId="1BDFDBD9" w:rsidR="00F37EB0" w:rsidRPr="00722521" w:rsidRDefault="00F37EB0" w:rsidP="00660DF0">
      <w:pPr>
        <w:mirrorIndents/>
        <w:rPr>
          <w:sz w:val="17"/>
          <w:szCs w:val="17"/>
        </w:rPr>
      </w:pPr>
      <w:r w:rsidRPr="00722521">
        <w:rPr>
          <w:sz w:val="17"/>
          <w:szCs w:val="17"/>
        </w:rPr>
        <w:t>No</w:t>
      </w:r>
    </w:p>
    <w:p w14:paraId="16CB1277" w14:textId="77777777" w:rsidR="00660DF0" w:rsidRPr="00722521" w:rsidRDefault="00660DF0" w:rsidP="00A903E6">
      <w:pPr>
        <w:mirrorIndents/>
        <w:rPr>
          <w:sz w:val="17"/>
          <w:szCs w:val="17"/>
        </w:rPr>
      </w:pPr>
    </w:p>
    <w:p w14:paraId="57497687" w14:textId="5F5BBA3C" w:rsidR="00BA160A" w:rsidRPr="00722521" w:rsidRDefault="00BA160A" w:rsidP="00474BF6">
      <w:pPr>
        <w:pStyle w:val="Textkrper"/>
        <w:ind w:left="0"/>
        <w:mirrorIndents/>
        <w:rPr>
          <w:rFonts w:ascii="Verdana" w:hAnsi="Verdana"/>
          <w:sz w:val="17"/>
          <w:szCs w:val="17"/>
        </w:rPr>
      </w:pPr>
      <w:r w:rsidRPr="00722521">
        <w:rPr>
          <w:rFonts w:ascii="Verdana" w:hAnsi="Verdana"/>
          <w:sz w:val="17"/>
          <w:szCs w:val="17"/>
          <w:highlight w:val="lightGray"/>
        </w:rPr>
        <w:t>Please explain how the role of ESMA with regard to the Transparency Directive could be strengthened:</w:t>
      </w:r>
    </w:p>
    <w:p w14:paraId="4A5A42F9" w14:textId="29A68364" w:rsidR="00BA160A" w:rsidRPr="00722521" w:rsidRDefault="00BA160A" w:rsidP="00A903E6">
      <w:pPr>
        <w:mirrorIndents/>
        <w:rPr>
          <w:sz w:val="17"/>
          <w:szCs w:val="17"/>
        </w:rPr>
      </w:pPr>
    </w:p>
    <w:p w14:paraId="740B4DEB" w14:textId="6B261691" w:rsidR="00474BF6" w:rsidRPr="00722521" w:rsidRDefault="00660DF0" w:rsidP="00A903E6">
      <w:pPr>
        <w:mirrorIndents/>
        <w:rPr>
          <w:sz w:val="17"/>
          <w:szCs w:val="17"/>
        </w:rPr>
      </w:pPr>
      <w:r w:rsidRPr="00722521">
        <w:rPr>
          <w:sz w:val="17"/>
          <w:szCs w:val="17"/>
        </w:rPr>
        <w:t>N/A</w:t>
      </w:r>
    </w:p>
    <w:p w14:paraId="5BBF34B1" w14:textId="77777777" w:rsidR="00474BF6" w:rsidRPr="00722521" w:rsidRDefault="00474BF6" w:rsidP="00A903E6">
      <w:pPr>
        <w:mirrorIndents/>
        <w:rPr>
          <w:sz w:val="17"/>
          <w:szCs w:val="17"/>
        </w:rPr>
      </w:pPr>
    </w:p>
    <w:p w14:paraId="03C817DD"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explain your answer to question 5.7:</w:t>
      </w:r>
    </w:p>
    <w:p w14:paraId="5DA5FCE5" w14:textId="5FB0A54A" w:rsidR="00BA160A" w:rsidRPr="00722521" w:rsidRDefault="00BA160A" w:rsidP="00A903E6">
      <w:pPr>
        <w:mirrorIndents/>
        <w:rPr>
          <w:sz w:val="17"/>
          <w:szCs w:val="17"/>
        </w:rPr>
      </w:pPr>
    </w:p>
    <w:p w14:paraId="03F1A406" w14:textId="7601E4D4" w:rsidR="00F37EB0" w:rsidRPr="00722521" w:rsidRDefault="00B35455" w:rsidP="00F37EB0">
      <w:pPr>
        <w:mirrorIndents/>
        <w:rPr>
          <w:sz w:val="17"/>
          <w:szCs w:val="17"/>
        </w:rPr>
      </w:pPr>
      <w:r w:rsidRPr="00722521">
        <w:rPr>
          <w:sz w:val="17"/>
          <w:szCs w:val="17"/>
        </w:rPr>
        <w:t xml:space="preserve">The industry </w:t>
      </w:r>
      <w:r w:rsidR="00F37EB0" w:rsidRPr="00722521">
        <w:rPr>
          <w:sz w:val="17"/>
          <w:szCs w:val="17"/>
        </w:rPr>
        <w:t>agree</w:t>
      </w:r>
      <w:r w:rsidRPr="00722521">
        <w:rPr>
          <w:sz w:val="17"/>
          <w:szCs w:val="17"/>
        </w:rPr>
        <w:t>s</w:t>
      </w:r>
      <w:r w:rsidR="00F37EB0" w:rsidRPr="00722521">
        <w:rPr>
          <w:sz w:val="17"/>
          <w:szCs w:val="17"/>
        </w:rPr>
        <w:t xml:space="preserve"> with the current scope of the ESMA mandate e.g. enforcement of financial information and supervisory convergence in the consistent application of IFRS for listed entities on regulated markets. However, we are of the opinion that the mandate of ESMA should not be extended, in particular with a mandate to draft RTS on this topic. ESMA and National enforcers should neither assume the role of the standard setter nor an interpretative role. IFRS standard, and IFRS interpretations are within the responsibility of IASB. On the other side, the current process of IFRS endorsement at European level, put in place following the </w:t>
      </w:r>
      <w:proofErr w:type="spellStart"/>
      <w:r w:rsidR="00F37EB0" w:rsidRPr="00722521">
        <w:rPr>
          <w:sz w:val="17"/>
          <w:szCs w:val="17"/>
        </w:rPr>
        <w:t>Maystadt</w:t>
      </w:r>
      <w:proofErr w:type="spellEnd"/>
      <w:r w:rsidR="00F37EB0" w:rsidRPr="00722521">
        <w:rPr>
          <w:sz w:val="17"/>
          <w:szCs w:val="17"/>
        </w:rPr>
        <w:t xml:space="preserve"> report recommendations with a wide support from Member States, is satisfactory and we do not see any valid reason to modify it. </w:t>
      </w:r>
    </w:p>
    <w:p w14:paraId="682E220A" w14:textId="77777777" w:rsidR="00F37EB0" w:rsidRPr="00722521" w:rsidRDefault="00F37EB0" w:rsidP="00F37EB0">
      <w:pPr>
        <w:mirrorIndents/>
        <w:rPr>
          <w:sz w:val="17"/>
          <w:szCs w:val="17"/>
        </w:rPr>
      </w:pPr>
    </w:p>
    <w:p w14:paraId="40481F3F" w14:textId="176C98AE" w:rsidR="00694CA7" w:rsidRPr="00722521" w:rsidRDefault="00694CA7" w:rsidP="00694CA7">
      <w:pPr>
        <w:mirrorIndents/>
        <w:rPr>
          <w:sz w:val="17"/>
          <w:szCs w:val="17"/>
        </w:rPr>
      </w:pPr>
      <w:r w:rsidRPr="00722521">
        <w:rPr>
          <w:sz w:val="17"/>
          <w:szCs w:val="17"/>
        </w:rPr>
        <w:t xml:space="preserve"> </w:t>
      </w:r>
      <w:r w:rsidR="00722521">
        <w:rPr>
          <w:sz w:val="17"/>
          <w:szCs w:val="17"/>
        </w:rPr>
        <w:t>VVO</w:t>
      </w:r>
      <w:r w:rsidRPr="00722521">
        <w:rPr>
          <w:sz w:val="17"/>
          <w:szCs w:val="17"/>
        </w:rPr>
        <w:t xml:space="preserve"> believes that ESMA could undertake further steps to further harmonize </w:t>
      </w:r>
      <w:r w:rsidRPr="00722521">
        <w:rPr>
          <w:b/>
          <w:sz w:val="17"/>
          <w:szCs w:val="17"/>
        </w:rPr>
        <w:t>enforcement</w:t>
      </w:r>
      <w:r w:rsidRPr="00722521">
        <w:rPr>
          <w:sz w:val="17"/>
          <w:szCs w:val="17"/>
        </w:rPr>
        <w:t xml:space="preserve"> of financial, and non-financial information provided by issuers in the scope of the Transparency Directive. Specifically, regarding the non-financial information it would complement the work which will be conducted at standard setting level by EFRAG as supposed to be mandated by the Commission. A consistent level of enforcement would be an important element also in the context of the CMU 2.0-related initiatives of the Commission (e.g. establishment of ESAP).</w:t>
      </w:r>
    </w:p>
    <w:p w14:paraId="16C1E6E5" w14:textId="7502D073" w:rsidR="00474BF6" w:rsidRPr="00722521" w:rsidRDefault="00474BF6" w:rsidP="00A903E6">
      <w:pPr>
        <w:mirrorIndents/>
        <w:rPr>
          <w:sz w:val="17"/>
          <w:szCs w:val="17"/>
        </w:rPr>
      </w:pPr>
    </w:p>
    <w:p w14:paraId="6B691231" w14:textId="77777777" w:rsidR="00474BF6" w:rsidRPr="00722521" w:rsidRDefault="00474BF6" w:rsidP="00A903E6">
      <w:pPr>
        <w:mirrorIndents/>
        <w:rPr>
          <w:sz w:val="17"/>
          <w:szCs w:val="17"/>
        </w:rPr>
      </w:pPr>
    </w:p>
    <w:p w14:paraId="43E3BA07" w14:textId="180F1310"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 xml:space="preserve">Question 5.8 Do you think that </w:t>
      </w:r>
      <w:hyperlink r:id="rId18" w:history="1">
        <w:r w:rsidRPr="00722521">
          <w:rPr>
            <w:rStyle w:val="Hyperlink"/>
            <w:rFonts w:ascii="Verdana" w:hAnsi="Verdana"/>
            <w:color w:val="auto"/>
            <w:sz w:val="17"/>
            <w:szCs w:val="17"/>
            <w:highlight w:val="lightGray"/>
          </w:rPr>
          <w:t>Directive 2004/109/EC (Transparency Directive)</w:t>
        </w:r>
      </w:hyperlink>
      <w:r w:rsidRPr="00722521">
        <w:rPr>
          <w:rFonts w:ascii="Verdana" w:hAnsi="Verdana"/>
          <w:sz w:val="17"/>
          <w:szCs w:val="17"/>
          <w:highlight w:val="lightGray"/>
          <w:u w:val="single" w:color="004493"/>
        </w:rPr>
        <w:t xml:space="preserve"> </w:t>
      </w:r>
      <w:r w:rsidRPr="00722521">
        <w:rPr>
          <w:rFonts w:ascii="Verdana" w:hAnsi="Verdana"/>
          <w:sz w:val="17"/>
          <w:szCs w:val="17"/>
          <w:highlight w:val="lightGray"/>
        </w:rPr>
        <w:t>should require ESMA to annually report on the supervision and enforcement of financial and non-financial information in the EU on the basis of data provided by the national competent authorities regarding their supervisory and enforcement activities?</w:t>
      </w:r>
    </w:p>
    <w:p w14:paraId="340F2BB7" w14:textId="77777777" w:rsidR="00474BF6" w:rsidRPr="00722521" w:rsidRDefault="00BA160A" w:rsidP="00474BF6">
      <w:pPr>
        <w:pStyle w:val="CEABullet-Level1"/>
        <w:rPr>
          <w:color w:val="auto"/>
          <w:highlight w:val="lightGray"/>
        </w:rPr>
      </w:pPr>
      <w:r w:rsidRPr="00722521">
        <w:rPr>
          <w:color w:val="auto"/>
          <w:highlight w:val="lightGray"/>
        </w:rPr>
        <w:t xml:space="preserve">Yes </w:t>
      </w:r>
    </w:p>
    <w:p w14:paraId="12647A68" w14:textId="453C4425" w:rsidR="00BA160A" w:rsidRPr="00722521" w:rsidRDefault="00BA160A" w:rsidP="00474BF6">
      <w:pPr>
        <w:pStyle w:val="CEABullet-Level1"/>
        <w:rPr>
          <w:color w:val="auto"/>
          <w:highlight w:val="lightGray"/>
        </w:rPr>
      </w:pPr>
      <w:r w:rsidRPr="00722521">
        <w:rPr>
          <w:color w:val="auto"/>
          <w:highlight w:val="lightGray"/>
        </w:rPr>
        <w:t>No</w:t>
      </w:r>
    </w:p>
    <w:p w14:paraId="33B8B5C8" w14:textId="77777777" w:rsidR="00BA160A" w:rsidRPr="00722521" w:rsidRDefault="00BA160A" w:rsidP="00474BF6">
      <w:pPr>
        <w:pStyle w:val="CEABullet-Level1"/>
        <w:rPr>
          <w:color w:val="auto"/>
          <w:highlight w:val="lightGray"/>
        </w:rPr>
      </w:pPr>
      <w:r w:rsidRPr="00722521">
        <w:rPr>
          <w:color w:val="auto"/>
          <w:highlight w:val="lightGray"/>
        </w:rPr>
        <w:t>Don’t know / no opinion / not relevant</w:t>
      </w:r>
    </w:p>
    <w:p w14:paraId="502296DE" w14:textId="1B8C8927" w:rsidR="00BA160A" w:rsidRPr="00722521" w:rsidRDefault="00BA160A" w:rsidP="00A903E6">
      <w:pPr>
        <w:mirrorIndents/>
        <w:rPr>
          <w:sz w:val="17"/>
          <w:szCs w:val="17"/>
        </w:rPr>
      </w:pPr>
    </w:p>
    <w:p w14:paraId="59F5553C" w14:textId="50B587BC" w:rsidR="00F37EB0" w:rsidRPr="00722521" w:rsidRDefault="00694CA7" w:rsidP="00660DF0">
      <w:pPr>
        <w:mirrorIndents/>
        <w:rPr>
          <w:sz w:val="17"/>
          <w:szCs w:val="17"/>
        </w:rPr>
      </w:pPr>
      <w:r w:rsidRPr="00722521">
        <w:rPr>
          <w:sz w:val="17"/>
          <w:szCs w:val="17"/>
        </w:rPr>
        <w:t>Yes</w:t>
      </w:r>
    </w:p>
    <w:p w14:paraId="797662FF" w14:textId="77777777" w:rsidR="00660DF0" w:rsidRPr="00722521" w:rsidRDefault="00660DF0" w:rsidP="00A903E6">
      <w:pPr>
        <w:mirrorIndents/>
        <w:rPr>
          <w:sz w:val="17"/>
          <w:szCs w:val="17"/>
        </w:rPr>
      </w:pPr>
    </w:p>
    <w:p w14:paraId="5A029AFD"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explain your answer to question 5.8:</w:t>
      </w:r>
    </w:p>
    <w:p w14:paraId="378CADFD" w14:textId="14197BE0" w:rsidR="00BA160A" w:rsidRPr="00722521" w:rsidRDefault="00BA160A" w:rsidP="00A903E6">
      <w:pPr>
        <w:mirrorIndents/>
        <w:rPr>
          <w:sz w:val="17"/>
          <w:szCs w:val="17"/>
        </w:rPr>
      </w:pPr>
    </w:p>
    <w:p w14:paraId="0C949197" w14:textId="33C5E478" w:rsidR="00694CA7" w:rsidRPr="00722521" w:rsidRDefault="00722521" w:rsidP="00694CA7">
      <w:pPr>
        <w:mirrorIndents/>
        <w:rPr>
          <w:sz w:val="17"/>
          <w:szCs w:val="17"/>
        </w:rPr>
      </w:pPr>
      <w:r>
        <w:rPr>
          <w:sz w:val="17"/>
          <w:szCs w:val="17"/>
        </w:rPr>
        <w:lastRenderedPageBreak/>
        <w:t>VVO</w:t>
      </w:r>
      <w:r w:rsidR="00694CA7" w:rsidRPr="00722521">
        <w:rPr>
          <w:sz w:val="17"/>
          <w:szCs w:val="17"/>
        </w:rPr>
        <w:t xml:space="preserve"> considers an obligatory annual report of ESMA on the supervision and enforcement of financial and non-financial information as a useful contribution to enhance the transparency and consistency of the enforcement activities undertaking across the EU.</w:t>
      </w:r>
    </w:p>
    <w:p w14:paraId="30B2077C" w14:textId="57115393" w:rsidR="00474BF6" w:rsidRPr="00722521" w:rsidRDefault="00474BF6" w:rsidP="00A903E6">
      <w:pPr>
        <w:mirrorIndents/>
        <w:rPr>
          <w:sz w:val="17"/>
          <w:szCs w:val="17"/>
        </w:rPr>
      </w:pPr>
    </w:p>
    <w:p w14:paraId="1B95845B" w14:textId="77777777" w:rsidR="00474BF6" w:rsidRPr="00722521" w:rsidRDefault="00474BF6" w:rsidP="00A903E6">
      <w:pPr>
        <w:mirrorIndents/>
        <w:rPr>
          <w:sz w:val="17"/>
          <w:szCs w:val="17"/>
        </w:rPr>
      </w:pPr>
    </w:p>
    <w:p w14:paraId="608BDD5D" w14:textId="19C94201"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 xml:space="preserve">Question 5.9 Do you think that ESMA could have a role with regard to </w:t>
      </w:r>
      <w:hyperlink r:id="rId19" w:history="1">
        <w:r w:rsidRPr="00722521">
          <w:rPr>
            <w:rStyle w:val="Hyperlink"/>
            <w:rFonts w:ascii="Verdana" w:hAnsi="Verdana"/>
            <w:color w:val="auto"/>
            <w:sz w:val="17"/>
            <w:szCs w:val="17"/>
            <w:highlight w:val="lightGray"/>
          </w:rPr>
          <w:t>Regulati</w:t>
        </w:r>
      </w:hyperlink>
      <w:hyperlink r:id="rId20" w:history="1">
        <w:r w:rsidRPr="00722521">
          <w:rPr>
            <w:rStyle w:val="Hyperlink"/>
            <w:rFonts w:ascii="Verdana" w:hAnsi="Verdana"/>
            <w:color w:val="auto"/>
            <w:sz w:val="17"/>
            <w:szCs w:val="17"/>
            <w:highlight w:val="lightGray"/>
          </w:rPr>
          <w:t>on (EC) No 1606/2002 (IAS Regulatio</w:t>
        </w:r>
      </w:hyperlink>
      <w:r w:rsidRPr="00722521">
        <w:rPr>
          <w:rFonts w:ascii="Verdana" w:hAnsi="Verdana"/>
          <w:sz w:val="17"/>
          <w:szCs w:val="17"/>
          <w:highlight w:val="lightGray"/>
        </w:rPr>
        <w:t xml:space="preserve">n) </w:t>
      </w:r>
      <w:hyperlink r:id="rId21" w:history="1"/>
      <w:r w:rsidR="00474BF6" w:rsidRPr="00722521">
        <w:rPr>
          <w:rFonts w:ascii="Verdana" w:hAnsi="Verdana"/>
          <w:sz w:val="17"/>
          <w:szCs w:val="17"/>
          <w:highlight w:val="lightGray"/>
        </w:rPr>
        <w:t xml:space="preserve"> and </w:t>
      </w:r>
      <w:hyperlink r:id="rId22" w:history="1">
        <w:r w:rsidR="00474BF6" w:rsidRPr="00722521">
          <w:rPr>
            <w:rStyle w:val="Hyperlink"/>
            <w:rFonts w:ascii="Verdana" w:hAnsi="Verdana"/>
            <w:color w:val="auto"/>
            <w:sz w:val="17"/>
            <w:szCs w:val="17"/>
            <w:highlight w:val="lightGray"/>
          </w:rPr>
          <w:t>Regulation  537/2014/EU (Audi</w:t>
        </w:r>
      </w:hyperlink>
      <w:r w:rsidR="00474BF6" w:rsidRPr="00722521">
        <w:rPr>
          <w:rFonts w:ascii="Verdana" w:hAnsi="Verdana"/>
          <w:sz w:val="17"/>
          <w:szCs w:val="17"/>
          <w:highlight w:val="lightGray"/>
        </w:rPr>
        <w:t>t Regulation?)</w:t>
      </w:r>
    </w:p>
    <w:p w14:paraId="2661A701" w14:textId="77777777" w:rsidR="00474BF6" w:rsidRPr="00722521" w:rsidRDefault="00BA160A" w:rsidP="00474BF6">
      <w:pPr>
        <w:pStyle w:val="CEABullet-Level1"/>
        <w:rPr>
          <w:color w:val="auto"/>
          <w:highlight w:val="lightGray"/>
        </w:rPr>
      </w:pPr>
      <w:r w:rsidRPr="00722521">
        <w:rPr>
          <w:color w:val="auto"/>
          <w:highlight w:val="lightGray"/>
        </w:rPr>
        <w:t>Yes</w:t>
      </w:r>
    </w:p>
    <w:p w14:paraId="70B81432" w14:textId="6BBBE3CE" w:rsidR="00BA160A" w:rsidRPr="00722521" w:rsidRDefault="00BA160A" w:rsidP="00474BF6">
      <w:pPr>
        <w:pStyle w:val="CEABullet-Level1"/>
        <w:rPr>
          <w:color w:val="auto"/>
          <w:highlight w:val="lightGray"/>
        </w:rPr>
      </w:pPr>
      <w:r w:rsidRPr="00722521">
        <w:rPr>
          <w:color w:val="auto"/>
          <w:highlight w:val="lightGray"/>
        </w:rPr>
        <w:t>No</w:t>
      </w:r>
    </w:p>
    <w:p w14:paraId="77780CDA" w14:textId="25691FFF" w:rsidR="00BA160A" w:rsidRPr="00722521" w:rsidRDefault="00BA160A" w:rsidP="00474BF6">
      <w:pPr>
        <w:pStyle w:val="CEABullet-Level1"/>
        <w:rPr>
          <w:color w:val="auto"/>
          <w:szCs w:val="17"/>
          <w:highlight w:val="lightGray"/>
        </w:rPr>
      </w:pPr>
      <w:r w:rsidRPr="00722521">
        <w:rPr>
          <w:color w:val="auto"/>
          <w:highlight w:val="lightGray"/>
        </w:rPr>
        <w:t>Don’t know / no opinion / not relevant</w:t>
      </w:r>
    </w:p>
    <w:p w14:paraId="21E28072" w14:textId="4745D7CF" w:rsidR="00BA160A" w:rsidRPr="00722521" w:rsidRDefault="00BA160A" w:rsidP="00A903E6">
      <w:pPr>
        <w:pStyle w:val="Textkrper"/>
        <w:mirrorIndents/>
        <w:rPr>
          <w:rFonts w:ascii="Verdana" w:hAnsi="Verdana"/>
          <w:sz w:val="17"/>
          <w:szCs w:val="17"/>
        </w:rPr>
      </w:pPr>
    </w:p>
    <w:p w14:paraId="26868E97" w14:textId="5BE44694" w:rsidR="00F37EB0" w:rsidRPr="00722521" w:rsidRDefault="00F37EB0" w:rsidP="00660DF0">
      <w:pPr>
        <w:mirrorIndents/>
        <w:rPr>
          <w:sz w:val="17"/>
          <w:szCs w:val="17"/>
        </w:rPr>
      </w:pPr>
      <w:r w:rsidRPr="00722521">
        <w:rPr>
          <w:sz w:val="17"/>
          <w:szCs w:val="17"/>
        </w:rPr>
        <w:t>No</w:t>
      </w:r>
    </w:p>
    <w:p w14:paraId="5D74F6E4" w14:textId="77777777" w:rsidR="00660DF0" w:rsidRPr="00722521" w:rsidRDefault="00660DF0" w:rsidP="00A903E6">
      <w:pPr>
        <w:pStyle w:val="Textkrper"/>
        <w:mirrorIndents/>
        <w:rPr>
          <w:rFonts w:ascii="Verdana" w:hAnsi="Verdana"/>
          <w:sz w:val="17"/>
          <w:szCs w:val="17"/>
        </w:rPr>
      </w:pPr>
    </w:p>
    <w:p w14:paraId="0966545C"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explain what role could ESMA have with regard to the IAS Regulation could be strengthened:</w:t>
      </w:r>
    </w:p>
    <w:p w14:paraId="2AA6B714" w14:textId="48AFB5DC" w:rsidR="00BA160A" w:rsidRPr="00722521" w:rsidRDefault="00BA160A" w:rsidP="00A903E6">
      <w:pPr>
        <w:mirrorIndents/>
        <w:rPr>
          <w:sz w:val="17"/>
          <w:szCs w:val="17"/>
        </w:rPr>
      </w:pPr>
    </w:p>
    <w:p w14:paraId="254DA473" w14:textId="5F747647" w:rsidR="00F37EB0" w:rsidRPr="00722521" w:rsidRDefault="00F37EB0" w:rsidP="00F37EB0">
      <w:pPr>
        <w:mirrorIndents/>
        <w:rPr>
          <w:sz w:val="17"/>
          <w:szCs w:val="17"/>
        </w:rPr>
      </w:pPr>
      <w:r w:rsidRPr="00722521">
        <w:rPr>
          <w:rFonts w:eastAsia="Arial" w:cstheme="minorHAnsi"/>
        </w:rPr>
        <w:t xml:space="preserve"> </w:t>
      </w:r>
      <w:r w:rsidR="00CA50A4" w:rsidRPr="00722521">
        <w:rPr>
          <w:sz w:val="17"/>
          <w:szCs w:val="17"/>
        </w:rPr>
        <w:t xml:space="preserve">The industry is of the view that </w:t>
      </w:r>
      <w:r w:rsidRPr="00722521">
        <w:rPr>
          <w:sz w:val="17"/>
          <w:szCs w:val="17"/>
        </w:rPr>
        <w:t>the reform of the EU audit legislation with the establishment of the CEAOB (Committee of European Auditing Oversight Bodies) offers a well-designed and efficient framework.</w:t>
      </w:r>
    </w:p>
    <w:p w14:paraId="2EAA9C0F" w14:textId="77777777" w:rsidR="00F37EB0" w:rsidRPr="00722521" w:rsidRDefault="00F37EB0" w:rsidP="00F37EB0">
      <w:pPr>
        <w:mirrorIndents/>
        <w:rPr>
          <w:sz w:val="17"/>
          <w:szCs w:val="17"/>
        </w:rPr>
      </w:pPr>
      <w:r w:rsidRPr="00722521">
        <w:rPr>
          <w:sz w:val="17"/>
          <w:szCs w:val="17"/>
        </w:rPr>
        <w:t>We do not see any valid reason to extend the ESMA’s mandate on this topic.</w:t>
      </w:r>
    </w:p>
    <w:p w14:paraId="6231B27B" w14:textId="77777777" w:rsidR="00F37EB0" w:rsidRPr="00722521" w:rsidRDefault="00F37EB0" w:rsidP="00F37EB0">
      <w:pPr>
        <w:mirrorIndents/>
        <w:rPr>
          <w:sz w:val="17"/>
          <w:szCs w:val="17"/>
        </w:rPr>
      </w:pPr>
      <w:r w:rsidRPr="00722521">
        <w:rPr>
          <w:sz w:val="17"/>
          <w:szCs w:val="17"/>
        </w:rPr>
        <w:t xml:space="preserve">National competent audit authorities are closer to the audit market and as such may intervene more efficiently as they have a better and more direct knowledge of their markets.  </w:t>
      </w:r>
    </w:p>
    <w:p w14:paraId="2798FA04" w14:textId="77777777" w:rsidR="00F37EB0" w:rsidRPr="00722521" w:rsidRDefault="00F37EB0" w:rsidP="00F37EB0">
      <w:pPr>
        <w:mirrorIndents/>
        <w:rPr>
          <w:sz w:val="17"/>
          <w:szCs w:val="17"/>
        </w:rPr>
      </w:pPr>
      <w:r w:rsidRPr="00722521">
        <w:rPr>
          <w:sz w:val="17"/>
          <w:szCs w:val="17"/>
        </w:rPr>
        <w:t xml:space="preserve">Were ESMA to be granted the role of the EU audit supervisor, we believe this would create conflicts of interest between audit supervision and enforcement in the financial reporting area, and would lead to judge and jury in the same case. </w:t>
      </w:r>
    </w:p>
    <w:p w14:paraId="17E095EA" w14:textId="32BC436C" w:rsidR="00474BF6" w:rsidRPr="00722521" w:rsidRDefault="00474BF6" w:rsidP="00A903E6">
      <w:pPr>
        <w:mirrorIndents/>
        <w:rPr>
          <w:sz w:val="17"/>
          <w:szCs w:val="17"/>
        </w:rPr>
      </w:pPr>
    </w:p>
    <w:p w14:paraId="068018A6" w14:textId="77777777" w:rsidR="00474BF6" w:rsidRPr="00722521" w:rsidRDefault="00474BF6" w:rsidP="00A903E6">
      <w:pPr>
        <w:mirrorIndents/>
        <w:rPr>
          <w:sz w:val="17"/>
          <w:szCs w:val="17"/>
        </w:rPr>
      </w:pPr>
    </w:p>
    <w:p w14:paraId="58CA445E"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5.9:</w:t>
      </w:r>
    </w:p>
    <w:p w14:paraId="2E492A41" w14:textId="5B6EBB9E" w:rsidR="00BA160A" w:rsidRPr="00722521" w:rsidRDefault="00BA160A" w:rsidP="00A903E6">
      <w:pPr>
        <w:mirrorIndents/>
        <w:rPr>
          <w:sz w:val="17"/>
          <w:szCs w:val="17"/>
        </w:rPr>
      </w:pPr>
    </w:p>
    <w:p w14:paraId="73D7F097" w14:textId="6527130C" w:rsidR="00694CA7" w:rsidRPr="00722521" w:rsidRDefault="00694CA7" w:rsidP="00694CA7">
      <w:pPr>
        <w:mirrorIndents/>
        <w:rPr>
          <w:sz w:val="17"/>
          <w:szCs w:val="17"/>
        </w:rPr>
      </w:pPr>
      <w:r w:rsidRPr="00722521">
        <w:rPr>
          <w:sz w:val="17"/>
          <w:szCs w:val="17"/>
        </w:rPr>
        <w:t xml:space="preserve">Insurance Europe believes that legislations listed in Article 1 (2) of the ESMA’s founding Regulation strikes the proper balance of what is important to ensure that ESMA can be effective when undertaking actions necessary from the European perspective; specifically as the Article 1 (3) of the ESMA’s founding Regulation already provides a basis for ESMA being active in the field of corporate governance, auditing and financial reporting, provided that such actions are necessary to ensure the effective and consistent application of those acts listed in Article 1 (2). Hence, from the </w:t>
      </w:r>
      <w:r w:rsidR="00722521">
        <w:rPr>
          <w:sz w:val="17"/>
          <w:szCs w:val="17"/>
        </w:rPr>
        <w:t>VVO</w:t>
      </w:r>
      <w:r w:rsidRPr="00722521">
        <w:rPr>
          <w:sz w:val="17"/>
          <w:szCs w:val="17"/>
        </w:rPr>
        <w:t>’s perspective an enlargement of the scope does not seem to be urgently required.</w:t>
      </w:r>
    </w:p>
    <w:p w14:paraId="422087FF" w14:textId="1631EA6D" w:rsidR="00474BF6" w:rsidRPr="00722521" w:rsidRDefault="00474BF6" w:rsidP="00A903E6">
      <w:pPr>
        <w:mirrorIndents/>
        <w:rPr>
          <w:sz w:val="17"/>
          <w:szCs w:val="17"/>
        </w:rPr>
      </w:pPr>
    </w:p>
    <w:p w14:paraId="47E6C3A6" w14:textId="77777777" w:rsidR="00BA160A" w:rsidRPr="00722521" w:rsidRDefault="00BA160A" w:rsidP="00A903E6">
      <w:pPr>
        <w:mirrorIndents/>
        <w:rPr>
          <w:sz w:val="17"/>
          <w:szCs w:val="17"/>
        </w:rPr>
      </w:pPr>
    </w:p>
    <w:p w14:paraId="7AEC8E71"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Question 5.10 EBA: What is your assessment of the work undertaken by EBA regarding opinions and technical advice?</w:t>
      </w:r>
    </w:p>
    <w:p w14:paraId="74FA71C3" w14:textId="0524F59B" w:rsidR="00BA160A" w:rsidRPr="00722521" w:rsidRDefault="00BA160A" w:rsidP="00A903E6">
      <w:pPr>
        <w:mirrorIndents/>
        <w:rPr>
          <w:sz w:val="17"/>
          <w:szCs w:val="17"/>
        </w:rPr>
      </w:pPr>
    </w:p>
    <w:p w14:paraId="75EEDFF2" w14:textId="729E4EEF" w:rsidR="00474BF6" w:rsidRPr="00722521" w:rsidRDefault="00660DF0" w:rsidP="00A903E6">
      <w:pPr>
        <w:mirrorIndents/>
        <w:rPr>
          <w:sz w:val="17"/>
          <w:szCs w:val="17"/>
        </w:rPr>
      </w:pPr>
      <w:r w:rsidRPr="00722521">
        <w:rPr>
          <w:sz w:val="17"/>
          <w:szCs w:val="17"/>
        </w:rPr>
        <w:t>N/A</w:t>
      </w:r>
    </w:p>
    <w:p w14:paraId="46EB3B68" w14:textId="77777777" w:rsidR="00BA160A" w:rsidRPr="00722521" w:rsidRDefault="00BA160A" w:rsidP="00A903E6">
      <w:pPr>
        <w:mirrorIndents/>
        <w:rPr>
          <w:sz w:val="17"/>
          <w:szCs w:val="17"/>
        </w:rPr>
      </w:pPr>
    </w:p>
    <w:p w14:paraId="4952CF09"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Question 5.10 ESMA: What is your assessment of the work undertaken by ESMA regarding opinions and technical advice?</w:t>
      </w:r>
    </w:p>
    <w:p w14:paraId="45C3A288" w14:textId="77777777" w:rsidR="00BA160A" w:rsidRPr="00722521" w:rsidRDefault="00BA160A" w:rsidP="00A903E6">
      <w:pPr>
        <w:mirrorIndents/>
        <w:rPr>
          <w:sz w:val="17"/>
          <w:szCs w:val="17"/>
        </w:rPr>
      </w:pPr>
    </w:p>
    <w:p w14:paraId="7D3F0AC0" w14:textId="243A793D" w:rsidR="00BA160A" w:rsidRPr="00722521" w:rsidRDefault="00660DF0" w:rsidP="00A903E6">
      <w:pPr>
        <w:mirrorIndents/>
        <w:rPr>
          <w:sz w:val="17"/>
          <w:szCs w:val="17"/>
        </w:rPr>
      </w:pPr>
      <w:r w:rsidRPr="00722521">
        <w:rPr>
          <w:sz w:val="17"/>
          <w:szCs w:val="17"/>
        </w:rPr>
        <w:t>N/A</w:t>
      </w:r>
    </w:p>
    <w:p w14:paraId="4E6DD4DF" w14:textId="77777777" w:rsidR="00474BF6" w:rsidRPr="00722521" w:rsidRDefault="00474BF6" w:rsidP="00A903E6">
      <w:pPr>
        <w:mirrorIndents/>
        <w:rPr>
          <w:sz w:val="17"/>
          <w:szCs w:val="17"/>
        </w:rPr>
      </w:pPr>
    </w:p>
    <w:p w14:paraId="768C75A9"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Question 5.10 EIOPA: What is your assessment of the work undertaken by EIOPA regarding opinions and technical advice?</w:t>
      </w:r>
    </w:p>
    <w:p w14:paraId="21F22C91" w14:textId="709784D1" w:rsidR="00474BF6" w:rsidRPr="00722521" w:rsidRDefault="00474BF6" w:rsidP="00A903E6">
      <w:pPr>
        <w:mirrorIndents/>
        <w:rPr>
          <w:sz w:val="17"/>
          <w:szCs w:val="17"/>
        </w:rPr>
      </w:pPr>
    </w:p>
    <w:p w14:paraId="76D31609" w14:textId="0E04AC19" w:rsidR="008A74F8" w:rsidRPr="00722521" w:rsidRDefault="00722521" w:rsidP="008A74F8">
      <w:pPr>
        <w:mirrorIndents/>
        <w:rPr>
          <w:sz w:val="17"/>
          <w:szCs w:val="17"/>
        </w:rPr>
      </w:pPr>
      <w:r>
        <w:rPr>
          <w:sz w:val="17"/>
          <w:szCs w:val="17"/>
        </w:rPr>
        <w:t>VVO</w:t>
      </w:r>
      <w:r w:rsidR="00AC37E3" w:rsidRPr="00722521">
        <w:rPr>
          <w:sz w:val="17"/>
          <w:szCs w:val="17"/>
        </w:rPr>
        <w:t xml:space="preserve"> </w:t>
      </w:r>
      <w:r w:rsidR="008A74F8" w:rsidRPr="00722521">
        <w:rPr>
          <w:sz w:val="17"/>
          <w:szCs w:val="17"/>
        </w:rPr>
        <w:t xml:space="preserve">believes that the majority of </w:t>
      </w:r>
      <w:r w:rsidR="00AC37E3" w:rsidRPr="00722521">
        <w:rPr>
          <w:sz w:val="17"/>
          <w:szCs w:val="17"/>
        </w:rPr>
        <w:t>o</w:t>
      </w:r>
      <w:r w:rsidR="008A74F8" w:rsidRPr="00722521">
        <w:rPr>
          <w:sz w:val="17"/>
          <w:szCs w:val="17"/>
        </w:rPr>
        <w:t xml:space="preserve">pinions issued by EIOPA provide considerable value for the integration of the single market as well as regulatory and supervisory convergence. However, the variety of the </w:t>
      </w:r>
      <w:r w:rsidR="00AC37E3" w:rsidRPr="00722521">
        <w:rPr>
          <w:sz w:val="17"/>
          <w:szCs w:val="17"/>
        </w:rPr>
        <w:t>o</w:t>
      </w:r>
      <w:r w:rsidR="008A74F8" w:rsidRPr="00722521">
        <w:rPr>
          <w:sz w:val="17"/>
          <w:szCs w:val="17"/>
        </w:rPr>
        <w:t>pinions provided by the Authority is very wide</w:t>
      </w:r>
      <w:r w:rsidR="00AD7828" w:rsidRPr="00722521">
        <w:rPr>
          <w:sz w:val="17"/>
          <w:szCs w:val="17"/>
        </w:rPr>
        <w:t xml:space="preserve"> and their legal basis as well as their legal value are not always clear</w:t>
      </w:r>
      <w:r w:rsidR="008A74F8" w:rsidRPr="00722521">
        <w:rPr>
          <w:sz w:val="17"/>
          <w:szCs w:val="17"/>
        </w:rPr>
        <w:t xml:space="preserve">. It further has to be assessed if the </w:t>
      </w:r>
      <w:r w:rsidR="00AC37E3" w:rsidRPr="00722521">
        <w:rPr>
          <w:sz w:val="17"/>
          <w:szCs w:val="17"/>
        </w:rPr>
        <w:t>o</w:t>
      </w:r>
      <w:r w:rsidR="008A74F8" w:rsidRPr="00722521">
        <w:rPr>
          <w:sz w:val="17"/>
          <w:szCs w:val="17"/>
        </w:rPr>
        <w:t>pinions are made in preparation of legislative activities, facilitate consistent supervisory practices or other aspects.</w:t>
      </w:r>
    </w:p>
    <w:p w14:paraId="1B015BAC" w14:textId="77777777" w:rsidR="008A74F8" w:rsidRPr="00722521" w:rsidRDefault="008A74F8" w:rsidP="008A74F8">
      <w:pPr>
        <w:mirrorIndents/>
        <w:rPr>
          <w:sz w:val="17"/>
          <w:szCs w:val="17"/>
        </w:rPr>
      </w:pPr>
    </w:p>
    <w:p w14:paraId="1E268777" w14:textId="0E792558" w:rsidR="008A74F8" w:rsidRPr="00722521" w:rsidRDefault="008A74F8" w:rsidP="008A74F8">
      <w:pPr>
        <w:mirrorIndents/>
        <w:rPr>
          <w:sz w:val="17"/>
          <w:szCs w:val="17"/>
        </w:rPr>
      </w:pPr>
      <w:r w:rsidRPr="00722521">
        <w:rPr>
          <w:sz w:val="17"/>
          <w:szCs w:val="17"/>
        </w:rPr>
        <w:t xml:space="preserve">The variety might already be subject to the dilemma of </w:t>
      </w:r>
      <w:r w:rsidR="00AC37E3" w:rsidRPr="00722521">
        <w:rPr>
          <w:sz w:val="17"/>
          <w:szCs w:val="17"/>
        </w:rPr>
        <w:t>o</w:t>
      </w:r>
      <w:r w:rsidRPr="00722521">
        <w:rPr>
          <w:sz w:val="17"/>
          <w:szCs w:val="17"/>
        </w:rPr>
        <w:t xml:space="preserve">pinions as a tool. In accordance with Article 16a of the EIOPA Regulation, EIOPA is invited to provide </w:t>
      </w:r>
      <w:r w:rsidR="00AC37E3" w:rsidRPr="00722521">
        <w:rPr>
          <w:sz w:val="17"/>
          <w:szCs w:val="17"/>
        </w:rPr>
        <w:t>o</w:t>
      </w:r>
      <w:r w:rsidRPr="00722521">
        <w:rPr>
          <w:sz w:val="17"/>
          <w:szCs w:val="17"/>
        </w:rPr>
        <w:t xml:space="preserve">pinions “on all issues related to its area of competence”. The different nature of the </w:t>
      </w:r>
      <w:r w:rsidR="00AC37E3" w:rsidRPr="00722521">
        <w:rPr>
          <w:sz w:val="17"/>
          <w:szCs w:val="17"/>
        </w:rPr>
        <w:t>o</w:t>
      </w:r>
      <w:r w:rsidRPr="00722521">
        <w:rPr>
          <w:sz w:val="17"/>
          <w:szCs w:val="17"/>
        </w:rPr>
        <w:t>pinions lead to very different consequences for N</w:t>
      </w:r>
      <w:r w:rsidR="00AC37E3" w:rsidRPr="00722521">
        <w:rPr>
          <w:sz w:val="17"/>
          <w:szCs w:val="17"/>
        </w:rPr>
        <w:t>S</w:t>
      </w:r>
      <w:r w:rsidRPr="00722521">
        <w:rPr>
          <w:sz w:val="17"/>
          <w:szCs w:val="17"/>
        </w:rPr>
        <w:t xml:space="preserve">As and undertakings. The most recent </w:t>
      </w:r>
      <w:r w:rsidR="00AC37E3" w:rsidRPr="00722521">
        <w:rPr>
          <w:sz w:val="17"/>
          <w:szCs w:val="17"/>
        </w:rPr>
        <w:t>o</w:t>
      </w:r>
      <w:r w:rsidRPr="00722521">
        <w:rPr>
          <w:sz w:val="17"/>
          <w:szCs w:val="17"/>
        </w:rPr>
        <w:t xml:space="preserve">pinion by EIOPA on the review of the Solvency II Directive provides the technical advice from as requested by the </w:t>
      </w:r>
      <w:r w:rsidR="00AC37E3" w:rsidRPr="00722521">
        <w:rPr>
          <w:sz w:val="17"/>
          <w:szCs w:val="17"/>
        </w:rPr>
        <w:t xml:space="preserve">European </w:t>
      </w:r>
      <w:r w:rsidRPr="00722521">
        <w:rPr>
          <w:sz w:val="17"/>
          <w:szCs w:val="17"/>
        </w:rPr>
        <w:t>Commission in its Call for Advice from February 2019. This opinion does not have any immediate impact on N</w:t>
      </w:r>
      <w:r w:rsidR="00AC37E3" w:rsidRPr="00722521">
        <w:rPr>
          <w:sz w:val="17"/>
          <w:szCs w:val="17"/>
        </w:rPr>
        <w:t>S</w:t>
      </w:r>
      <w:r w:rsidRPr="00722521">
        <w:rPr>
          <w:sz w:val="17"/>
          <w:szCs w:val="17"/>
        </w:rPr>
        <w:t>As or insurance undertakings. In contrast, EIOPA’s opinion on the supervision of remuneration principles in the insurance and reinsurance sector</w:t>
      </w:r>
      <w:r w:rsidRPr="00722521">
        <w:rPr>
          <w:sz w:val="17"/>
          <w:szCs w:val="17"/>
          <w:vertAlign w:val="superscript"/>
        </w:rPr>
        <w:footnoteReference w:id="3"/>
      </w:r>
      <w:r w:rsidRPr="00722521">
        <w:rPr>
          <w:sz w:val="17"/>
          <w:szCs w:val="17"/>
        </w:rPr>
        <w:t xml:space="preserve"> aimed to provide </w:t>
      </w:r>
      <w:r w:rsidRPr="00722521">
        <w:rPr>
          <w:i/>
          <w:iCs/>
          <w:sz w:val="17"/>
          <w:szCs w:val="17"/>
        </w:rPr>
        <w:t>“guidance to the supervisory authorities on how to challenge the application of certain principles […]”</w:t>
      </w:r>
      <w:r w:rsidRPr="00722521">
        <w:rPr>
          <w:sz w:val="17"/>
          <w:szCs w:val="17"/>
        </w:rPr>
        <w:t xml:space="preserve"> (para. 2.4 of this Opinion) and thereby might have a substantial impact on NCAs policies and supervised undertakings.  Another example is the EIOPA Opinion on non-life cross-border insurance business of a long-term nature and its supervision</w:t>
      </w:r>
      <w:r w:rsidRPr="00722521">
        <w:rPr>
          <w:sz w:val="17"/>
          <w:szCs w:val="17"/>
          <w:vertAlign w:val="superscript"/>
        </w:rPr>
        <w:footnoteReference w:id="4"/>
      </w:r>
      <w:r w:rsidRPr="00722521">
        <w:rPr>
          <w:sz w:val="17"/>
          <w:szCs w:val="17"/>
        </w:rPr>
        <w:t xml:space="preserve">. In accordance with paragraph 2.7 of this Opinion, the objective of this Opinion is </w:t>
      </w:r>
      <w:r w:rsidRPr="00722521">
        <w:rPr>
          <w:i/>
          <w:iCs/>
          <w:sz w:val="17"/>
          <w:szCs w:val="17"/>
        </w:rPr>
        <w:t>“to ensure the appropriate application of the legal requirements and consistent supervisory practices with regard to technical provisions for non-life insurance obligations of a long-term nature.”</w:t>
      </w:r>
      <w:r w:rsidRPr="00722521">
        <w:rPr>
          <w:sz w:val="17"/>
          <w:szCs w:val="17"/>
        </w:rPr>
        <w:t xml:space="preserve"> Again, it can be expected that the opinion has practical implications for N</w:t>
      </w:r>
      <w:r w:rsidR="00AC37E3" w:rsidRPr="00722521">
        <w:rPr>
          <w:sz w:val="17"/>
          <w:szCs w:val="17"/>
        </w:rPr>
        <w:t>S</w:t>
      </w:r>
      <w:r w:rsidRPr="00722521">
        <w:rPr>
          <w:sz w:val="17"/>
          <w:szCs w:val="17"/>
        </w:rPr>
        <w:t>As and undertakings.</w:t>
      </w:r>
    </w:p>
    <w:p w14:paraId="472799A0" w14:textId="77777777" w:rsidR="008A74F8" w:rsidRPr="00722521" w:rsidRDefault="008A74F8" w:rsidP="008A74F8">
      <w:pPr>
        <w:mirrorIndents/>
        <w:rPr>
          <w:sz w:val="17"/>
          <w:szCs w:val="17"/>
          <w:highlight w:val="yellow"/>
        </w:rPr>
      </w:pPr>
    </w:p>
    <w:p w14:paraId="553D6E35" w14:textId="3D5A339B" w:rsidR="008A74F8" w:rsidRPr="00722521" w:rsidRDefault="008A74F8" w:rsidP="008A74F8">
      <w:pPr>
        <w:mirrorIndents/>
        <w:rPr>
          <w:sz w:val="17"/>
          <w:szCs w:val="17"/>
        </w:rPr>
      </w:pPr>
      <w:r w:rsidRPr="00722521">
        <w:rPr>
          <w:sz w:val="17"/>
          <w:szCs w:val="17"/>
        </w:rPr>
        <w:t xml:space="preserve">In addition, the different tools are not easy to differentiate. The reason why consistent supervisory practices are, in one case, subject to an </w:t>
      </w:r>
      <w:r w:rsidR="00AC37E3" w:rsidRPr="00722521">
        <w:rPr>
          <w:sz w:val="17"/>
          <w:szCs w:val="17"/>
        </w:rPr>
        <w:t>o</w:t>
      </w:r>
      <w:r w:rsidRPr="00722521">
        <w:rPr>
          <w:sz w:val="17"/>
          <w:szCs w:val="17"/>
        </w:rPr>
        <w:t xml:space="preserve">pinion, and in another subject to recommendations, as </w:t>
      </w:r>
      <w:proofErr w:type="spellStart"/>
      <w:r w:rsidRPr="00722521">
        <w:rPr>
          <w:sz w:val="17"/>
          <w:szCs w:val="17"/>
        </w:rPr>
        <w:t>eg</w:t>
      </w:r>
      <w:proofErr w:type="spellEnd"/>
      <w:r w:rsidRPr="00722521">
        <w:rPr>
          <w:sz w:val="17"/>
          <w:szCs w:val="17"/>
        </w:rPr>
        <w:t xml:space="preserve"> following the </w:t>
      </w:r>
      <w:r w:rsidR="00AC37E3" w:rsidRPr="00722521">
        <w:rPr>
          <w:sz w:val="17"/>
          <w:szCs w:val="17"/>
        </w:rPr>
        <w:t>p</w:t>
      </w:r>
      <w:r w:rsidRPr="00722521">
        <w:rPr>
          <w:sz w:val="17"/>
          <w:szCs w:val="17"/>
        </w:rPr>
        <w:t xml:space="preserve">eer </w:t>
      </w:r>
      <w:r w:rsidR="00AC37E3" w:rsidRPr="00722521">
        <w:rPr>
          <w:sz w:val="17"/>
          <w:szCs w:val="17"/>
        </w:rPr>
        <w:t>r</w:t>
      </w:r>
      <w:r w:rsidRPr="00722521">
        <w:rPr>
          <w:sz w:val="17"/>
          <w:szCs w:val="17"/>
        </w:rPr>
        <w:t xml:space="preserve">eview on EIOPA’s </w:t>
      </w:r>
      <w:r w:rsidR="00AC37E3" w:rsidRPr="00722521">
        <w:rPr>
          <w:sz w:val="17"/>
          <w:szCs w:val="17"/>
        </w:rPr>
        <w:t>d</w:t>
      </w:r>
      <w:r w:rsidRPr="00722521">
        <w:rPr>
          <w:sz w:val="17"/>
          <w:szCs w:val="17"/>
        </w:rPr>
        <w:t>ecision on the collaboration of the insurance supervisory authorities</w:t>
      </w:r>
      <w:r w:rsidRPr="00722521">
        <w:rPr>
          <w:sz w:val="17"/>
          <w:szCs w:val="17"/>
          <w:vertAlign w:val="superscript"/>
        </w:rPr>
        <w:footnoteReference w:id="5"/>
      </w:r>
      <w:r w:rsidRPr="00722521">
        <w:rPr>
          <w:sz w:val="17"/>
          <w:szCs w:val="17"/>
        </w:rPr>
        <w:t>, is not sufficiently clear.</w:t>
      </w:r>
    </w:p>
    <w:p w14:paraId="30B9D45A" w14:textId="77777777" w:rsidR="008A74F8" w:rsidRPr="00722521" w:rsidRDefault="008A74F8" w:rsidP="008A74F8">
      <w:pPr>
        <w:mirrorIndents/>
        <w:rPr>
          <w:sz w:val="17"/>
          <w:szCs w:val="17"/>
        </w:rPr>
      </w:pPr>
    </w:p>
    <w:p w14:paraId="64144627" w14:textId="456ED550" w:rsidR="008A74F8" w:rsidRPr="00722521" w:rsidRDefault="008A74F8" w:rsidP="008A74F8">
      <w:pPr>
        <w:mirrorIndents/>
        <w:rPr>
          <w:sz w:val="17"/>
          <w:szCs w:val="17"/>
        </w:rPr>
      </w:pPr>
      <w:r w:rsidRPr="00722521">
        <w:rPr>
          <w:sz w:val="17"/>
          <w:szCs w:val="17"/>
        </w:rPr>
        <w:t xml:space="preserve">As referred to in the answer to question 2.4.1, the sheer amount of EIOPA activity challenges an appropriate stakeholder involvement. Additional extra-curricular activities should, therefore, be duly considered. </w:t>
      </w:r>
    </w:p>
    <w:p w14:paraId="78D42E9D" w14:textId="77777777" w:rsidR="008A74F8" w:rsidRPr="00722521" w:rsidRDefault="008A74F8" w:rsidP="008A74F8">
      <w:pPr>
        <w:mirrorIndents/>
        <w:rPr>
          <w:sz w:val="17"/>
          <w:szCs w:val="17"/>
        </w:rPr>
      </w:pPr>
    </w:p>
    <w:p w14:paraId="1EA1BC3E" w14:textId="00A72F78" w:rsidR="00474BF6" w:rsidRPr="00722521" w:rsidRDefault="008A74F8" w:rsidP="00A903E6">
      <w:pPr>
        <w:mirrorIndents/>
        <w:rPr>
          <w:sz w:val="17"/>
          <w:szCs w:val="17"/>
        </w:rPr>
      </w:pPr>
      <w:r w:rsidRPr="00722521">
        <w:rPr>
          <w:sz w:val="17"/>
          <w:szCs w:val="17"/>
        </w:rPr>
        <w:t xml:space="preserve">In addition, technical advice and </w:t>
      </w:r>
      <w:r w:rsidR="00AC37E3" w:rsidRPr="00722521">
        <w:rPr>
          <w:sz w:val="17"/>
          <w:szCs w:val="17"/>
        </w:rPr>
        <w:t>o</w:t>
      </w:r>
      <w:r w:rsidRPr="00722521">
        <w:rPr>
          <w:sz w:val="17"/>
          <w:szCs w:val="17"/>
        </w:rPr>
        <w:t>pinions provided by the Authority must not form quasi-legislation or provide for the empowerment/force for N</w:t>
      </w:r>
      <w:r w:rsidR="00AC37E3" w:rsidRPr="00722521">
        <w:rPr>
          <w:sz w:val="17"/>
          <w:szCs w:val="17"/>
        </w:rPr>
        <w:t>S</w:t>
      </w:r>
      <w:r w:rsidRPr="00722521">
        <w:rPr>
          <w:sz w:val="17"/>
          <w:szCs w:val="17"/>
        </w:rPr>
        <w:t xml:space="preserve">As to take regulatory action. </w:t>
      </w:r>
      <w:r w:rsidR="00AC37E3" w:rsidRPr="00722521">
        <w:rPr>
          <w:sz w:val="17"/>
          <w:szCs w:val="17"/>
        </w:rPr>
        <w:t>One example is</w:t>
      </w:r>
      <w:r w:rsidRPr="00722521">
        <w:rPr>
          <w:sz w:val="17"/>
          <w:szCs w:val="17"/>
        </w:rPr>
        <w:t xml:space="preserve"> the review of the </w:t>
      </w:r>
      <w:r w:rsidR="00AC37E3" w:rsidRPr="00722521">
        <w:rPr>
          <w:sz w:val="17"/>
          <w:szCs w:val="17"/>
        </w:rPr>
        <w:t>i</w:t>
      </w:r>
      <w:r w:rsidRPr="00722521">
        <w:rPr>
          <w:sz w:val="17"/>
          <w:szCs w:val="17"/>
        </w:rPr>
        <w:t xml:space="preserve">mplementing </w:t>
      </w:r>
      <w:r w:rsidR="00AC37E3" w:rsidRPr="00722521">
        <w:rPr>
          <w:sz w:val="17"/>
          <w:szCs w:val="17"/>
        </w:rPr>
        <w:t>t</w:t>
      </w:r>
      <w:r w:rsidRPr="00722521">
        <w:rPr>
          <w:sz w:val="17"/>
          <w:szCs w:val="17"/>
        </w:rPr>
        <w:t xml:space="preserve">echnical </w:t>
      </w:r>
      <w:r w:rsidR="00AC37E3" w:rsidRPr="00722521">
        <w:rPr>
          <w:sz w:val="17"/>
          <w:szCs w:val="17"/>
        </w:rPr>
        <w:t>s</w:t>
      </w:r>
      <w:r w:rsidRPr="00722521">
        <w:rPr>
          <w:sz w:val="17"/>
          <w:szCs w:val="17"/>
        </w:rPr>
        <w:t xml:space="preserve">tandards (ITS) on reporting requirements under Solvency II. EIOPA </w:t>
      </w:r>
      <w:r w:rsidR="007A6E9D" w:rsidRPr="00722521">
        <w:rPr>
          <w:sz w:val="17"/>
          <w:szCs w:val="17"/>
        </w:rPr>
        <w:t>has proposed substantial changes to the</w:t>
      </w:r>
      <w:r w:rsidRPr="00722521">
        <w:rPr>
          <w:sz w:val="17"/>
          <w:szCs w:val="17"/>
        </w:rPr>
        <w:t xml:space="preserve"> Quantitative Reporting Templates under Solvency II. In accordance with the Solvency II Directive, EIOPA is empowered to draft these ITS for adoption by the European Commission. Notwithstanding the outcome of the review of the Directive, EIOPA already started the review of the ITS. </w:t>
      </w:r>
      <w:r w:rsidR="007A6E9D" w:rsidRPr="00722521">
        <w:rPr>
          <w:sz w:val="17"/>
          <w:szCs w:val="17"/>
        </w:rPr>
        <w:t>The insurance industry</w:t>
      </w:r>
      <w:r w:rsidRPr="00722521">
        <w:rPr>
          <w:sz w:val="17"/>
          <w:szCs w:val="17"/>
        </w:rPr>
        <w:t xml:space="preserve"> believes that the review of the ITS as subordinated regulation to the Solvency II Directive should await and not pre-empt the result of the legislative procedure.</w:t>
      </w:r>
    </w:p>
    <w:p w14:paraId="659604E7" w14:textId="77777777" w:rsidR="00474BF6" w:rsidRPr="00722521" w:rsidRDefault="00474BF6" w:rsidP="00A903E6">
      <w:pPr>
        <w:mirrorIndents/>
        <w:rPr>
          <w:sz w:val="17"/>
          <w:szCs w:val="17"/>
        </w:rPr>
      </w:pPr>
    </w:p>
    <w:p w14:paraId="59062885" w14:textId="3DBF64E6" w:rsidR="00BA160A" w:rsidRPr="00722521" w:rsidRDefault="00BA160A" w:rsidP="00A903E6">
      <w:pPr>
        <w:pStyle w:val="berschrift1"/>
        <w:numPr>
          <w:ilvl w:val="0"/>
          <w:numId w:val="6"/>
        </w:numPr>
        <w:tabs>
          <w:tab w:val="left" w:pos="499"/>
        </w:tabs>
        <w:ind w:left="232" w:hanging="383"/>
        <w:mirrorIndents/>
        <w:rPr>
          <w:rFonts w:ascii="Verdana" w:hAnsi="Verdana"/>
          <w:sz w:val="17"/>
          <w:szCs w:val="17"/>
        </w:rPr>
      </w:pPr>
      <w:r w:rsidRPr="00722521">
        <w:rPr>
          <w:rFonts w:ascii="Verdana" w:hAnsi="Verdana"/>
          <w:sz w:val="17"/>
          <w:szCs w:val="17"/>
        </w:rPr>
        <w:t>General questions on the single</w:t>
      </w:r>
      <w:r w:rsidRPr="00722521">
        <w:rPr>
          <w:rFonts w:ascii="Verdana" w:hAnsi="Verdana"/>
          <w:spacing w:val="2"/>
          <w:sz w:val="17"/>
          <w:szCs w:val="17"/>
        </w:rPr>
        <w:t xml:space="preserve"> </w:t>
      </w:r>
      <w:r w:rsidRPr="00722521">
        <w:rPr>
          <w:rFonts w:ascii="Verdana" w:hAnsi="Verdana"/>
          <w:sz w:val="17"/>
          <w:szCs w:val="17"/>
        </w:rPr>
        <w:t>rulebook</w:t>
      </w:r>
    </w:p>
    <w:p w14:paraId="5C4D6090" w14:textId="00BD07F1" w:rsidR="00BA160A" w:rsidRPr="00722521" w:rsidRDefault="00BA160A" w:rsidP="00A903E6">
      <w:pPr>
        <w:pStyle w:val="Textkrper"/>
        <w:mirrorIndents/>
        <w:rPr>
          <w:rFonts w:ascii="Verdana" w:hAnsi="Verdana"/>
          <w:sz w:val="17"/>
          <w:szCs w:val="17"/>
        </w:rPr>
      </w:pPr>
    </w:p>
    <w:p w14:paraId="1F7E63E2" w14:textId="14C26583"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 xml:space="preserve">Question 6.1 Which are the areas where you would consider maximum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desirable or a higher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than presently </w:t>
      </w:r>
      <w:proofErr w:type="gramStart"/>
      <w:r w:rsidRPr="00722521">
        <w:rPr>
          <w:rFonts w:ascii="Verdana" w:hAnsi="Verdana"/>
          <w:sz w:val="17"/>
          <w:szCs w:val="17"/>
          <w:highlight w:val="lightGray"/>
        </w:rPr>
        <w:t>( r</w:t>
      </w:r>
      <w:r w:rsidR="00474BF6" w:rsidRPr="00722521">
        <w:rPr>
          <w:rFonts w:ascii="Verdana" w:hAnsi="Verdana"/>
          <w:sz w:val="17"/>
          <w:szCs w:val="17"/>
          <w:highlight w:val="lightGray"/>
        </w:rPr>
        <w:t>ather</w:t>
      </w:r>
      <w:proofErr w:type="gramEnd"/>
      <w:r w:rsidR="00474BF6" w:rsidRPr="00722521">
        <w:rPr>
          <w:rFonts w:ascii="Verdana" w:hAnsi="Verdana"/>
          <w:sz w:val="17"/>
          <w:szCs w:val="17"/>
          <w:highlight w:val="lightGray"/>
        </w:rPr>
        <w:t xml:space="preserve"> than minimum </w:t>
      </w:r>
      <w:proofErr w:type="spellStart"/>
      <w:r w:rsidR="00474BF6" w:rsidRPr="00722521">
        <w:rPr>
          <w:rFonts w:ascii="Verdana" w:hAnsi="Verdana"/>
          <w:sz w:val="17"/>
          <w:szCs w:val="17"/>
          <w:highlight w:val="lightGray"/>
        </w:rPr>
        <w:t>harmonisation</w:t>
      </w:r>
      <w:proofErr w:type="spellEnd"/>
      <w:r w:rsidRPr="00722521">
        <w:rPr>
          <w:rFonts w:ascii="Verdana" w:hAnsi="Verdana"/>
          <w:sz w:val="17"/>
          <w:szCs w:val="17"/>
          <w:highlight w:val="lightGray"/>
        </w:rPr>
        <w:t>?</w:t>
      </w:r>
    </w:p>
    <w:p w14:paraId="4ECA9A56" w14:textId="77777777" w:rsidR="00BA160A" w:rsidRPr="00722521" w:rsidRDefault="00BA160A" w:rsidP="00A903E6">
      <w:pPr>
        <w:pStyle w:val="Textkrper"/>
        <w:mirrorIndents/>
        <w:rPr>
          <w:rFonts w:ascii="Verdana" w:hAnsi="Verdana"/>
          <w:sz w:val="17"/>
          <w:szCs w:val="17"/>
        </w:rPr>
      </w:pPr>
    </w:p>
    <w:p w14:paraId="4D8FA8C9" w14:textId="77777777" w:rsidR="00BA160A" w:rsidRPr="00722521" w:rsidRDefault="00BA160A" w:rsidP="00474BF6">
      <w:pPr>
        <w:pStyle w:val="Textkrper"/>
        <w:ind w:left="0"/>
        <w:mirrorIndents/>
        <w:rPr>
          <w:rFonts w:ascii="Verdana" w:hAnsi="Verdana"/>
          <w:sz w:val="17"/>
          <w:szCs w:val="17"/>
        </w:rPr>
      </w:pPr>
      <w:r w:rsidRPr="00722521">
        <w:rPr>
          <w:rFonts w:ascii="Verdana" w:hAnsi="Verdana"/>
          <w:sz w:val="17"/>
          <w:szCs w:val="17"/>
          <w:highlight w:val="lightGray"/>
        </w:rPr>
        <w:t>Please give your reasons for each:</w:t>
      </w:r>
    </w:p>
    <w:p w14:paraId="5008BDFA" w14:textId="0FD0DCA0" w:rsidR="00BA160A" w:rsidRPr="00722521" w:rsidRDefault="00BA160A" w:rsidP="00A903E6">
      <w:pPr>
        <w:mirrorIndents/>
        <w:rPr>
          <w:sz w:val="17"/>
          <w:szCs w:val="17"/>
        </w:rPr>
      </w:pPr>
    </w:p>
    <w:p w14:paraId="3F620C93" w14:textId="2C0A5A77" w:rsidR="009F69D6" w:rsidRPr="00722521" w:rsidRDefault="00722521" w:rsidP="009F69D6">
      <w:pPr>
        <w:mirrorIndents/>
        <w:rPr>
          <w:sz w:val="17"/>
          <w:szCs w:val="17"/>
        </w:rPr>
      </w:pPr>
      <w:r>
        <w:rPr>
          <w:sz w:val="17"/>
          <w:szCs w:val="17"/>
        </w:rPr>
        <w:t>VVO</w:t>
      </w:r>
      <w:r w:rsidR="009F69D6" w:rsidRPr="00722521">
        <w:rPr>
          <w:sz w:val="17"/>
          <w:szCs w:val="17"/>
        </w:rPr>
        <w:t xml:space="preserve"> believes that regulatory convergence and the further integration of the EU single market (for insurance) should be the key objectives for the European Commission for the upcoming regulatory reviews of the EU financial services regulation. In this respect the opportunity for national gold-plating and regulatory arbitrage can and should be limited in the interest of fair competition and consistent consumer protection in the EU.</w:t>
      </w:r>
    </w:p>
    <w:p w14:paraId="70DE0FF1" w14:textId="77777777" w:rsidR="00474BF6" w:rsidRPr="00722521" w:rsidRDefault="00474BF6" w:rsidP="00A903E6">
      <w:pPr>
        <w:mirrorIndents/>
        <w:rPr>
          <w:sz w:val="17"/>
          <w:szCs w:val="17"/>
        </w:rPr>
      </w:pPr>
    </w:p>
    <w:p w14:paraId="7A6D06D8" w14:textId="0696727C" w:rsidR="00BA160A" w:rsidRPr="00722521" w:rsidRDefault="00BA160A" w:rsidP="00474BF6">
      <w:pPr>
        <w:pStyle w:val="Textkrper"/>
        <w:ind w:left="0"/>
        <w:mirrorIndents/>
        <w:rPr>
          <w:rFonts w:ascii="Verdana" w:hAnsi="Verdana"/>
          <w:sz w:val="17"/>
          <w:szCs w:val="17"/>
        </w:rPr>
      </w:pPr>
      <w:r w:rsidRPr="00722521">
        <w:rPr>
          <w:rFonts w:ascii="Verdana" w:hAnsi="Verdana"/>
          <w:sz w:val="17"/>
          <w:szCs w:val="17"/>
          <w:highlight w:val="lightGray"/>
        </w:rPr>
        <w:t>Question 6.2 Which are the areas where you consider that national rules going beyond the minimum requirements of a Directive (known as “gold- plating”) are particularly detrimental to a single</w:t>
      </w:r>
      <w:r w:rsidRPr="00722521">
        <w:rPr>
          <w:rFonts w:ascii="Verdana" w:hAnsi="Verdana"/>
          <w:spacing w:val="-1"/>
          <w:sz w:val="17"/>
          <w:szCs w:val="17"/>
          <w:highlight w:val="lightGray"/>
        </w:rPr>
        <w:t xml:space="preserve"> </w:t>
      </w:r>
      <w:r w:rsidRPr="00722521">
        <w:rPr>
          <w:rFonts w:ascii="Verdana" w:hAnsi="Verdana"/>
          <w:sz w:val="17"/>
          <w:szCs w:val="17"/>
          <w:highlight w:val="lightGray"/>
        </w:rPr>
        <w:t>market?</w:t>
      </w:r>
    </w:p>
    <w:p w14:paraId="68CBF9AB" w14:textId="77777777" w:rsidR="00474BF6" w:rsidRPr="00722521" w:rsidRDefault="00BA160A" w:rsidP="00474BF6">
      <w:pPr>
        <w:pStyle w:val="CEABullet-Level1"/>
        <w:rPr>
          <w:color w:val="auto"/>
          <w:highlight w:val="lightGray"/>
        </w:rPr>
      </w:pPr>
      <w:r w:rsidRPr="00722521">
        <w:rPr>
          <w:color w:val="auto"/>
          <w:highlight w:val="lightGray"/>
        </w:rPr>
        <w:t>Banking</w:t>
      </w:r>
    </w:p>
    <w:p w14:paraId="54220754" w14:textId="711DE02D" w:rsidR="00BA160A" w:rsidRPr="00722521" w:rsidRDefault="00BA160A" w:rsidP="00474BF6">
      <w:pPr>
        <w:pStyle w:val="CEABullet-Level1"/>
        <w:rPr>
          <w:color w:val="auto"/>
          <w:highlight w:val="lightGray"/>
        </w:rPr>
      </w:pPr>
      <w:r w:rsidRPr="00722521">
        <w:rPr>
          <w:color w:val="auto"/>
          <w:highlight w:val="lightGray"/>
        </w:rPr>
        <w:t>Insurance</w:t>
      </w:r>
    </w:p>
    <w:p w14:paraId="38800565" w14:textId="77777777" w:rsidR="00BA160A" w:rsidRPr="00722521" w:rsidRDefault="00BA160A" w:rsidP="00474BF6">
      <w:pPr>
        <w:pStyle w:val="CEABullet-Level1"/>
        <w:rPr>
          <w:color w:val="auto"/>
          <w:highlight w:val="lightGray"/>
        </w:rPr>
      </w:pPr>
      <w:r w:rsidRPr="00722521">
        <w:rPr>
          <w:color w:val="auto"/>
          <w:highlight w:val="lightGray"/>
        </w:rPr>
        <w:lastRenderedPageBreak/>
        <w:t>Asset management</w:t>
      </w:r>
    </w:p>
    <w:p w14:paraId="5E037CCB" w14:textId="77777777" w:rsidR="00474BF6" w:rsidRPr="00722521" w:rsidRDefault="00BA160A" w:rsidP="00C97577">
      <w:pPr>
        <w:pStyle w:val="CEABullet-Level1"/>
        <w:mirrorIndents/>
        <w:jc w:val="left"/>
        <w:rPr>
          <w:b/>
          <w:color w:val="auto"/>
          <w:szCs w:val="17"/>
          <w:highlight w:val="lightGray"/>
        </w:rPr>
      </w:pPr>
      <w:r w:rsidRPr="00722521">
        <w:rPr>
          <w:color w:val="auto"/>
          <w:highlight w:val="lightGray"/>
        </w:rPr>
        <w:t>Market</w:t>
      </w:r>
      <w:r w:rsidR="002216DB" w:rsidRPr="00722521">
        <w:rPr>
          <w:color w:val="auto"/>
          <w:highlight w:val="lightGray"/>
        </w:rPr>
        <w:t xml:space="preserve"> </w:t>
      </w:r>
      <w:r w:rsidRPr="00722521">
        <w:rPr>
          <w:color w:val="auto"/>
          <w:highlight w:val="lightGray"/>
        </w:rPr>
        <w:t xml:space="preserve">infrastructure (CCPs, CSDs) </w:t>
      </w:r>
    </w:p>
    <w:p w14:paraId="5010BA41" w14:textId="77777777" w:rsidR="00474BF6" w:rsidRPr="00722521" w:rsidRDefault="00BA160A" w:rsidP="00C97577">
      <w:pPr>
        <w:pStyle w:val="CEABullet-Level1"/>
        <w:mirrorIndents/>
        <w:jc w:val="left"/>
        <w:rPr>
          <w:b/>
          <w:color w:val="auto"/>
          <w:szCs w:val="17"/>
          <w:highlight w:val="lightGray"/>
        </w:rPr>
      </w:pPr>
      <w:r w:rsidRPr="00722521">
        <w:rPr>
          <w:color w:val="auto"/>
          <w:highlight w:val="lightGray"/>
        </w:rPr>
        <w:t xml:space="preserve">Market organisation (MiFID, MIFIR, MAR) </w:t>
      </w:r>
    </w:p>
    <w:p w14:paraId="6C5B80F2" w14:textId="46D7637E" w:rsidR="00474BF6" w:rsidRPr="00722521" w:rsidRDefault="00BA160A" w:rsidP="00C97577">
      <w:pPr>
        <w:pStyle w:val="CEABullet-Level1"/>
        <w:mirrorIndents/>
        <w:jc w:val="left"/>
        <w:rPr>
          <w:b/>
          <w:color w:val="auto"/>
          <w:szCs w:val="17"/>
          <w:highlight w:val="lightGray"/>
        </w:rPr>
      </w:pPr>
      <w:r w:rsidRPr="00722521">
        <w:rPr>
          <w:color w:val="auto"/>
          <w:highlight w:val="lightGray"/>
        </w:rPr>
        <w:t>Other</w:t>
      </w:r>
    </w:p>
    <w:p w14:paraId="34091B83" w14:textId="63A4CBC3" w:rsidR="00474BF6" w:rsidRPr="00722521" w:rsidRDefault="00474BF6" w:rsidP="00474BF6">
      <w:pPr>
        <w:pStyle w:val="CEABullet-Level1"/>
        <w:numPr>
          <w:ilvl w:val="0"/>
          <w:numId w:val="0"/>
        </w:numPr>
        <w:mirrorIndents/>
        <w:jc w:val="left"/>
        <w:rPr>
          <w:b/>
          <w:color w:val="auto"/>
          <w:w w:val="105"/>
          <w:szCs w:val="17"/>
        </w:rPr>
      </w:pPr>
    </w:p>
    <w:p w14:paraId="4429E695" w14:textId="570B81C4" w:rsidR="003A1540" w:rsidRPr="00722521" w:rsidRDefault="003A1540" w:rsidP="003A1540">
      <w:pPr>
        <w:mirrorIndents/>
        <w:rPr>
          <w:sz w:val="17"/>
          <w:szCs w:val="17"/>
        </w:rPr>
      </w:pPr>
      <w:r w:rsidRPr="00722521">
        <w:rPr>
          <w:sz w:val="17"/>
          <w:szCs w:val="17"/>
        </w:rPr>
        <w:t xml:space="preserve">Insurance </w:t>
      </w:r>
    </w:p>
    <w:p w14:paraId="6F7E3330" w14:textId="77777777" w:rsidR="003A1540" w:rsidRPr="00722521" w:rsidRDefault="003A1540" w:rsidP="00474BF6">
      <w:pPr>
        <w:pStyle w:val="CEABullet-Level1"/>
        <w:numPr>
          <w:ilvl w:val="0"/>
          <w:numId w:val="0"/>
        </w:numPr>
        <w:mirrorIndents/>
        <w:jc w:val="left"/>
        <w:rPr>
          <w:b/>
          <w:color w:val="auto"/>
          <w:w w:val="105"/>
          <w:szCs w:val="17"/>
        </w:rPr>
      </w:pPr>
    </w:p>
    <w:p w14:paraId="16FF378D" w14:textId="55DA5559" w:rsidR="00BA160A" w:rsidRPr="00722521" w:rsidRDefault="00BA160A" w:rsidP="00474BF6">
      <w:pPr>
        <w:pStyle w:val="CEABullet-Level1"/>
        <w:numPr>
          <w:ilvl w:val="0"/>
          <w:numId w:val="0"/>
        </w:numPr>
        <w:mirrorIndents/>
        <w:jc w:val="left"/>
        <w:rPr>
          <w:b/>
          <w:color w:val="auto"/>
          <w:szCs w:val="17"/>
        </w:rPr>
      </w:pPr>
      <w:r w:rsidRPr="00722521">
        <w:rPr>
          <w:b/>
          <w:color w:val="auto"/>
          <w:w w:val="105"/>
          <w:szCs w:val="17"/>
        </w:rPr>
        <w:t>Banking</w:t>
      </w:r>
    </w:p>
    <w:p w14:paraId="73D9D933" w14:textId="1B68D10C"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Please</w:t>
      </w:r>
      <w:r w:rsidRPr="00722521">
        <w:rPr>
          <w:rFonts w:ascii="Verdana" w:hAnsi="Verdana"/>
          <w:spacing w:val="55"/>
          <w:sz w:val="17"/>
          <w:szCs w:val="17"/>
          <w:highlight w:val="lightGray"/>
        </w:rPr>
        <w:t xml:space="preserve"> </w:t>
      </w:r>
      <w:r w:rsidRPr="00722521">
        <w:rPr>
          <w:rFonts w:ascii="Verdana" w:hAnsi="Verdana"/>
          <w:sz w:val="17"/>
          <w:szCs w:val="17"/>
          <w:highlight w:val="lightGray"/>
        </w:rPr>
        <w:t>identify</w:t>
      </w:r>
      <w:r w:rsidRPr="00722521">
        <w:rPr>
          <w:rFonts w:ascii="Verdana" w:hAnsi="Verdana"/>
          <w:spacing w:val="55"/>
          <w:sz w:val="17"/>
          <w:szCs w:val="17"/>
          <w:highlight w:val="lightGray"/>
        </w:rPr>
        <w:t xml:space="preserve"> </w:t>
      </w:r>
      <w:r w:rsidRPr="00722521">
        <w:rPr>
          <w:rFonts w:ascii="Verdana" w:hAnsi="Verdana"/>
          <w:sz w:val="17"/>
          <w:szCs w:val="17"/>
          <w:highlight w:val="lightGray"/>
        </w:rPr>
        <w:t>the</w:t>
      </w:r>
      <w:r w:rsidRPr="00722521">
        <w:rPr>
          <w:rFonts w:ascii="Verdana" w:hAnsi="Verdana"/>
          <w:spacing w:val="55"/>
          <w:sz w:val="17"/>
          <w:szCs w:val="17"/>
          <w:highlight w:val="lightGray"/>
        </w:rPr>
        <w:t xml:space="preserve"> </w:t>
      </w:r>
      <w:r w:rsidRPr="00722521">
        <w:rPr>
          <w:rFonts w:ascii="Verdana" w:hAnsi="Verdana"/>
          <w:sz w:val="17"/>
          <w:szCs w:val="17"/>
          <w:highlight w:val="lightGray"/>
        </w:rPr>
        <w:t>relevant</w:t>
      </w:r>
      <w:r w:rsidRPr="00722521">
        <w:rPr>
          <w:rFonts w:ascii="Verdana" w:hAnsi="Verdana"/>
          <w:spacing w:val="55"/>
          <w:sz w:val="17"/>
          <w:szCs w:val="17"/>
          <w:highlight w:val="lightGray"/>
        </w:rPr>
        <w:t xml:space="preserve"> </w:t>
      </w:r>
      <w:r w:rsidRPr="00722521">
        <w:rPr>
          <w:rFonts w:ascii="Verdana" w:hAnsi="Verdana"/>
          <w:sz w:val="17"/>
          <w:szCs w:val="17"/>
          <w:highlight w:val="lightGray"/>
        </w:rPr>
        <w:t>sectoral</w:t>
      </w:r>
      <w:r w:rsidRPr="00722521">
        <w:rPr>
          <w:rFonts w:ascii="Verdana" w:hAnsi="Verdana"/>
          <w:spacing w:val="55"/>
          <w:sz w:val="17"/>
          <w:szCs w:val="17"/>
          <w:highlight w:val="lightGray"/>
        </w:rPr>
        <w:t xml:space="preserve"> </w:t>
      </w:r>
      <w:r w:rsidRPr="00722521">
        <w:rPr>
          <w:rFonts w:ascii="Verdana" w:hAnsi="Verdana"/>
          <w:sz w:val="17"/>
          <w:szCs w:val="17"/>
          <w:highlight w:val="lightGray"/>
        </w:rPr>
        <w:t>legislation</w:t>
      </w:r>
      <w:r w:rsidRPr="00722521">
        <w:rPr>
          <w:rFonts w:ascii="Verdana" w:hAnsi="Verdana"/>
          <w:spacing w:val="55"/>
          <w:sz w:val="17"/>
          <w:szCs w:val="17"/>
          <w:highlight w:val="lightGray"/>
        </w:rPr>
        <w:t xml:space="preserve"> </w:t>
      </w:r>
      <w:r w:rsidRPr="00722521">
        <w:rPr>
          <w:rFonts w:ascii="Verdana" w:hAnsi="Verdana"/>
          <w:sz w:val="17"/>
          <w:szCs w:val="17"/>
          <w:highlight w:val="lightGray"/>
        </w:rPr>
        <w:t>in</w:t>
      </w:r>
      <w:r w:rsidRPr="00722521">
        <w:rPr>
          <w:rFonts w:ascii="Verdana" w:hAnsi="Verdana"/>
          <w:spacing w:val="55"/>
          <w:sz w:val="17"/>
          <w:szCs w:val="17"/>
          <w:highlight w:val="lightGray"/>
        </w:rPr>
        <w:t xml:space="preserve"> </w:t>
      </w:r>
      <w:r w:rsidRPr="00722521">
        <w:rPr>
          <w:rFonts w:ascii="Verdana" w:hAnsi="Verdana"/>
          <w:sz w:val="17"/>
          <w:szCs w:val="17"/>
          <w:highlight w:val="lightGray"/>
        </w:rPr>
        <w:t>the</w:t>
      </w:r>
      <w:r w:rsidRPr="00722521">
        <w:rPr>
          <w:rFonts w:ascii="Verdana" w:hAnsi="Verdana"/>
          <w:spacing w:val="55"/>
          <w:sz w:val="17"/>
          <w:szCs w:val="17"/>
          <w:highlight w:val="lightGray"/>
        </w:rPr>
        <w:t xml:space="preserve"> </w:t>
      </w:r>
      <w:r w:rsidRPr="00722521">
        <w:rPr>
          <w:rFonts w:ascii="Verdana" w:hAnsi="Verdana"/>
          <w:sz w:val="17"/>
          <w:szCs w:val="17"/>
          <w:highlight w:val="lightGray"/>
        </w:rPr>
        <w:t>area</w:t>
      </w:r>
      <w:r w:rsidRPr="00722521">
        <w:rPr>
          <w:rFonts w:ascii="Verdana" w:hAnsi="Verdana"/>
          <w:spacing w:val="55"/>
          <w:sz w:val="17"/>
          <w:szCs w:val="17"/>
          <w:highlight w:val="lightGray"/>
        </w:rPr>
        <w:t xml:space="preserve"> </w:t>
      </w:r>
      <w:r w:rsidRPr="00722521">
        <w:rPr>
          <w:rFonts w:ascii="Verdana" w:hAnsi="Verdana"/>
          <w:sz w:val="17"/>
          <w:szCs w:val="17"/>
          <w:highlight w:val="lightGray"/>
        </w:rPr>
        <w:t>of</w:t>
      </w:r>
      <w:r w:rsidR="00526186" w:rsidRPr="00722521">
        <w:rPr>
          <w:rFonts w:ascii="Verdana" w:hAnsi="Verdana"/>
          <w:sz w:val="17"/>
          <w:szCs w:val="17"/>
          <w:highlight w:val="lightGray"/>
        </w:rPr>
        <w:t xml:space="preserve"> </w:t>
      </w:r>
      <w:r w:rsidRPr="00722521">
        <w:rPr>
          <w:rFonts w:ascii="Verdana" w:hAnsi="Verdana"/>
          <w:sz w:val="17"/>
          <w:szCs w:val="17"/>
          <w:highlight w:val="lightGray"/>
        </w:rPr>
        <w:t>banking</w:t>
      </w:r>
      <w:r w:rsidR="00526186" w:rsidRPr="00722521">
        <w:rPr>
          <w:rFonts w:ascii="Verdana" w:hAnsi="Verdana"/>
          <w:sz w:val="17"/>
          <w:szCs w:val="17"/>
          <w:highlight w:val="lightGray"/>
        </w:rPr>
        <w:t xml:space="preserve"> </w:t>
      </w:r>
      <w:r w:rsidRPr="00722521">
        <w:rPr>
          <w:rFonts w:ascii="Verdana" w:hAnsi="Verdana"/>
          <w:sz w:val="17"/>
          <w:szCs w:val="17"/>
          <w:highlight w:val="lightGray"/>
        </w:rPr>
        <w:t>for</w:t>
      </w:r>
      <w:r w:rsidR="00526186" w:rsidRPr="00722521">
        <w:rPr>
          <w:rFonts w:ascii="Verdana" w:hAnsi="Verdana"/>
          <w:b w:val="0"/>
          <w:sz w:val="17"/>
          <w:szCs w:val="17"/>
          <w:highlight w:val="lightGray"/>
        </w:rPr>
        <w:t xml:space="preserve"> </w:t>
      </w:r>
      <w:r w:rsidRPr="00722521">
        <w:rPr>
          <w:rFonts w:ascii="Verdana" w:hAnsi="Verdana"/>
          <w:sz w:val="17"/>
          <w:szCs w:val="17"/>
          <w:highlight w:val="lightGray"/>
        </w:rPr>
        <w:t>which national rules going beyond its minimum requirements and explain:</w:t>
      </w:r>
    </w:p>
    <w:p w14:paraId="1A095DF9" w14:textId="4F47D055" w:rsidR="00BA160A" w:rsidRPr="00722521" w:rsidRDefault="00BA160A" w:rsidP="00A903E6">
      <w:pPr>
        <w:mirrorIndents/>
        <w:rPr>
          <w:sz w:val="17"/>
          <w:szCs w:val="17"/>
        </w:rPr>
      </w:pPr>
    </w:p>
    <w:p w14:paraId="11102ED0" w14:textId="00EF15A3" w:rsidR="00526186" w:rsidRPr="00722521" w:rsidRDefault="003A1540" w:rsidP="00A903E6">
      <w:pPr>
        <w:mirrorIndents/>
        <w:rPr>
          <w:sz w:val="17"/>
          <w:szCs w:val="17"/>
        </w:rPr>
      </w:pPr>
      <w:r w:rsidRPr="00722521">
        <w:rPr>
          <w:sz w:val="17"/>
          <w:szCs w:val="17"/>
        </w:rPr>
        <w:t>N/A</w:t>
      </w:r>
    </w:p>
    <w:p w14:paraId="4CF2CEC5" w14:textId="77777777" w:rsidR="00526186" w:rsidRPr="00722521" w:rsidRDefault="00526186" w:rsidP="00A903E6">
      <w:pPr>
        <w:mirrorIndents/>
        <w:rPr>
          <w:sz w:val="17"/>
          <w:szCs w:val="17"/>
        </w:rPr>
      </w:pPr>
    </w:p>
    <w:p w14:paraId="7466EBF3" w14:textId="77777777"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Please provide examples of gold plating in the area of banking and explain:</w:t>
      </w:r>
    </w:p>
    <w:p w14:paraId="5EB0A836" w14:textId="218CF009" w:rsidR="00BA160A" w:rsidRPr="00722521" w:rsidRDefault="00BA160A" w:rsidP="00A903E6">
      <w:pPr>
        <w:mirrorIndents/>
        <w:rPr>
          <w:sz w:val="17"/>
          <w:szCs w:val="17"/>
        </w:rPr>
      </w:pPr>
    </w:p>
    <w:p w14:paraId="36E143CA" w14:textId="05CE867F" w:rsidR="00526186" w:rsidRPr="00722521" w:rsidRDefault="003A1540" w:rsidP="00A903E6">
      <w:pPr>
        <w:mirrorIndents/>
        <w:rPr>
          <w:sz w:val="17"/>
          <w:szCs w:val="17"/>
        </w:rPr>
      </w:pPr>
      <w:r w:rsidRPr="00722521">
        <w:rPr>
          <w:sz w:val="17"/>
          <w:szCs w:val="17"/>
        </w:rPr>
        <w:t>N/A</w:t>
      </w:r>
    </w:p>
    <w:p w14:paraId="5C19B430" w14:textId="77777777" w:rsidR="00526186" w:rsidRPr="00722521" w:rsidRDefault="00526186" w:rsidP="00A903E6">
      <w:pPr>
        <w:mirrorIndents/>
        <w:rPr>
          <w:sz w:val="17"/>
          <w:szCs w:val="17"/>
        </w:rPr>
      </w:pPr>
    </w:p>
    <w:p w14:paraId="3A321195" w14:textId="77777777" w:rsidR="00BA160A" w:rsidRPr="00722521" w:rsidRDefault="00BA160A" w:rsidP="00A903E6">
      <w:pPr>
        <w:mirrorIndents/>
        <w:rPr>
          <w:b/>
          <w:sz w:val="17"/>
          <w:szCs w:val="17"/>
        </w:rPr>
      </w:pPr>
      <w:r w:rsidRPr="00722521">
        <w:rPr>
          <w:b/>
          <w:w w:val="105"/>
          <w:sz w:val="17"/>
          <w:szCs w:val="17"/>
        </w:rPr>
        <w:t>Insurance</w:t>
      </w:r>
    </w:p>
    <w:p w14:paraId="6D3C403E" w14:textId="1491F8A2"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Please identify the relevant sectoral legislation in the area of</w:t>
      </w:r>
      <w:r w:rsidR="00526186" w:rsidRPr="00722521">
        <w:rPr>
          <w:rFonts w:ascii="Verdana" w:hAnsi="Verdana"/>
          <w:sz w:val="17"/>
          <w:szCs w:val="17"/>
          <w:highlight w:val="lightGray"/>
        </w:rPr>
        <w:t xml:space="preserve"> </w:t>
      </w:r>
      <w:r w:rsidRPr="00722521">
        <w:rPr>
          <w:rFonts w:ascii="Verdana" w:hAnsi="Verdana"/>
          <w:sz w:val="17"/>
          <w:szCs w:val="17"/>
          <w:highlight w:val="lightGray"/>
        </w:rPr>
        <w:t>Insurance</w:t>
      </w:r>
      <w:r w:rsidR="00526186" w:rsidRPr="00722521">
        <w:rPr>
          <w:rFonts w:ascii="Verdana" w:hAnsi="Verdana"/>
          <w:sz w:val="17"/>
          <w:szCs w:val="17"/>
          <w:highlight w:val="lightGray"/>
        </w:rPr>
        <w:t xml:space="preserve"> </w:t>
      </w:r>
      <w:r w:rsidRPr="00722521">
        <w:rPr>
          <w:rFonts w:ascii="Verdana" w:hAnsi="Verdana"/>
          <w:sz w:val="17"/>
          <w:szCs w:val="17"/>
          <w:highlight w:val="lightGray"/>
        </w:rPr>
        <w:t>for</w:t>
      </w:r>
      <w:r w:rsidR="00526186" w:rsidRPr="00722521">
        <w:rPr>
          <w:rFonts w:ascii="Verdana" w:hAnsi="Verdana"/>
          <w:sz w:val="17"/>
          <w:szCs w:val="17"/>
          <w:highlight w:val="lightGray"/>
        </w:rPr>
        <w:t xml:space="preserve"> </w:t>
      </w:r>
      <w:r w:rsidRPr="00722521">
        <w:rPr>
          <w:rFonts w:ascii="Verdana" w:hAnsi="Verdana"/>
          <w:sz w:val="17"/>
          <w:szCs w:val="17"/>
          <w:highlight w:val="lightGray"/>
        </w:rPr>
        <w:t>which national rules going beyond its minimum requirements and explain:</w:t>
      </w:r>
    </w:p>
    <w:p w14:paraId="39FD7EAC" w14:textId="68AF73D9" w:rsidR="00BA160A" w:rsidRPr="00722521" w:rsidRDefault="00BA160A" w:rsidP="00A903E6">
      <w:pPr>
        <w:mirrorIndents/>
        <w:rPr>
          <w:sz w:val="17"/>
          <w:szCs w:val="17"/>
        </w:rPr>
      </w:pPr>
    </w:p>
    <w:p w14:paraId="7C2D49B3" w14:textId="653B676D" w:rsidR="009F69D6" w:rsidRPr="00722521" w:rsidRDefault="009F69D6" w:rsidP="009F69D6">
      <w:pPr>
        <w:mirrorIndents/>
        <w:rPr>
          <w:sz w:val="17"/>
          <w:szCs w:val="17"/>
        </w:rPr>
      </w:pPr>
      <w:r w:rsidRPr="00722521">
        <w:rPr>
          <w:sz w:val="17"/>
          <w:szCs w:val="17"/>
        </w:rPr>
        <w:t>Solvency II Directive</w:t>
      </w:r>
    </w:p>
    <w:p w14:paraId="32FBAD78" w14:textId="4C0F1B36" w:rsidR="00DA78DF" w:rsidRPr="00722521" w:rsidRDefault="00DA78DF" w:rsidP="009F69D6">
      <w:pPr>
        <w:mirrorIndents/>
        <w:rPr>
          <w:sz w:val="17"/>
          <w:szCs w:val="17"/>
        </w:rPr>
      </w:pPr>
      <w:r w:rsidRPr="00722521">
        <w:rPr>
          <w:sz w:val="17"/>
          <w:szCs w:val="17"/>
        </w:rPr>
        <w:t>NIS Directive 2016/114</w:t>
      </w:r>
    </w:p>
    <w:p w14:paraId="7A93C459" w14:textId="196504AE" w:rsidR="00DA78DF" w:rsidRPr="00722521" w:rsidRDefault="00DA78DF" w:rsidP="009F69D6">
      <w:pPr>
        <w:mirrorIndents/>
        <w:rPr>
          <w:sz w:val="17"/>
          <w:szCs w:val="17"/>
        </w:rPr>
      </w:pPr>
      <w:r w:rsidRPr="00722521">
        <w:rPr>
          <w:sz w:val="17"/>
          <w:szCs w:val="17"/>
        </w:rPr>
        <w:t>AML Directives (2015/849 and 2005/60)</w:t>
      </w:r>
    </w:p>
    <w:p w14:paraId="015ECE77" w14:textId="77777777" w:rsidR="00526186" w:rsidRPr="00722521" w:rsidRDefault="00526186" w:rsidP="00A903E6">
      <w:pPr>
        <w:mirrorIndents/>
        <w:rPr>
          <w:sz w:val="17"/>
          <w:szCs w:val="17"/>
        </w:rPr>
      </w:pPr>
    </w:p>
    <w:p w14:paraId="4CF17250" w14:textId="77777777"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Please provide examples of gold plating in the area of Insurance and explain:</w:t>
      </w:r>
    </w:p>
    <w:p w14:paraId="38F033AA" w14:textId="2B6AAEE9" w:rsidR="00BA160A" w:rsidRPr="00722521" w:rsidRDefault="00BA160A" w:rsidP="00A903E6">
      <w:pPr>
        <w:mirrorIndents/>
        <w:rPr>
          <w:sz w:val="17"/>
          <w:szCs w:val="17"/>
        </w:rPr>
      </w:pPr>
    </w:p>
    <w:p w14:paraId="1F901F5F" w14:textId="5DD874B5" w:rsidR="00D114E8" w:rsidRPr="00722521" w:rsidRDefault="00D114E8" w:rsidP="00D114E8">
      <w:pPr>
        <w:mirrorIndents/>
        <w:rPr>
          <w:sz w:val="17"/>
          <w:szCs w:val="17"/>
        </w:rPr>
      </w:pPr>
      <w:r w:rsidRPr="00722521">
        <w:rPr>
          <w:sz w:val="17"/>
          <w:szCs w:val="17"/>
        </w:rPr>
        <w:t>On Solvency II, the Central Bank of Ireland (CBI) published new regulation which go beyond the current Solvency II Regime and present a significant burden for insurance undertakings authorised in Ireland. Ahead of the Solvency II review, the CBI is proposing regulation on pre-emptive recovery planning. While this is factually not subject to Solvency II, yet, and, therefore, does not constitute gold</w:t>
      </w:r>
      <w:r w:rsidR="00DA78DF" w:rsidRPr="00722521">
        <w:rPr>
          <w:sz w:val="17"/>
          <w:szCs w:val="17"/>
        </w:rPr>
        <w:t xml:space="preserve"> </w:t>
      </w:r>
      <w:r w:rsidRPr="00722521">
        <w:rPr>
          <w:sz w:val="17"/>
          <w:szCs w:val="17"/>
        </w:rPr>
        <w:t>plating, it pre-empts the legislative procedure on the review of Solvency II.</w:t>
      </w:r>
    </w:p>
    <w:p w14:paraId="77104498" w14:textId="77777777" w:rsidR="00D114E8" w:rsidRPr="00722521" w:rsidRDefault="00D114E8" w:rsidP="00D114E8">
      <w:pPr>
        <w:mirrorIndents/>
        <w:rPr>
          <w:sz w:val="17"/>
          <w:szCs w:val="17"/>
        </w:rPr>
      </w:pPr>
    </w:p>
    <w:p w14:paraId="46246731" w14:textId="77777777" w:rsidR="00D114E8" w:rsidRPr="00722521" w:rsidRDefault="00D114E8" w:rsidP="00D114E8">
      <w:pPr>
        <w:mirrorIndents/>
        <w:rPr>
          <w:sz w:val="17"/>
          <w:szCs w:val="17"/>
        </w:rPr>
      </w:pPr>
      <w:r w:rsidRPr="00722521">
        <w:rPr>
          <w:sz w:val="17"/>
          <w:szCs w:val="17"/>
        </w:rPr>
        <w:t>EIOPA’s Opinion on the Solvency II Review is based on an assessment of a long list of identified supervisory divergences. However, it appears that most divergences arise from gold-plating supervisory practices and not from a group of NCAs not adhering to the EU regulation. The Opinion on the Solvency II review is typical of the asymmetrical treatment of supervisory divergences, where convergence is always sought to be based on the most conservative practices. The Opinion is, in this regard, a tentative to have gold-plating supervisory practices recognised in the hard regulation.</w:t>
      </w:r>
    </w:p>
    <w:p w14:paraId="317A11AF" w14:textId="33052212" w:rsidR="00444504" w:rsidRPr="00722521" w:rsidRDefault="00444504" w:rsidP="00A903E6">
      <w:pPr>
        <w:mirrorIndents/>
        <w:rPr>
          <w:highlight w:val="yellow"/>
        </w:rPr>
      </w:pPr>
    </w:p>
    <w:p w14:paraId="480C6606" w14:textId="77777777" w:rsidR="00DA78DF" w:rsidRPr="00722521" w:rsidRDefault="00DA78DF" w:rsidP="00DA78DF">
      <w:pPr>
        <w:mirrorIndents/>
        <w:rPr>
          <w:sz w:val="17"/>
          <w:szCs w:val="17"/>
        </w:rPr>
      </w:pPr>
      <w:r w:rsidRPr="00722521">
        <w:rPr>
          <w:sz w:val="17"/>
          <w:szCs w:val="17"/>
        </w:rPr>
        <w:t>Cybersecurity rules: NIS Directive 2016/114: Even if the insurance sector was not identified at EU level as essential, French legislator decided to include it at French level during the implementation process leading to an unlevel playing field at EU level between insurance undertakings.</w:t>
      </w:r>
    </w:p>
    <w:p w14:paraId="1EB2C3AE" w14:textId="77777777" w:rsidR="00DA78DF" w:rsidRPr="00722521" w:rsidRDefault="00DA78DF" w:rsidP="00DA78DF">
      <w:pPr>
        <w:mirrorIndents/>
        <w:rPr>
          <w:sz w:val="17"/>
          <w:szCs w:val="17"/>
        </w:rPr>
      </w:pPr>
    </w:p>
    <w:p w14:paraId="4B09B956" w14:textId="13FB2394" w:rsidR="00DA78DF" w:rsidRPr="00722521" w:rsidRDefault="00DA78DF" w:rsidP="00DA78DF">
      <w:pPr>
        <w:mirrorIndents/>
        <w:rPr>
          <w:sz w:val="17"/>
          <w:szCs w:val="17"/>
        </w:rPr>
      </w:pPr>
      <w:r w:rsidRPr="00722521">
        <w:rPr>
          <w:sz w:val="17"/>
          <w:szCs w:val="17"/>
        </w:rPr>
        <w:t xml:space="preserve">AML Directives (2015/849 and 2005/60): French legislator decided to include </w:t>
      </w:r>
      <w:proofErr w:type="spellStart"/>
      <w:r w:rsidRPr="00722521">
        <w:rPr>
          <w:sz w:val="17"/>
          <w:szCs w:val="17"/>
        </w:rPr>
        <w:t>non life</w:t>
      </w:r>
      <w:proofErr w:type="spellEnd"/>
      <w:r w:rsidRPr="00722521">
        <w:rPr>
          <w:sz w:val="17"/>
          <w:szCs w:val="17"/>
        </w:rPr>
        <w:t xml:space="preserve"> insurance into the scope of the regulation even if EU directives only cover life insurance</w:t>
      </w:r>
      <w:r w:rsidR="00694CA7" w:rsidRPr="00722521">
        <w:rPr>
          <w:sz w:val="17"/>
          <w:szCs w:val="17"/>
        </w:rPr>
        <w:t xml:space="preserve">. German legislation captures any insurance undertaking granting money </w:t>
      </w:r>
      <w:proofErr w:type="spellStart"/>
      <w:r w:rsidR="00694CA7" w:rsidRPr="00722521">
        <w:rPr>
          <w:sz w:val="17"/>
          <w:szCs w:val="17"/>
        </w:rPr>
        <w:t>loeans</w:t>
      </w:r>
      <w:proofErr w:type="spellEnd"/>
      <w:r w:rsidR="00694CA7" w:rsidRPr="00722521">
        <w:rPr>
          <w:sz w:val="17"/>
          <w:szCs w:val="17"/>
        </w:rPr>
        <w:t>.</w:t>
      </w:r>
    </w:p>
    <w:p w14:paraId="6B42D4FD" w14:textId="77777777" w:rsidR="00444504" w:rsidRPr="00722521" w:rsidRDefault="00444504" w:rsidP="00A903E6">
      <w:pPr>
        <w:mirrorIndents/>
        <w:rPr>
          <w:sz w:val="17"/>
          <w:szCs w:val="17"/>
        </w:rPr>
      </w:pPr>
    </w:p>
    <w:p w14:paraId="71FAD87F" w14:textId="77777777" w:rsidR="00BA160A" w:rsidRPr="00722521" w:rsidRDefault="00BA160A" w:rsidP="00A903E6">
      <w:pPr>
        <w:mirrorIndents/>
        <w:rPr>
          <w:b/>
          <w:sz w:val="17"/>
          <w:szCs w:val="17"/>
        </w:rPr>
      </w:pPr>
      <w:r w:rsidRPr="00722521">
        <w:rPr>
          <w:b/>
          <w:sz w:val="17"/>
          <w:szCs w:val="17"/>
        </w:rPr>
        <w:t>Asset</w:t>
      </w:r>
      <w:r w:rsidRPr="00722521">
        <w:rPr>
          <w:b/>
          <w:spacing w:val="54"/>
          <w:sz w:val="17"/>
          <w:szCs w:val="17"/>
        </w:rPr>
        <w:t xml:space="preserve"> </w:t>
      </w:r>
      <w:r w:rsidRPr="00722521">
        <w:rPr>
          <w:b/>
          <w:sz w:val="17"/>
          <w:szCs w:val="17"/>
        </w:rPr>
        <w:t>management</w:t>
      </w:r>
    </w:p>
    <w:p w14:paraId="36A99A0F" w14:textId="15D850B6"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Please identify the relevant sectoral legislation in the area of Asset</w:t>
      </w:r>
      <w:r w:rsidR="00526186" w:rsidRPr="00722521">
        <w:rPr>
          <w:rFonts w:ascii="Verdana" w:hAnsi="Verdana"/>
          <w:sz w:val="17"/>
          <w:szCs w:val="17"/>
          <w:highlight w:val="lightGray"/>
        </w:rPr>
        <w:t xml:space="preserve"> </w:t>
      </w:r>
      <w:r w:rsidRPr="00722521">
        <w:rPr>
          <w:rFonts w:ascii="Verdana" w:hAnsi="Verdana"/>
          <w:spacing w:val="5"/>
          <w:sz w:val="17"/>
          <w:szCs w:val="17"/>
          <w:highlight w:val="lightGray"/>
        </w:rPr>
        <w:t>management</w:t>
      </w:r>
      <w:r w:rsidR="00526186" w:rsidRPr="00722521">
        <w:rPr>
          <w:rFonts w:ascii="Verdana" w:hAnsi="Verdana"/>
          <w:spacing w:val="5"/>
          <w:sz w:val="17"/>
          <w:szCs w:val="17"/>
          <w:highlight w:val="lightGray"/>
        </w:rPr>
        <w:t xml:space="preserve"> </w:t>
      </w:r>
      <w:r w:rsidRPr="00722521">
        <w:rPr>
          <w:rFonts w:ascii="Verdana" w:hAnsi="Verdana"/>
          <w:spacing w:val="4"/>
          <w:sz w:val="17"/>
          <w:szCs w:val="17"/>
          <w:highlight w:val="lightGray"/>
        </w:rPr>
        <w:t>for</w:t>
      </w:r>
      <w:r w:rsidR="00526186" w:rsidRPr="00722521">
        <w:rPr>
          <w:rFonts w:ascii="Verdana" w:hAnsi="Verdana"/>
          <w:spacing w:val="4"/>
          <w:sz w:val="17"/>
          <w:szCs w:val="17"/>
          <w:highlight w:val="lightGray"/>
        </w:rPr>
        <w:t xml:space="preserve"> </w:t>
      </w:r>
      <w:r w:rsidRPr="00722521">
        <w:rPr>
          <w:rFonts w:ascii="Verdana" w:hAnsi="Verdana"/>
          <w:spacing w:val="4"/>
          <w:sz w:val="17"/>
          <w:szCs w:val="17"/>
          <w:highlight w:val="lightGray"/>
        </w:rPr>
        <w:t>which</w:t>
      </w:r>
      <w:r w:rsidR="00526186" w:rsidRPr="00722521">
        <w:rPr>
          <w:rFonts w:ascii="Verdana" w:hAnsi="Verdana"/>
          <w:spacing w:val="4"/>
          <w:sz w:val="17"/>
          <w:szCs w:val="17"/>
          <w:highlight w:val="lightGray"/>
        </w:rPr>
        <w:t xml:space="preserve"> </w:t>
      </w:r>
      <w:r w:rsidRPr="00722521">
        <w:rPr>
          <w:rFonts w:ascii="Verdana" w:hAnsi="Verdana"/>
          <w:spacing w:val="5"/>
          <w:sz w:val="17"/>
          <w:szCs w:val="17"/>
          <w:highlight w:val="lightGray"/>
        </w:rPr>
        <w:t>national</w:t>
      </w:r>
      <w:r w:rsidR="00526186" w:rsidRPr="00722521">
        <w:rPr>
          <w:rFonts w:ascii="Verdana" w:hAnsi="Verdana"/>
          <w:spacing w:val="5"/>
          <w:sz w:val="17"/>
          <w:szCs w:val="17"/>
          <w:highlight w:val="lightGray"/>
        </w:rPr>
        <w:t xml:space="preserve"> </w:t>
      </w:r>
      <w:r w:rsidRPr="00722521">
        <w:rPr>
          <w:rFonts w:ascii="Verdana" w:hAnsi="Verdana"/>
          <w:spacing w:val="4"/>
          <w:sz w:val="17"/>
          <w:szCs w:val="17"/>
          <w:highlight w:val="lightGray"/>
        </w:rPr>
        <w:t>rules</w:t>
      </w:r>
      <w:r w:rsidR="00526186" w:rsidRPr="00722521">
        <w:rPr>
          <w:rFonts w:ascii="Verdana" w:hAnsi="Verdana"/>
          <w:spacing w:val="4"/>
          <w:sz w:val="17"/>
          <w:szCs w:val="17"/>
          <w:highlight w:val="lightGray"/>
        </w:rPr>
        <w:t xml:space="preserve"> </w:t>
      </w:r>
      <w:r w:rsidRPr="00722521">
        <w:rPr>
          <w:rFonts w:ascii="Verdana" w:hAnsi="Verdana"/>
          <w:spacing w:val="4"/>
          <w:sz w:val="17"/>
          <w:szCs w:val="17"/>
          <w:highlight w:val="lightGray"/>
        </w:rPr>
        <w:t>going</w:t>
      </w:r>
      <w:r w:rsidR="00526186" w:rsidRPr="00722521">
        <w:rPr>
          <w:rFonts w:ascii="Verdana" w:hAnsi="Verdana"/>
          <w:spacing w:val="4"/>
          <w:sz w:val="17"/>
          <w:szCs w:val="17"/>
          <w:highlight w:val="lightGray"/>
        </w:rPr>
        <w:t xml:space="preserve"> </w:t>
      </w:r>
      <w:r w:rsidRPr="00722521">
        <w:rPr>
          <w:rFonts w:ascii="Verdana" w:hAnsi="Verdana"/>
          <w:spacing w:val="5"/>
          <w:sz w:val="17"/>
          <w:szCs w:val="17"/>
          <w:highlight w:val="lightGray"/>
        </w:rPr>
        <w:t>beyond</w:t>
      </w:r>
      <w:r w:rsidR="00526186" w:rsidRPr="00722521">
        <w:rPr>
          <w:rFonts w:ascii="Verdana" w:hAnsi="Verdana"/>
          <w:spacing w:val="5"/>
          <w:sz w:val="17"/>
          <w:szCs w:val="17"/>
          <w:highlight w:val="lightGray"/>
        </w:rPr>
        <w:t xml:space="preserve"> </w:t>
      </w:r>
      <w:r w:rsidRPr="00722521">
        <w:rPr>
          <w:rFonts w:ascii="Verdana" w:hAnsi="Verdana"/>
          <w:spacing w:val="4"/>
          <w:sz w:val="17"/>
          <w:szCs w:val="17"/>
          <w:highlight w:val="lightGray"/>
        </w:rPr>
        <w:t>its</w:t>
      </w:r>
      <w:r w:rsidR="00526186" w:rsidRPr="00722521">
        <w:rPr>
          <w:rFonts w:ascii="Verdana" w:hAnsi="Verdana"/>
          <w:spacing w:val="4"/>
          <w:sz w:val="17"/>
          <w:szCs w:val="17"/>
          <w:highlight w:val="lightGray"/>
        </w:rPr>
        <w:t xml:space="preserve"> </w:t>
      </w:r>
      <w:r w:rsidRPr="00722521">
        <w:rPr>
          <w:rFonts w:ascii="Verdana" w:hAnsi="Verdana"/>
          <w:spacing w:val="5"/>
          <w:sz w:val="17"/>
          <w:szCs w:val="17"/>
          <w:highlight w:val="lightGray"/>
        </w:rPr>
        <w:t>minimum</w:t>
      </w:r>
      <w:r w:rsidR="00526186" w:rsidRPr="00722521">
        <w:rPr>
          <w:rFonts w:ascii="Verdana" w:hAnsi="Verdana"/>
          <w:spacing w:val="5"/>
          <w:sz w:val="17"/>
          <w:szCs w:val="17"/>
          <w:highlight w:val="lightGray"/>
        </w:rPr>
        <w:t xml:space="preserve"> </w:t>
      </w:r>
      <w:r w:rsidRPr="00722521">
        <w:rPr>
          <w:rFonts w:ascii="Verdana" w:hAnsi="Verdana"/>
          <w:sz w:val="17"/>
          <w:szCs w:val="17"/>
          <w:highlight w:val="lightGray"/>
        </w:rPr>
        <w:t>requirements and explain:</w:t>
      </w:r>
    </w:p>
    <w:p w14:paraId="458EEEEC" w14:textId="7C93C56C" w:rsidR="00BA160A" w:rsidRPr="00722521" w:rsidRDefault="00BA160A" w:rsidP="00A903E6">
      <w:pPr>
        <w:mirrorIndents/>
        <w:rPr>
          <w:sz w:val="17"/>
          <w:szCs w:val="17"/>
        </w:rPr>
      </w:pPr>
    </w:p>
    <w:p w14:paraId="2088E8F8" w14:textId="77777777" w:rsidR="00C80B7F" w:rsidRPr="00722521" w:rsidRDefault="00C80B7F" w:rsidP="00C80B7F">
      <w:pPr>
        <w:mirrorIndents/>
        <w:rPr>
          <w:sz w:val="17"/>
          <w:szCs w:val="17"/>
          <w:lang w:val="en-US"/>
        </w:rPr>
      </w:pPr>
      <w:r w:rsidRPr="00722521">
        <w:rPr>
          <w:sz w:val="17"/>
          <w:szCs w:val="17"/>
          <w:lang w:val="en-US"/>
        </w:rPr>
        <w:t>N/A</w:t>
      </w:r>
    </w:p>
    <w:p w14:paraId="66C1D116" w14:textId="77777777" w:rsidR="00526186" w:rsidRPr="00722521" w:rsidRDefault="00526186" w:rsidP="00A903E6">
      <w:pPr>
        <w:mirrorIndents/>
        <w:rPr>
          <w:sz w:val="17"/>
          <w:szCs w:val="17"/>
        </w:rPr>
      </w:pPr>
    </w:p>
    <w:p w14:paraId="1770B49F"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lastRenderedPageBreak/>
        <w:t>Please provide examples of gold plating in the area of Asset management and explain:</w:t>
      </w:r>
    </w:p>
    <w:p w14:paraId="7D29EA87" w14:textId="0B29139D" w:rsidR="00BA160A" w:rsidRPr="00722521" w:rsidRDefault="00BA160A" w:rsidP="00A903E6">
      <w:pPr>
        <w:mirrorIndents/>
        <w:rPr>
          <w:sz w:val="17"/>
          <w:szCs w:val="17"/>
        </w:rPr>
      </w:pPr>
    </w:p>
    <w:p w14:paraId="41E2222F" w14:textId="54BEFE55" w:rsidR="00526186" w:rsidRPr="00722521" w:rsidRDefault="003A1540" w:rsidP="00A903E6">
      <w:pPr>
        <w:mirrorIndents/>
        <w:rPr>
          <w:sz w:val="17"/>
          <w:szCs w:val="17"/>
          <w:lang w:val="en-US"/>
        </w:rPr>
      </w:pPr>
      <w:r w:rsidRPr="00722521">
        <w:rPr>
          <w:sz w:val="17"/>
          <w:szCs w:val="17"/>
          <w:lang w:val="en-US"/>
        </w:rPr>
        <w:t>N/A</w:t>
      </w:r>
    </w:p>
    <w:p w14:paraId="5AF4F20B" w14:textId="77777777" w:rsidR="00526186" w:rsidRPr="00722521" w:rsidRDefault="00526186" w:rsidP="00A903E6">
      <w:pPr>
        <w:mirrorIndents/>
        <w:rPr>
          <w:sz w:val="17"/>
          <w:szCs w:val="17"/>
          <w:lang w:val="en-US"/>
        </w:rPr>
      </w:pPr>
    </w:p>
    <w:p w14:paraId="4C173D65" w14:textId="77777777" w:rsidR="00BA160A" w:rsidRPr="00722521" w:rsidRDefault="00BA160A" w:rsidP="00A903E6">
      <w:pPr>
        <w:mirrorIndents/>
        <w:rPr>
          <w:b/>
          <w:sz w:val="17"/>
          <w:szCs w:val="17"/>
          <w:lang w:val="en-US"/>
        </w:rPr>
      </w:pPr>
      <w:r w:rsidRPr="00722521">
        <w:rPr>
          <w:b/>
          <w:w w:val="105"/>
          <w:sz w:val="17"/>
          <w:szCs w:val="17"/>
          <w:lang w:val="en-US"/>
        </w:rPr>
        <w:t>Market infrastructure (CCPs, CSDs)</w:t>
      </w:r>
    </w:p>
    <w:p w14:paraId="58DFA712" w14:textId="3A1F7107" w:rsidR="00BA160A" w:rsidRPr="00722521" w:rsidRDefault="00BA160A" w:rsidP="001A1012">
      <w:pPr>
        <w:pStyle w:val="Textkrper"/>
        <w:ind w:left="0"/>
        <w:mirrorIndents/>
        <w:rPr>
          <w:rFonts w:ascii="Verdana" w:hAnsi="Verdana"/>
          <w:sz w:val="17"/>
          <w:szCs w:val="17"/>
        </w:rPr>
      </w:pPr>
      <w:r w:rsidRPr="00722521">
        <w:rPr>
          <w:rFonts w:ascii="Verdana" w:hAnsi="Verdana"/>
          <w:spacing w:val="3"/>
          <w:sz w:val="17"/>
          <w:szCs w:val="17"/>
          <w:highlight w:val="lightGray"/>
        </w:rPr>
        <w:t xml:space="preserve">Please identify </w:t>
      </w:r>
      <w:r w:rsidRPr="00722521">
        <w:rPr>
          <w:rFonts w:ascii="Verdana" w:hAnsi="Verdana"/>
          <w:spacing w:val="2"/>
          <w:sz w:val="17"/>
          <w:szCs w:val="17"/>
          <w:highlight w:val="lightGray"/>
        </w:rPr>
        <w:t xml:space="preserve">the </w:t>
      </w:r>
      <w:r w:rsidRPr="00722521">
        <w:rPr>
          <w:rFonts w:ascii="Verdana" w:hAnsi="Verdana"/>
          <w:spacing w:val="3"/>
          <w:sz w:val="17"/>
          <w:szCs w:val="17"/>
          <w:highlight w:val="lightGray"/>
        </w:rPr>
        <w:t xml:space="preserve">relevant sectoral legislation </w:t>
      </w:r>
      <w:r w:rsidRPr="00722521">
        <w:rPr>
          <w:rFonts w:ascii="Verdana" w:hAnsi="Verdana"/>
          <w:sz w:val="17"/>
          <w:szCs w:val="17"/>
          <w:highlight w:val="lightGray"/>
        </w:rPr>
        <w:t xml:space="preserve">in </w:t>
      </w:r>
      <w:r w:rsidRPr="00722521">
        <w:rPr>
          <w:rFonts w:ascii="Verdana" w:hAnsi="Verdana"/>
          <w:spacing w:val="2"/>
          <w:sz w:val="17"/>
          <w:szCs w:val="17"/>
          <w:highlight w:val="lightGray"/>
        </w:rPr>
        <w:t xml:space="preserve">the </w:t>
      </w:r>
      <w:r w:rsidRPr="00722521">
        <w:rPr>
          <w:rFonts w:ascii="Verdana" w:hAnsi="Verdana"/>
          <w:spacing w:val="3"/>
          <w:sz w:val="17"/>
          <w:szCs w:val="17"/>
          <w:highlight w:val="lightGray"/>
        </w:rPr>
        <w:t xml:space="preserve">area </w:t>
      </w:r>
      <w:r w:rsidRPr="00722521">
        <w:rPr>
          <w:rFonts w:ascii="Verdana" w:hAnsi="Verdana"/>
          <w:sz w:val="17"/>
          <w:szCs w:val="17"/>
          <w:highlight w:val="lightGray"/>
        </w:rPr>
        <w:t xml:space="preserve">of </w:t>
      </w:r>
      <w:r w:rsidRPr="00722521">
        <w:rPr>
          <w:rFonts w:ascii="Verdana" w:hAnsi="Verdana"/>
          <w:spacing w:val="3"/>
          <w:sz w:val="17"/>
          <w:szCs w:val="17"/>
          <w:highlight w:val="lightGray"/>
        </w:rPr>
        <w:t>Market</w:t>
      </w:r>
      <w:r w:rsidR="00526186" w:rsidRPr="00722521">
        <w:rPr>
          <w:rFonts w:ascii="Verdana" w:hAnsi="Verdana"/>
          <w:spacing w:val="3"/>
          <w:sz w:val="17"/>
          <w:szCs w:val="17"/>
          <w:highlight w:val="lightGray"/>
        </w:rPr>
        <w:t xml:space="preserve"> </w:t>
      </w:r>
      <w:r w:rsidRPr="00722521">
        <w:rPr>
          <w:rFonts w:ascii="Verdana" w:hAnsi="Verdana"/>
          <w:spacing w:val="4"/>
          <w:sz w:val="17"/>
          <w:szCs w:val="17"/>
          <w:highlight w:val="lightGray"/>
        </w:rPr>
        <w:t>infrastructure</w:t>
      </w:r>
      <w:r w:rsidR="00526186" w:rsidRPr="00722521">
        <w:rPr>
          <w:rFonts w:ascii="Verdana" w:hAnsi="Verdana"/>
          <w:spacing w:val="4"/>
          <w:sz w:val="17"/>
          <w:szCs w:val="17"/>
          <w:highlight w:val="lightGray"/>
        </w:rPr>
        <w:t xml:space="preserve"> </w:t>
      </w:r>
      <w:r w:rsidRPr="00722521">
        <w:rPr>
          <w:rFonts w:ascii="Verdana" w:hAnsi="Verdana"/>
          <w:spacing w:val="3"/>
          <w:sz w:val="17"/>
          <w:szCs w:val="17"/>
          <w:highlight w:val="lightGray"/>
        </w:rPr>
        <w:t>for</w:t>
      </w:r>
      <w:r w:rsidR="00526186" w:rsidRPr="00722521">
        <w:rPr>
          <w:rFonts w:ascii="Verdana" w:hAnsi="Verdana"/>
          <w:spacing w:val="3"/>
          <w:sz w:val="17"/>
          <w:szCs w:val="17"/>
          <w:highlight w:val="lightGray"/>
        </w:rPr>
        <w:t xml:space="preserve"> </w:t>
      </w:r>
      <w:r w:rsidRPr="00722521">
        <w:rPr>
          <w:rFonts w:ascii="Verdana" w:hAnsi="Verdana"/>
          <w:spacing w:val="4"/>
          <w:sz w:val="17"/>
          <w:szCs w:val="17"/>
          <w:highlight w:val="lightGray"/>
        </w:rPr>
        <w:t>which</w:t>
      </w:r>
      <w:r w:rsidR="00526186" w:rsidRPr="00722521">
        <w:rPr>
          <w:rFonts w:ascii="Verdana" w:hAnsi="Verdana"/>
          <w:spacing w:val="4"/>
          <w:sz w:val="17"/>
          <w:szCs w:val="17"/>
          <w:highlight w:val="lightGray"/>
        </w:rPr>
        <w:t xml:space="preserve"> </w:t>
      </w:r>
      <w:r w:rsidRPr="00722521">
        <w:rPr>
          <w:rFonts w:ascii="Verdana" w:hAnsi="Verdana"/>
          <w:spacing w:val="4"/>
          <w:sz w:val="17"/>
          <w:szCs w:val="17"/>
          <w:highlight w:val="lightGray"/>
        </w:rPr>
        <w:t>national</w:t>
      </w:r>
      <w:r w:rsidR="00526186" w:rsidRPr="00722521">
        <w:rPr>
          <w:rFonts w:ascii="Verdana" w:hAnsi="Verdana"/>
          <w:spacing w:val="4"/>
          <w:sz w:val="17"/>
          <w:szCs w:val="17"/>
          <w:highlight w:val="lightGray"/>
        </w:rPr>
        <w:t xml:space="preserve"> </w:t>
      </w:r>
      <w:r w:rsidRPr="00722521">
        <w:rPr>
          <w:rFonts w:ascii="Verdana" w:hAnsi="Verdana"/>
          <w:spacing w:val="4"/>
          <w:sz w:val="17"/>
          <w:szCs w:val="17"/>
          <w:highlight w:val="lightGray"/>
        </w:rPr>
        <w:t>rules</w:t>
      </w:r>
      <w:r w:rsidR="00526186" w:rsidRPr="00722521">
        <w:rPr>
          <w:rFonts w:ascii="Verdana" w:hAnsi="Verdana"/>
          <w:spacing w:val="4"/>
          <w:sz w:val="17"/>
          <w:szCs w:val="17"/>
          <w:highlight w:val="lightGray"/>
        </w:rPr>
        <w:t xml:space="preserve"> </w:t>
      </w:r>
      <w:r w:rsidRPr="00722521">
        <w:rPr>
          <w:rFonts w:ascii="Verdana" w:hAnsi="Verdana"/>
          <w:spacing w:val="4"/>
          <w:sz w:val="17"/>
          <w:szCs w:val="17"/>
          <w:highlight w:val="lightGray"/>
        </w:rPr>
        <w:t>going</w:t>
      </w:r>
      <w:r w:rsidR="00526186" w:rsidRPr="00722521">
        <w:rPr>
          <w:rFonts w:ascii="Verdana" w:hAnsi="Verdana"/>
          <w:spacing w:val="4"/>
          <w:sz w:val="17"/>
          <w:szCs w:val="17"/>
          <w:highlight w:val="lightGray"/>
        </w:rPr>
        <w:t xml:space="preserve"> </w:t>
      </w:r>
      <w:r w:rsidRPr="00722521">
        <w:rPr>
          <w:rFonts w:ascii="Verdana" w:hAnsi="Verdana"/>
          <w:spacing w:val="4"/>
          <w:sz w:val="17"/>
          <w:szCs w:val="17"/>
          <w:highlight w:val="lightGray"/>
        </w:rPr>
        <w:t>beyond</w:t>
      </w:r>
      <w:r w:rsidR="00526186" w:rsidRPr="00722521">
        <w:rPr>
          <w:rFonts w:ascii="Verdana" w:hAnsi="Verdana"/>
          <w:spacing w:val="4"/>
          <w:sz w:val="17"/>
          <w:szCs w:val="17"/>
          <w:highlight w:val="lightGray"/>
        </w:rPr>
        <w:t xml:space="preserve"> </w:t>
      </w:r>
      <w:r w:rsidRPr="00722521">
        <w:rPr>
          <w:rFonts w:ascii="Verdana" w:hAnsi="Verdana"/>
          <w:spacing w:val="3"/>
          <w:sz w:val="17"/>
          <w:szCs w:val="17"/>
          <w:highlight w:val="lightGray"/>
        </w:rPr>
        <w:t>its</w:t>
      </w:r>
      <w:r w:rsidR="00526186" w:rsidRPr="00722521">
        <w:rPr>
          <w:rFonts w:ascii="Verdana" w:hAnsi="Verdana"/>
          <w:spacing w:val="3"/>
          <w:sz w:val="17"/>
          <w:szCs w:val="17"/>
          <w:highlight w:val="lightGray"/>
        </w:rPr>
        <w:t xml:space="preserve"> </w:t>
      </w:r>
      <w:r w:rsidRPr="00722521">
        <w:rPr>
          <w:rFonts w:ascii="Verdana" w:hAnsi="Verdana"/>
          <w:spacing w:val="4"/>
          <w:sz w:val="17"/>
          <w:szCs w:val="17"/>
          <w:highlight w:val="lightGray"/>
        </w:rPr>
        <w:t>minimum</w:t>
      </w:r>
      <w:r w:rsidR="00526186" w:rsidRPr="00722521">
        <w:rPr>
          <w:rFonts w:ascii="Verdana" w:hAnsi="Verdana"/>
          <w:spacing w:val="4"/>
          <w:sz w:val="17"/>
          <w:szCs w:val="17"/>
          <w:highlight w:val="lightGray"/>
        </w:rPr>
        <w:t xml:space="preserve"> </w:t>
      </w:r>
      <w:r w:rsidRPr="00722521">
        <w:rPr>
          <w:rFonts w:ascii="Verdana" w:hAnsi="Verdana"/>
          <w:sz w:val="17"/>
          <w:szCs w:val="17"/>
          <w:highlight w:val="lightGray"/>
        </w:rPr>
        <w:t>requirements and explain:</w:t>
      </w:r>
    </w:p>
    <w:p w14:paraId="0B72BE94" w14:textId="3527540C" w:rsidR="00BA160A" w:rsidRPr="00722521" w:rsidRDefault="00BA160A" w:rsidP="00A903E6">
      <w:pPr>
        <w:mirrorIndents/>
        <w:rPr>
          <w:sz w:val="17"/>
          <w:szCs w:val="17"/>
        </w:rPr>
      </w:pPr>
    </w:p>
    <w:p w14:paraId="40D02A58" w14:textId="4DD570FB" w:rsidR="00526186" w:rsidRPr="00722521" w:rsidRDefault="003A1540" w:rsidP="00A903E6">
      <w:pPr>
        <w:mirrorIndents/>
        <w:rPr>
          <w:sz w:val="17"/>
          <w:szCs w:val="17"/>
        </w:rPr>
      </w:pPr>
      <w:r w:rsidRPr="00722521">
        <w:rPr>
          <w:sz w:val="17"/>
          <w:szCs w:val="17"/>
        </w:rPr>
        <w:t>N/A</w:t>
      </w:r>
    </w:p>
    <w:p w14:paraId="175A9994" w14:textId="77777777" w:rsidR="00526186" w:rsidRPr="00722521" w:rsidRDefault="00526186" w:rsidP="00A903E6">
      <w:pPr>
        <w:mirrorIndents/>
        <w:rPr>
          <w:sz w:val="17"/>
          <w:szCs w:val="17"/>
        </w:rPr>
      </w:pPr>
    </w:p>
    <w:p w14:paraId="4C05E990"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provide examples of gold plating in the area of Market infrastructure and explain:</w:t>
      </w:r>
    </w:p>
    <w:p w14:paraId="432D8B60" w14:textId="105C36C3" w:rsidR="00BA160A" w:rsidRPr="00722521" w:rsidRDefault="00BA160A" w:rsidP="00A903E6">
      <w:pPr>
        <w:mirrorIndents/>
        <w:rPr>
          <w:sz w:val="17"/>
          <w:szCs w:val="17"/>
        </w:rPr>
      </w:pPr>
    </w:p>
    <w:p w14:paraId="3CAD87B2" w14:textId="4036E0BE" w:rsidR="003A1540" w:rsidRPr="00722521" w:rsidRDefault="003A1540" w:rsidP="00A903E6">
      <w:pPr>
        <w:mirrorIndents/>
        <w:rPr>
          <w:sz w:val="17"/>
          <w:szCs w:val="17"/>
        </w:rPr>
      </w:pPr>
      <w:r w:rsidRPr="00722521">
        <w:rPr>
          <w:sz w:val="17"/>
          <w:szCs w:val="17"/>
        </w:rPr>
        <w:t>N/A</w:t>
      </w:r>
    </w:p>
    <w:p w14:paraId="2322F4BF" w14:textId="77777777" w:rsidR="00526186" w:rsidRPr="00722521" w:rsidRDefault="00526186" w:rsidP="00A903E6">
      <w:pPr>
        <w:mirrorIndents/>
        <w:rPr>
          <w:sz w:val="17"/>
          <w:szCs w:val="17"/>
        </w:rPr>
      </w:pPr>
    </w:p>
    <w:p w14:paraId="4548ABFB" w14:textId="34990B68" w:rsidR="00BA160A" w:rsidRPr="00722521" w:rsidRDefault="00BA160A" w:rsidP="00A903E6">
      <w:pPr>
        <w:mirrorIndents/>
        <w:rPr>
          <w:b/>
          <w:sz w:val="17"/>
          <w:szCs w:val="17"/>
        </w:rPr>
      </w:pPr>
      <w:r w:rsidRPr="00722521">
        <w:rPr>
          <w:b/>
          <w:w w:val="105"/>
          <w:sz w:val="17"/>
          <w:szCs w:val="17"/>
        </w:rPr>
        <w:t>Market organisation</w:t>
      </w:r>
      <w:r w:rsidR="00526186" w:rsidRPr="00722521">
        <w:rPr>
          <w:b/>
          <w:w w:val="105"/>
          <w:sz w:val="17"/>
          <w:szCs w:val="17"/>
        </w:rPr>
        <w:t xml:space="preserve"> </w:t>
      </w:r>
      <w:r w:rsidRPr="00722521">
        <w:rPr>
          <w:b/>
          <w:w w:val="105"/>
          <w:sz w:val="17"/>
          <w:szCs w:val="17"/>
        </w:rPr>
        <w:t>(MiFID, MIFIR, MAR)</w:t>
      </w:r>
    </w:p>
    <w:p w14:paraId="7EAB849C" w14:textId="08295816" w:rsidR="00BA160A" w:rsidRPr="00722521" w:rsidRDefault="00BA160A" w:rsidP="001A1012">
      <w:pPr>
        <w:pStyle w:val="Textkrper"/>
        <w:ind w:left="0"/>
        <w:mirrorIndents/>
        <w:rPr>
          <w:rFonts w:ascii="Verdana" w:hAnsi="Verdana"/>
          <w:sz w:val="17"/>
          <w:szCs w:val="17"/>
        </w:rPr>
      </w:pPr>
      <w:r w:rsidRPr="00722521">
        <w:rPr>
          <w:rFonts w:ascii="Verdana" w:hAnsi="Verdana"/>
          <w:spacing w:val="3"/>
          <w:sz w:val="17"/>
          <w:szCs w:val="17"/>
          <w:highlight w:val="lightGray"/>
        </w:rPr>
        <w:t xml:space="preserve">Please </w:t>
      </w:r>
      <w:r w:rsidR="00526186" w:rsidRPr="00722521">
        <w:rPr>
          <w:rFonts w:ascii="Verdana" w:hAnsi="Verdana"/>
          <w:spacing w:val="3"/>
          <w:sz w:val="17"/>
          <w:szCs w:val="17"/>
          <w:highlight w:val="lightGray"/>
        </w:rPr>
        <w:t>identify the</w:t>
      </w:r>
      <w:r w:rsidRPr="00722521">
        <w:rPr>
          <w:rFonts w:ascii="Verdana" w:hAnsi="Verdana"/>
          <w:spacing w:val="2"/>
          <w:sz w:val="17"/>
          <w:szCs w:val="17"/>
          <w:highlight w:val="lightGray"/>
        </w:rPr>
        <w:t xml:space="preserve"> </w:t>
      </w:r>
      <w:r w:rsidRPr="00722521">
        <w:rPr>
          <w:rFonts w:ascii="Verdana" w:hAnsi="Verdana"/>
          <w:spacing w:val="3"/>
          <w:sz w:val="17"/>
          <w:szCs w:val="17"/>
          <w:highlight w:val="lightGray"/>
        </w:rPr>
        <w:t xml:space="preserve">relevant sectoral </w:t>
      </w:r>
      <w:r w:rsidR="00526186" w:rsidRPr="00722521">
        <w:rPr>
          <w:rFonts w:ascii="Verdana" w:hAnsi="Verdana"/>
          <w:spacing w:val="3"/>
          <w:sz w:val="17"/>
          <w:szCs w:val="17"/>
          <w:highlight w:val="lightGray"/>
        </w:rPr>
        <w:t>l</w:t>
      </w:r>
      <w:r w:rsidRPr="00722521">
        <w:rPr>
          <w:rFonts w:ascii="Verdana" w:hAnsi="Verdana"/>
          <w:spacing w:val="3"/>
          <w:sz w:val="17"/>
          <w:szCs w:val="17"/>
          <w:highlight w:val="lightGray"/>
        </w:rPr>
        <w:t>egislation</w:t>
      </w:r>
      <w:r w:rsidR="00526186" w:rsidRPr="00722521">
        <w:rPr>
          <w:rFonts w:ascii="Verdana" w:hAnsi="Verdana"/>
          <w:spacing w:val="3"/>
          <w:sz w:val="17"/>
          <w:szCs w:val="17"/>
          <w:highlight w:val="lightGray"/>
        </w:rPr>
        <w:t xml:space="preserve"> </w:t>
      </w:r>
      <w:r w:rsidRPr="00722521">
        <w:rPr>
          <w:rFonts w:ascii="Verdana" w:hAnsi="Verdana"/>
          <w:sz w:val="17"/>
          <w:szCs w:val="17"/>
          <w:highlight w:val="lightGray"/>
        </w:rPr>
        <w:t xml:space="preserve">in </w:t>
      </w:r>
      <w:r w:rsidRPr="00722521">
        <w:rPr>
          <w:rFonts w:ascii="Verdana" w:hAnsi="Verdana"/>
          <w:spacing w:val="2"/>
          <w:sz w:val="17"/>
          <w:szCs w:val="17"/>
          <w:highlight w:val="lightGray"/>
        </w:rPr>
        <w:t xml:space="preserve">the </w:t>
      </w:r>
      <w:r w:rsidRPr="00722521">
        <w:rPr>
          <w:rFonts w:ascii="Verdana" w:hAnsi="Verdana"/>
          <w:spacing w:val="3"/>
          <w:sz w:val="17"/>
          <w:szCs w:val="17"/>
          <w:highlight w:val="lightGray"/>
        </w:rPr>
        <w:t xml:space="preserve">area </w:t>
      </w:r>
      <w:r w:rsidRPr="00722521">
        <w:rPr>
          <w:rFonts w:ascii="Verdana" w:hAnsi="Verdana"/>
          <w:sz w:val="17"/>
          <w:szCs w:val="17"/>
          <w:highlight w:val="lightGray"/>
        </w:rPr>
        <w:t xml:space="preserve">of </w:t>
      </w:r>
      <w:r w:rsidRPr="00722521">
        <w:rPr>
          <w:rFonts w:ascii="Verdana" w:hAnsi="Verdana"/>
          <w:spacing w:val="3"/>
          <w:sz w:val="17"/>
          <w:szCs w:val="17"/>
          <w:highlight w:val="lightGray"/>
        </w:rPr>
        <w:t>Market</w:t>
      </w:r>
      <w:r w:rsidR="00526186" w:rsidRPr="00722521">
        <w:rPr>
          <w:rFonts w:ascii="Verdana" w:hAnsi="Verdana"/>
          <w:spacing w:val="3"/>
          <w:sz w:val="17"/>
          <w:szCs w:val="17"/>
          <w:highlight w:val="lightGray"/>
        </w:rPr>
        <w:t xml:space="preserve"> </w:t>
      </w:r>
      <w:r w:rsidR="00526186" w:rsidRPr="00722521">
        <w:rPr>
          <w:rFonts w:ascii="Verdana" w:hAnsi="Verdana"/>
          <w:spacing w:val="5"/>
          <w:sz w:val="17"/>
          <w:szCs w:val="17"/>
          <w:highlight w:val="lightGray"/>
        </w:rPr>
        <w:t xml:space="preserve">Organization </w:t>
      </w:r>
      <w:r w:rsidRPr="00722521">
        <w:rPr>
          <w:rFonts w:ascii="Verdana" w:hAnsi="Verdana"/>
          <w:spacing w:val="4"/>
          <w:sz w:val="17"/>
          <w:szCs w:val="17"/>
          <w:highlight w:val="lightGray"/>
        </w:rPr>
        <w:t>for</w:t>
      </w:r>
      <w:r w:rsidR="00526186" w:rsidRPr="00722521">
        <w:rPr>
          <w:rFonts w:ascii="Verdana" w:hAnsi="Verdana"/>
          <w:spacing w:val="4"/>
          <w:sz w:val="17"/>
          <w:szCs w:val="17"/>
          <w:highlight w:val="lightGray"/>
        </w:rPr>
        <w:t xml:space="preserve"> </w:t>
      </w:r>
      <w:r w:rsidRPr="00722521">
        <w:rPr>
          <w:rFonts w:ascii="Verdana" w:hAnsi="Verdana"/>
          <w:spacing w:val="4"/>
          <w:sz w:val="17"/>
          <w:szCs w:val="17"/>
          <w:highlight w:val="lightGray"/>
        </w:rPr>
        <w:t>which</w:t>
      </w:r>
      <w:r w:rsidR="00526186" w:rsidRPr="00722521">
        <w:rPr>
          <w:rFonts w:ascii="Verdana" w:hAnsi="Verdana"/>
          <w:spacing w:val="4"/>
          <w:sz w:val="17"/>
          <w:szCs w:val="17"/>
          <w:highlight w:val="lightGray"/>
        </w:rPr>
        <w:t xml:space="preserve"> </w:t>
      </w:r>
      <w:r w:rsidRPr="00722521">
        <w:rPr>
          <w:rFonts w:ascii="Verdana" w:hAnsi="Verdana"/>
          <w:spacing w:val="5"/>
          <w:sz w:val="17"/>
          <w:szCs w:val="17"/>
          <w:highlight w:val="lightGray"/>
        </w:rPr>
        <w:t>national</w:t>
      </w:r>
      <w:r w:rsidR="00526186" w:rsidRPr="00722521">
        <w:rPr>
          <w:rFonts w:ascii="Verdana" w:hAnsi="Verdana"/>
          <w:spacing w:val="5"/>
          <w:sz w:val="17"/>
          <w:szCs w:val="17"/>
          <w:highlight w:val="lightGray"/>
        </w:rPr>
        <w:t xml:space="preserve"> </w:t>
      </w:r>
      <w:r w:rsidRPr="00722521">
        <w:rPr>
          <w:rFonts w:ascii="Verdana" w:hAnsi="Verdana"/>
          <w:spacing w:val="4"/>
          <w:sz w:val="17"/>
          <w:szCs w:val="17"/>
          <w:highlight w:val="lightGray"/>
        </w:rPr>
        <w:t>rules</w:t>
      </w:r>
      <w:r w:rsidR="00526186" w:rsidRPr="00722521">
        <w:rPr>
          <w:rFonts w:ascii="Verdana" w:hAnsi="Verdana"/>
          <w:spacing w:val="4"/>
          <w:sz w:val="17"/>
          <w:szCs w:val="17"/>
          <w:highlight w:val="lightGray"/>
        </w:rPr>
        <w:t xml:space="preserve"> </w:t>
      </w:r>
      <w:r w:rsidRPr="00722521">
        <w:rPr>
          <w:rFonts w:ascii="Verdana" w:hAnsi="Verdana"/>
          <w:spacing w:val="4"/>
          <w:sz w:val="17"/>
          <w:szCs w:val="17"/>
          <w:highlight w:val="lightGray"/>
        </w:rPr>
        <w:t>going</w:t>
      </w:r>
      <w:r w:rsidR="00526186" w:rsidRPr="00722521">
        <w:rPr>
          <w:rFonts w:ascii="Verdana" w:hAnsi="Verdana"/>
          <w:spacing w:val="4"/>
          <w:sz w:val="17"/>
          <w:szCs w:val="17"/>
          <w:highlight w:val="lightGray"/>
        </w:rPr>
        <w:t xml:space="preserve"> </w:t>
      </w:r>
      <w:r w:rsidRPr="00722521">
        <w:rPr>
          <w:rFonts w:ascii="Verdana" w:hAnsi="Verdana"/>
          <w:spacing w:val="5"/>
          <w:sz w:val="17"/>
          <w:szCs w:val="17"/>
          <w:highlight w:val="lightGray"/>
        </w:rPr>
        <w:t>beyond</w:t>
      </w:r>
      <w:r w:rsidR="00526186" w:rsidRPr="00722521">
        <w:rPr>
          <w:rFonts w:ascii="Verdana" w:hAnsi="Verdana"/>
          <w:spacing w:val="5"/>
          <w:sz w:val="17"/>
          <w:szCs w:val="17"/>
          <w:highlight w:val="lightGray"/>
        </w:rPr>
        <w:t xml:space="preserve"> </w:t>
      </w:r>
      <w:r w:rsidRPr="00722521">
        <w:rPr>
          <w:rFonts w:ascii="Verdana" w:hAnsi="Verdana"/>
          <w:spacing w:val="4"/>
          <w:sz w:val="17"/>
          <w:szCs w:val="17"/>
          <w:highlight w:val="lightGray"/>
        </w:rPr>
        <w:t>its</w:t>
      </w:r>
      <w:r w:rsidR="00526186" w:rsidRPr="00722521">
        <w:rPr>
          <w:rFonts w:ascii="Verdana" w:hAnsi="Verdana"/>
          <w:spacing w:val="4"/>
          <w:sz w:val="17"/>
          <w:szCs w:val="17"/>
          <w:highlight w:val="lightGray"/>
        </w:rPr>
        <w:t xml:space="preserve"> </w:t>
      </w:r>
      <w:r w:rsidRPr="00722521">
        <w:rPr>
          <w:rFonts w:ascii="Verdana" w:hAnsi="Verdana"/>
          <w:spacing w:val="5"/>
          <w:sz w:val="17"/>
          <w:szCs w:val="17"/>
          <w:highlight w:val="lightGray"/>
        </w:rPr>
        <w:t>minimum</w:t>
      </w:r>
      <w:r w:rsidR="00526186" w:rsidRPr="00722521">
        <w:rPr>
          <w:rFonts w:ascii="Verdana" w:hAnsi="Verdana"/>
          <w:spacing w:val="5"/>
          <w:sz w:val="17"/>
          <w:szCs w:val="17"/>
          <w:highlight w:val="lightGray"/>
        </w:rPr>
        <w:t xml:space="preserve"> </w:t>
      </w:r>
      <w:r w:rsidRPr="00722521">
        <w:rPr>
          <w:rFonts w:ascii="Verdana" w:hAnsi="Verdana"/>
          <w:sz w:val="17"/>
          <w:szCs w:val="17"/>
          <w:highlight w:val="lightGray"/>
        </w:rPr>
        <w:t>requirements and explain:</w:t>
      </w:r>
    </w:p>
    <w:p w14:paraId="3FEB996B" w14:textId="2C8767A1" w:rsidR="00526186" w:rsidRPr="00722521" w:rsidRDefault="00526186" w:rsidP="00A903E6">
      <w:pPr>
        <w:mirrorIndents/>
        <w:rPr>
          <w:sz w:val="17"/>
          <w:szCs w:val="17"/>
        </w:rPr>
      </w:pPr>
    </w:p>
    <w:p w14:paraId="619F61BB" w14:textId="67C39D5A" w:rsidR="00526186" w:rsidRPr="00722521" w:rsidRDefault="003A1540" w:rsidP="00A903E6">
      <w:pPr>
        <w:mirrorIndents/>
        <w:rPr>
          <w:sz w:val="17"/>
          <w:szCs w:val="17"/>
        </w:rPr>
      </w:pPr>
      <w:r w:rsidRPr="00722521">
        <w:rPr>
          <w:sz w:val="17"/>
          <w:szCs w:val="17"/>
        </w:rPr>
        <w:t>N/A</w:t>
      </w:r>
    </w:p>
    <w:p w14:paraId="6B927290" w14:textId="77777777" w:rsidR="00526186" w:rsidRPr="00722521" w:rsidRDefault="00526186" w:rsidP="00A903E6">
      <w:pPr>
        <w:mirrorIndents/>
        <w:rPr>
          <w:sz w:val="17"/>
          <w:szCs w:val="17"/>
        </w:rPr>
      </w:pPr>
    </w:p>
    <w:p w14:paraId="4E95B91F"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 xml:space="preserve">Please provide examples of gold plating in the area of Market </w:t>
      </w:r>
      <w:proofErr w:type="spellStart"/>
      <w:r w:rsidRPr="00722521">
        <w:rPr>
          <w:rFonts w:ascii="Verdana" w:hAnsi="Verdana"/>
          <w:sz w:val="17"/>
          <w:szCs w:val="17"/>
          <w:highlight w:val="lightGray"/>
        </w:rPr>
        <w:t>organisation</w:t>
      </w:r>
      <w:proofErr w:type="spellEnd"/>
      <w:r w:rsidRPr="00722521">
        <w:rPr>
          <w:rFonts w:ascii="Verdana" w:hAnsi="Verdana"/>
          <w:sz w:val="17"/>
          <w:szCs w:val="17"/>
          <w:highlight w:val="lightGray"/>
        </w:rPr>
        <w:t xml:space="preserve"> and explain:</w:t>
      </w:r>
    </w:p>
    <w:p w14:paraId="25468595" w14:textId="0B293683" w:rsidR="00BA160A" w:rsidRPr="00722521" w:rsidRDefault="00BA160A" w:rsidP="00A903E6">
      <w:pPr>
        <w:mirrorIndents/>
        <w:rPr>
          <w:sz w:val="17"/>
          <w:szCs w:val="17"/>
        </w:rPr>
      </w:pPr>
    </w:p>
    <w:p w14:paraId="0B16EF54" w14:textId="5CA89A73" w:rsidR="00526186" w:rsidRPr="00722521" w:rsidRDefault="003A1540" w:rsidP="00A903E6">
      <w:pPr>
        <w:mirrorIndents/>
        <w:rPr>
          <w:sz w:val="17"/>
          <w:szCs w:val="17"/>
        </w:rPr>
      </w:pPr>
      <w:r w:rsidRPr="00722521">
        <w:rPr>
          <w:sz w:val="17"/>
          <w:szCs w:val="17"/>
        </w:rPr>
        <w:t>N/A</w:t>
      </w:r>
    </w:p>
    <w:p w14:paraId="5801F7AD" w14:textId="77777777" w:rsidR="00526186" w:rsidRPr="00722521" w:rsidRDefault="00526186" w:rsidP="00A903E6">
      <w:pPr>
        <w:mirrorIndents/>
        <w:rPr>
          <w:sz w:val="17"/>
          <w:szCs w:val="17"/>
        </w:rPr>
      </w:pPr>
    </w:p>
    <w:p w14:paraId="1D7F61E6" w14:textId="77777777" w:rsidR="00BA160A" w:rsidRPr="00722521" w:rsidRDefault="00BA160A" w:rsidP="00A903E6">
      <w:pPr>
        <w:mirrorIndents/>
        <w:rPr>
          <w:b/>
          <w:sz w:val="17"/>
          <w:szCs w:val="17"/>
        </w:rPr>
      </w:pPr>
      <w:r w:rsidRPr="00722521">
        <w:rPr>
          <w:b/>
          <w:w w:val="105"/>
          <w:sz w:val="17"/>
          <w:szCs w:val="17"/>
        </w:rPr>
        <w:t>Other</w:t>
      </w:r>
    </w:p>
    <w:p w14:paraId="0FFBD805" w14:textId="77777777" w:rsidR="00BA160A" w:rsidRPr="00722521" w:rsidRDefault="00BA160A" w:rsidP="001A1012">
      <w:pPr>
        <w:pStyle w:val="Textkrper"/>
        <w:ind w:left="0"/>
        <w:mirrorIndents/>
        <w:rPr>
          <w:rFonts w:ascii="Verdana" w:hAnsi="Verdana"/>
          <w:sz w:val="17"/>
          <w:szCs w:val="17"/>
          <w:highlight w:val="lightGray"/>
        </w:rPr>
      </w:pPr>
      <w:r w:rsidRPr="00722521">
        <w:rPr>
          <w:rFonts w:ascii="Verdana" w:hAnsi="Verdana"/>
          <w:sz w:val="17"/>
          <w:szCs w:val="17"/>
          <w:highlight w:val="lightGray"/>
        </w:rPr>
        <w:t>Please specify to what other legislative area(s) you refer:</w:t>
      </w:r>
    </w:p>
    <w:p w14:paraId="573538E6" w14:textId="447927E6" w:rsidR="00BA160A" w:rsidRPr="00722521" w:rsidRDefault="00BA160A" w:rsidP="00A903E6">
      <w:pPr>
        <w:mirrorIndents/>
        <w:rPr>
          <w:sz w:val="17"/>
          <w:szCs w:val="17"/>
          <w:highlight w:val="lightGray"/>
        </w:rPr>
      </w:pPr>
    </w:p>
    <w:p w14:paraId="393AFD90" w14:textId="77777777" w:rsidR="003A1540" w:rsidRPr="00722521" w:rsidRDefault="003A1540" w:rsidP="003A1540">
      <w:pPr>
        <w:mirrorIndents/>
        <w:rPr>
          <w:sz w:val="17"/>
          <w:szCs w:val="17"/>
        </w:rPr>
      </w:pPr>
      <w:r w:rsidRPr="00722521">
        <w:rPr>
          <w:sz w:val="17"/>
          <w:szCs w:val="17"/>
        </w:rPr>
        <w:t>N/A</w:t>
      </w:r>
    </w:p>
    <w:p w14:paraId="6FD00477" w14:textId="77777777" w:rsidR="00526186" w:rsidRPr="00722521" w:rsidRDefault="00526186" w:rsidP="00A903E6">
      <w:pPr>
        <w:mirrorIndents/>
        <w:rPr>
          <w:sz w:val="17"/>
          <w:szCs w:val="17"/>
          <w:highlight w:val="lightGray"/>
        </w:rPr>
      </w:pPr>
    </w:p>
    <w:p w14:paraId="2FD4B289" w14:textId="77777777" w:rsidR="00BA160A" w:rsidRPr="00722521" w:rsidRDefault="00BA160A" w:rsidP="001A1012">
      <w:pPr>
        <w:pStyle w:val="Textkrper"/>
        <w:ind w:left="0"/>
        <w:mirrorIndents/>
        <w:rPr>
          <w:rFonts w:ascii="Verdana" w:hAnsi="Verdana"/>
          <w:sz w:val="17"/>
          <w:szCs w:val="17"/>
          <w:highlight w:val="lightGray"/>
        </w:rPr>
      </w:pPr>
      <w:r w:rsidRPr="00722521">
        <w:rPr>
          <w:rFonts w:ascii="Verdana" w:hAnsi="Verdana"/>
          <w:sz w:val="17"/>
          <w:szCs w:val="17"/>
          <w:highlight w:val="lightGray"/>
        </w:rPr>
        <w:t>Please identify the relevant sectoral legislation in this/these other area(s) for which national rules going beyond its minimum requirements and explain:</w:t>
      </w:r>
    </w:p>
    <w:p w14:paraId="55BB1EAB" w14:textId="77777777" w:rsidR="00526186" w:rsidRPr="00722521" w:rsidRDefault="00526186" w:rsidP="00A903E6">
      <w:pPr>
        <w:pStyle w:val="Textkrper"/>
        <w:mirrorIndents/>
        <w:rPr>
          <w:rFonts w:ascii="Verdana" w:hAnsi="Verdana"/>
          <w:sz w:val="17"/>
          <w:szCs w:val="17"/>
          <w:highlight w:val="lightGray"/>
        </w:rPr>
      </w:pPr>
    </w:p>
    <w:p w14:paraId="46560464" w14:textId="77777777" w:rsidR="003A1540" w:rsidRPr="00722521" w:rsidRDefault="003A1540" w:rsidP="003A1540">
      <w:pPr>
        <w:mirrorIndents/>
        <w:rPr>
          <w:sz w:val="17"/>
          <w:szCs w:val="17"/>
        </w:rPr>
      </w:pPr>
      <w:r w:rsidRPr="00722521">
        <w:rPr>
          <w:sz w:val="17"/>
          <w:szCs w:val="17"/>
        </w:rPr>
        <w:t>N/A</w:t>
      </w:r>
    </w:p>
    <w:p w14:paraId="251E1467" w14:textId="77777777" w:rsidR="00526186" w:rsidRPr="00722521" w:rsidRDefault="00526186" w:rsidP="00A903E6">
      <w:pPr>
        <w:pStyle w:val="Textkrper"/>
        <w:mirrorIndents/>
        <w:rPr>
          <w:rFonts w:ascii="Verdana" w:hAnsi="Verdana"/>
          <w:sz w:val="17"/>
          <w:szCs w:val="17"/>
          <w:highlight w:val="lightGray"/>
        </w:rPr>
      </w:pPr>
    </w:p>
    <w:p w14:paraId="469635F4" w14:textId="04BB6BAA" w:rsidR="00BA160A" w:rsidRPr="00722521" w:rsidRDefault="00526186" w:rsidP="00A903E6">
      <w:pPr>
        <w:pStyle w:val="Textkrper"/>
        <w:mirrorIndents/>
        <w:rPr>
          <w:rFonts w:ascii="Verdana" w:hAnsi="Verdana"/>
          <w:sz w:val="17"/>
          <w:szCs w:val="17"/>
          <w:highlight w:val="lightGray"/>
        </w:rPr>
      </w:pPr>
      <w:r w:rsidRPr="00722521">
        <w:rPr>
          <w:rFonts w:ascii="Verdana" w:hAnsi="Verdana"/>
          <w:sz w:val="17"/>
          <w:szCs w:val="17"/>
          <w:highlight w:val="lightGray"/>
        </w:rPr>
        <w:t>Pl</w:t>
      </w:r>
      <w:r w:rsidR="00BA160A" w:rsidRPr="00722521">
        <w:rPr>
          <w:rFonts w:ascii="Verdana" w:hAnsi="Verdana"/>
          <w:sz w:val="17"/>
          <w:szCs w:val="17"/>
          <w:highlight w:val="lightGray"/>
        </w:rPr>
        <w:t>ease provide examples of gold plating in the area of this/these other area(s) and explain:</w:t>
      </w:r>
    </w:p>
    <w:p w14:paraId="345F74FE" w14:textId="61602CC4" w:rsidR="00BA160A" w:rsidRPr="00722521" w:rsidRDefault="00BA160A" w:rsidP="00A903E6">
      <w:pPr>
        <w:mirrorIndents/>
        <w:rPr>
          <w:sz w:val="17"/>
          <w:szCs w:val="17"/>
          <w:highlight w:val="lightGray"/>
        </w:rPr>
      </w:pPr>
    </w:p>
    <w:p w14:paraId="576FD241" w14:textId="77777777" w:rsidR="003A1540" w:rsidRPr="00722521" w:rsidRDefault="003A1540" w:rsidP="003A1540">
      <w:pPr>
        <w:mirrorIndents/>
        <w:rPr>
          <w:sz w:val="17"/>
          <w:szCs w:val="17"/>
        </w:rPr>
      </w:pPr>
      <w:r w:rsidRPr="00722521">
        <w:rPr>
          <w:sz w:val="17"/>
          <w:szCs w:val="17"/>
        </w:rPr>
        <w:t>N/A</w:t>
      </w:r>
    </w:p>
    <w:p w14:paraId="00A4C8DF" w14:textId="77777777" w:rsidR="00526186" w:rsidRPr="00722521" w:rsidRDefault="00526186" w:rsidP="00A903E6">
      <w:pPr>
        <w:mirrorIndents/>
        <w:rPr>
          <w:sz w:val="17"/>
          <w:szCs w:val="17"/>
          <w:highlight w:val="lightGray"/>
        </w:rPr>
      </w:pPr>
    </w:p>
    <w:p w14:paraId="4D180F03" w14:textId="0F2F18DA" w:rsidR="00BA160A" w:rsidRPr="00722521" w:rsidRDefault="00BA160A" w:rsidP="00A903E6">
      <w:pPr>
        <w:pStyle w:val="Textkrper"/>
        <w:tabs>
          <w:tab w:val="left" w:pos="1634"/>
          <w:tab w:val="left" w:pos="2107"/>
          <w:tab w:val="left" w:pos="3066"/>
          <w:tab w:val="left" w:pos="3696"/>
          <w:tab w:val="left" w:pos="4954"/>
          <w:tab w:val="left" w:pos="6659"/>
          <w:tab w:val="left" w:pos="7132"/>
          <w:tab w:val="left" w:pos="8135"/>
          <w:tab w:val="left" w:pos="8796"/>
          <w:tab w:val="left" w:pos="9284"/>
        </w:tabs>
        <w:mirrorIndents/>
        <w:rPr>
          <w:rFonts w:ascii="Verdana" w:hAnsi="Verdana"/>
          <w:sz w:val="17"/>
          <w:szCs w:val="17"/>
        </w:rPr>
      </w:pPr>
      <w:r w:rsidRPr="00722521">
        <w:rPr>
          <w:rFonts w:ascii="Verdana" w:hAnsi="Verdana"/>
          <w:sz w:val="17"/>
          <w:szCs w:val="17"/>
          <w:highlight w:val="lightGray"/>
        </w:rPr>
        <w:t xml:space="preserve">Question 6.3 Do you consider that the single rulebook needs to be further </w:t>
      </w:r>
      <w:r w:rsidRPr="00722521">
        <w:rPr>
          <w:rFonts w:ascii="Verdana" w:hAnsi="Verdana"/>
          <w:spacing w:val="5"/>
          <w:sz w:val="17"/>
          <w:szCs w:val="17"/>
          <w:highlight w:val="lightGray"/>
        </w:rPr>
        <w:t>enhanced</w:t>
      </w:r>
      <w:r w:rsidRPr="00722521">
        <w:rPr>
          <w:rFonts w:ascii="Verdana" w:hAnsi="Verdana"/>
          <w:spacing w:val="5"/>
          <w:sz w:val="17"/>
          <w:szCs w:val="17"/>
          <w:highlight w:val="lightGray"/>
        </w:rPr>
        <w:tab/>
      </w:r>
      <w:r w:rsidRPr="00722521">
        <w:rPr>
          <w:rFonts w:ascii="Verdana" w:hAnsi="Verdana"/>
          <w:spacing w:val="3"/>
          <w:sz w:val="17"/>
          <w:szCs w:val="17"/>
          <w:highlight w:val="lightGray"/>
        </w:rPr>
        <w:t>to</w:t>
      </w:r>
      <w:r w:rsidR="00526186" w:rsidRPr="00722521">
        <w:rPr>
          <w:rFonts w:ascii="Verdana" w:hAnsi="Verdana"/>
          <w:spacing w:val="3"/>
          <w:sz w:val="17"/>
          <w:szCs w:val="17"/>
          <w:highlight w:val="lightGray"/>
        </w:rPr>
        <w:t xml:space="preserve"> </w:t>
      </w:r>
      <w:r w:rsidRPr="00722521">
        <w:rPr>
          <w:rFonts w:ascii="Verdana" w:hAnsi="Verdana"/>
          <w:spacing w:val="4"/>
          <w:sz w:val="17"/>
          <w:szCs w:val="17"/>
          <w:highlight w:val="lightGray"/>
        </w:rPr>
        <w:t>reach</w:t>
      </w:r>
      <w:r w:rsidR="00526186" w:rsidRPr="00722521">
        <w:rPr>
          <w:rFonts w:ascii="Verdana" w:hAnsi="Verdana"/>
          <w:spacing w:val="4"/>
          <w:sz w:val="17"/>
          <w:szCs w:val="17"/>
          <w:highlight w:val="lightGray"/>
        </w:rPr>
        <w:t xml:space="preserve"> </w:t>
      </w:r>
      <w:r w:rsidRPr="00722521">
        <w:rPr>
          <w:rFonts w:ascii="Verdana" w:hAnsi="Verdana"/>
          <w:spacing w:val="4"/>
          <w:sz w:val="17"/>
          <w:szCs w:val="17"/>
          <w:highlight w:val="lightGray"/>
        </w:rPr>
        <w:t>th</w:t>
      </w:r>
      <w:r w:rsidR="00526186" w:rsidRPr="00722521">
        <w:rPr>
          <w:rFonts w:ascii="Verdana" w:hAnsi="Verdana"/>
          <w:spacing w:val="4"/>
          <w:sz w:val="17"/>
          <w:szCs w:val="17"/>
          <w:highlight w:val="lightGray"/>
        </w:rPr>
        <w:t xml:space="preserve">e </w:t>
      </w:r>
      <w:r w:rsidRPr="00722521">
        <w:rPr>
          <w:rFonts w:ascii="Verdana" w:hAnsi="Verdana"/>
          <w:spacing w:val="5"/>
          <w:sz w:val="17"/>
          <w:szCs w:val="17"/>
          <w:highlight w:val="lightGray"/>
        </w:rPr>
        <w:t>uniform</w:t>
      </w:r>
      <w:r w:rsidR="00526186" w:rsidRPr="00722521">
        <w:rPr>
          <w:rFonts w:ascii="Verdana" w:hAnsi="Verdana"/>
          <w:spacing w:val="5"/>
          <w:sz w:val="17"/>
          <w:szCs w:val="17"/>
          <w:highlight w:val="lightGray"/>
        </w:rPr>
        <w:t xml:space="preserve"> a</w:t>
      </w:r>
      <w:r w:rsidRPr="00722521">
        <w:rPr>
          <w:rFonts w:ascii="Verdana" w:hAnsi="Verdana"/>
          <w:spacing w:val="5"/>
          <w:sz w:val="17"/>
          <w:szCs w:val="17"/>
          <w:highlight w:val="lightGray"/>
        </w:rPr>
        <w:t>pplication</w:t>
      </w:r>
      <w:r w:rsidRPr="00722521">
        <w:rPr>
          <w:rFonts w:ascii="Verdana" w:hAnsi="Verdana"/>
          <w:spacing w:val="5"/>
          <w:sz w:val="17"/>
          <w:szCs w:val="17"/>
          <w:highlight w:val="lightGray"/>
        </w:rPr>
        <w:tab/>
      </w:r>
      <w:r w:rsidRPr="00722521">
        <w:rPr>
          <w:rFonts w:ascii="Verdana" w:hAnsi="Verdana"/>
          <w:spacing w:val="3"/>
          <w:sz w:val="17"/>
          <w:szCs w:val="17"/>
          <w:highlight w:val="lightGray"/>
        </w:rPr>
        <w:t>of</w:t>
      </w:r>
      <w:r w:rsidR="00526186" w:rsidRPr="00722521">
        <w:rPr>
          <w:rFonts w:ascii="Verdana" w:hAnsi="Verdana"/>
          <w:spacing w:val="3"/>
          <w:sz w:val="17"/>
          <w:szCs w:val="17"/>
          <w:highlight w:val="lightGray"/>
        </w:rPr>
        <w:t xml:space="preserve"> </w:t>
      </w:r>
      <w:r w:rsidRPr="00722521">
        <w:rPr>
          <w:rFonts w:ascii="Verdana" w:hAnsi="Verdana"/>
          <w:spacing w:val="4"/>
          <w:sz w:val="17"/>
          <w:szCs w:val="17"/>
          <w:highlight w:val="lightGray"/>
        </w:rPr>
        <w:t>Union</w:t>
      </w:r>
      <w:r w:rsidRPr="00722521">
        <w:rPr>
          <w:rFonts w:ascii="Verdana" w:hAnsi="Verdana"/>
          <w:spacing w:val="4"/>
          <w:sz w:val="17"/>
          <w:szCs w:val="17"/>
          <w:highlight w:val="lightGray"/>
        </w:rPr>
        <w:tab/>
        <w:t>law</w:t>
      </w:r>
      <w:r w:rsidR="00526186" w:rsidRPr="00722521">
        <w:rPr>
          <w:rFonts w:ascii="Verdana" w:hAnsi="Verdana"/>
          <w:spacing w:val="4"/>
          <w:sz w:val="17"/>
          <w:szCs w:val="17"/>
          <w:highlight w:val="lightGray"/>
        </w:rPr>
        <w:t xml:space="preserve"> </w:t>
      </w:r>
      <w:r w:rsidRPr="00722521">
        <w:rPr>
          <w:rFonts w:ascii="Verdana" w:hAnsi="Verdana"/>
          <w:spacing w:val="3"/>
          <w:sz w:val="17"/>
          <w:szCs w:val="17"/>
          <w:highlight w:val="lightGray"/>
        </w:rPr>
        <w:t>or</w:t>
      </w:r>
      <w:r w:rsidR="00526186" w:rsidRPr="00722521">
        <w:rPr>
          <w:rFonts w:ascii="Verdana" w:hAnsi="Verdana"/>
          <w:spacing w:val="3"/>
          <w:sz w:val="17"/>
          <w:szCs w:val="17"/>
          <w:highlight w:val="lightGray"/>
        </w:rPr>
        <w:t xml:space="preserve"> </w:t>
      </w:r>
      <w:r w:rsidRPr="00722521">
        <w:rPr>
          <w:rFonts w:ascii="Verdana" w:hAnsi="Verdana"/>
          <w:spacing w:val="4"/>
          <w:sz w:val="17"/>
          <w:szCs w:val="17"/>
          <w:highlight w:val="lightGray"/>
        </w:rPr>
        <w:t xml:space="preserve">rules </w:t>
      </w:r>
      <w:r w:rsidRPr="00722521">
        <w:rPr>
          <w:rFonts w:ascii="Verdana" w:hAnsi="Verdana"/>
          <w:sz w:val="17"/>
          <w:szCs w:val="17"/>
          <w:highlight w:val="lightGray"/>
        </w:rPr>
        <w:t>implementing Union law and efficient convergent supervisory outcomes?</w:t>
      </w:r>
    </w:p>
    <w:p w14:paraId="4F5035C5" w14:textId="77777777" w:rsidR="00526186" w:rsidRPr="00722521" w:rsidRDefault="00BA160A" w:rsidP="00526186">
      <w:pPr>
        <w:pStyle w:val="CEABullet-Level1"/>
        <w:rPr>
          <w:color w:val="auto"/>
          <w:highlight w:val="lightGray"/>
        </w:rPr>
      </w:pPr>
      <w:r w:rsidRPr="00722521">
        <w:rPr>
          <w:color w:val="auto"/>
          <w:highlight w:val="lightGray"/>
        </w:rPr>
        <w:t xml:space="preserve">Yes </w:t>
      </w:r>
    </w:p>
    <w:p w14:paraId="2F04BEA8" w14:textId="1CD916E6" w:rsidR="00BA160A" w:rsidRPr="00722521" w:rsidRDefault="00BA160A" w:rsidP="00526186">
      <w:pPr>
        <w:pStyle w:val="CEABullet-Level1"/>
        <w:rPr>
          <w:color w:val="auto"/>
          <w:highlight w:val="lightGray"/>
        </w:rPr>
      </w:pPr>
      <w:r w:rsidRPr="00722521">
        <w:rPr>
          <w:color w:val="auto"/>
          <w:highlight w:val="lightGray"/>
        </w:rPr>
        <w:t>No</w:t>
      </w:r>
    </w:p>
    <w:p w14:paraId="64130154" w14:textId="77777777" w:rsidR="00BA160A" w:rsidRPr="00722521" w:rsidRDefault="00BA160A" w:rsidP="00526186">
      <w:pPr>
        <w:pStyle w:val="CEABullet-Level1"/>
        <w:rPr>
          <w:color w:val="auto"/>
          <w:highlight w:val="lightGray"/>
        </w:rPr>
      </w:pPr>
      <w:r w:rsidRPr="00722521">
        <w:rPr>
          <w:color w:val="auto"/>
          <w:highlight w:val="lightGray"/>
        </w:rPr>
        <w:t>Don’t know / no opinion / not relevant</w:t>
      </w:r>
    </w:p>
    <w:p w14:paraId="4826EC99" w14:textId="22881B51" w:rsidR="00BA160A" w:rsidRPr="00722521" w:rsidRDefault="00BA160A" w:rsidP="00A903E6">
      <w:pPr>
        <w:mirrorIndents/>
        <w:rPr>
          <w:sz w:val="17"/>
          <w:szCs w:val="17"/>
        </w:rPr>
      </w:pPr>
    </w:p>
    <w:p w14:paraId="69687EB6" w14:textId="76E57A7E" w:rsidR="003A1540" w:rsidRPr="00722521" w:rsidRDefault="001E5FA7" w:rsidP="00A903E6">
      <w:pPr>
        <w:mirrorIndents/>
        <w:rPr>
          <w:sz w:val="17"/>
          <w:szCs w:val="17"/>
        </w:rPr>
      </w:pPr>
      <w:r w:rsidRPr="00722521">
        <w:rPr>
          <w:sz w:val="17"/>
          <w:szCs w:val="17"/>
        </w:rPr>
        <w:t>No</w:t>
      </w:r>
    </w:p>
    <w:p w14:paraId="5C991F25" w14:textId="77777777" w:rsidR="001E5FA7" w:rsidRPr="00722521" w:rsidRDefault="001E5FA7" w:rsidP="00A903E6">
      <w:pPr>
        <w:mirrorIndents/>
        <w:rPr>
          <w:sz w:val="17"/>
          <w:szCs w:val="17"/>
        </w:rPr>
      </w:pPr>
    </w:p>
    <w:p w14:paraId="184F97CE" w14:textId="77777777"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6.3 and, where appropriate, support your response with examples:</w:t>
      </w:r>
    </w:p>
    <w:p w14:paraId="518063DC" w14:textId="6D2C4950" w:rsidR="00BA160A" w:rsidRPr="00722521" w:rsidRDefault="00BA160A" w:rsidP="00A903E6">
      <w:pPr>
        <w:mirrorIndents/>
        <w:rPr>
          <w:sz w:val="17"/>
          <w:szCs w:val="17"/>
        </w:rPr>
      </w:pPr>
    </w:p>
    <w:p w14:paraId="4AA9BFD2" w14:textId="5E7A66F9" w:rsidR="009F69D6" w:rsidRPr="00722521" w:rsidRDefault="00722521" w:rsidP="009F69D6">
      <w:pPr>
        <w:mirrorIndents/>
        <w:rPr>
          <w:sz w:val="17"/>
          <w:szCs w:val="17"/>
        </w:rPr>
      </w:pPr>
      <w:r>
        <w:rPr>
          <w:sz w:val="17"/>
          <w:szCs w:val="17"/>
        </w:rPr>
        <w:t>VVO</w:t>
      </w:r>
      <w:r w:rsidR="009F69D6" w:rsidRPr="00722521">
        <w:rPr>
          <w:sz w:val="17"/>
          <w:szCs w:val="17"/>
        </w:rPr>
        <w:t xml:space="preserve"> believes that regulatory convergence is a fundamental prerequisite for the further efficient and convergent supervision across the EU single market. Common standards and a common supervisory culture need to be based on a common regulatory framework. </w:t>
      </w:r>
    </w:p>
    <w:p w14:paraId="6D30B55A" w14:textId="77777777" w:rsidR="009F69D6" w:rsidRPr="00722521" w:rsidRDefault="009F69D6" w:rsidP="009F69D6">
      <w:pPr>
        <w:mirrorIndents/>
        <w:rPr>
          <w:sz w:val="17"/>
          <w:szCs w:val="17"/>
        </w:rPr>
      </w:pPr>
    </w:p>
    <w:p w14:paraId="141E35AB" w14:textId="1600B5BF" w:rsidR="009F69D6" w:rsidRPr="00722521" w:rsidRDefault="009F69D6" w:rsidP="009F69D6">
      <w:pPr>
        <w:mirrorIndents/>
        <w:rPr>
          <w:sz w:val="17"/>
          <w:szCs w:val="17"/>
        </w:rPr>
      </w:pPr>
      <w:r w:rsidRPr="00722521">
        <w:rPr>
          <w:sz w:val="17"/>
          <w:szCs w:val="17"/>
        </w:rPr>
        <w:lastRenderedPageBreak/>
        <w:t xml:space="preserve">With regards to the measures enhancing the supervisory convergence, </w:t>
      </w:r>
      <w:r w:rsidR="00722521">
        <w:rPr>
          <w:sz w:val="17"/>
          <w:szCs w:val="17"/>
        </w:rPr>
        <w:t>VVO</w:t>
      </w:r>
      <w:r w:rsidRPr="00722521">
        <w:rPr>
          <w:sz w:val="17"/>
          <w:szCs w:val="17"/>
        </w:rPr>
        <w:t xml:space="preserve"> believes that EIOPA should focus on the common application of the rules rather than acting as a quasi-regulator and implementing new rules or tightening the regulatory framework. The identification of best practices, recommendations on the applications of the review, targeted peer reviews as well as timely and consequent follow-up where shortcomings and overregulation are identified should be the key targets for EIOPA’s mission. The aim of EIOPA’s ambition should be a common supervisory culture and a consistent application, avoiding gold-plating and supervisory arbitrage across </w:t>
      </w:r>
      <w:r w:rsidR="00364E2D" w:rsidRPr="00722521">
        <w:rPr>
          <w:sz w:val="17"/>
          <w:szCs w:val="17"/>
        </w:rPr>
        <w:t>m</w:t>
      </w:r>
      <w:r w:rsidRPr="00722521">
        <w:rPr>
          <w:sz w:val="17"/>
          <w:szCs w:val="17"/>
        </w:rPr>
        <w:t xml:space="preserve">ember </w:t>
      </w:r>
      <w:r w:rsidR="00364E2D" w:rsidRPr="00722521">
        <w:rPr>
          <w:sz w:val="17"/>
          <w:szCs w:val="17"/>
        </w:rPr>
        <w:t>s</w:t>
      </w:r>
      <w:r w:rsidRPr="00722521">
        <w:rPr>
          <w:sz w:val="17"/>
          <w:szCs w:val="17"/>
        </w:rPr>
        <w:t>tates.</w:t>
      </w:r>
    </w:p>
    <w:p w14:paraId="65FD8E73" w14:textId="77777777" w:rsidR="009F69D6" w:rsidRPr="00722521" w:rsidRDefault="009F69D6" w:rsidP="009F69D6">
      <w:pPr>
        <w:mirrorIndents/>
        <w:rPr>
          <w:sz w:val="17"/>
          <w:szCs w:val="17"/>
        </w:rPr>
      </w:pPr>
    </w:p>
    <w:p w14:paraId="4B4ECDDC" w14:textId="5B365962" w:rsidR="009F69D6" w:rsidRPr="00722521" w:rsidRDefault="009F69D6" w:rsidP="009F69D6">
      <w:pPr>
        <w:mirrorIndents/>
        <w:rPr>
          <w:sz w:val="17"/>
          <w:szCs w:val="17"/>
        </w:rPr>
      </w:pPr>
      <w:r w:rsidRPr="00722521">
        <w:rPr>
          <w:sz w:val="17"/>
          <w:szCs w:val="17"/>
        </w:rPr>
        <w:t>The impact of the EIOPA statement on the ban on dividends and similar payments is a negative example on how overcompliance by some N</w:t>
      </w:r>
      <w:r w:rsidR="00364E2D" w:rsidRPr="00722521">
        <w:rPr>
          <w:sz w:val="17"/>
          <w:szCs w:val="17"/>
        </w:rPr>
        <w:t>S</w:t>
      </w:r>
      <w:r w:rsidRPr="00722521">
        <w:rPr>
          <w:sz w:val="17"/>
          <w:szCs w:val="17"/>
        </w:rPr>
        <w:t>As disturbed the functioning of the single market and the freedom pf capital, in particular. Rather than the public statement, guidance on how to assess the market situation and apply the already existing measures would have been the right measure.</w:t>
      </w:r>
    </w:p>
    <w:p w14:paraId="75AE9879" w14:textId="77777777" w:rsidR="00526186" w:rsidRPr="00722521" w:rsidRDefault="00526186" w:rsidP="00A903E6">
      <w:pPr>
        <w:mirrorIndents/>
        <w:rPr>
          <w:sz w:val="17"/>
          <w:szCs w:val="17"/>
        </w:rPr>
      </w:pPr>
    </w:p>
    <w:p w14:paraId="4583E23D" w14:textId="49766CEB"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rPr>
        <w:t>6.4 Questions regarding the appropriate level of regulation</w:t>
      </w:r>
    </w:p>
    <w:p w14:paraId="6F8B068A" w14:textId="77777777" w:rsidR="00BA160A" w:rsidRPr="00722521" w:rsidRDefault="00BA160A" w:rsidP="00A903E6">
      <w:pPr>
        <w:pStyle w:val="Textkrper"/>
        <w:mirrorIndents/>
        <w:rPr>
          <w:rFonts w:ascii="Verdana" w:hAnsi="Verdana"/>
          <w:sz w:val="17"/>
          <w:szCs w:val="17"/>
        </w:rPr>
      </w:pPr>
    </w:p>
    <w:p w14:paraId="4386C7CE" w14:textId="28FB0F88"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Question 6.4.1 In your view, are there circumstances in existing EU legislation where level 1 is too granular, or for other reasons, would rather be preferable to have a mandate for level 2, or guidance at level 3?</w:t>
      </w:r>
    </w:p>
    <w:p w14:paraId="4F0BC491" w14:textId="77777777" w:rsidR="00526186" w:rsidRPr="00722521" w:rsidRDefault="00BA160A" w:rsidP="00526186">
      <w:pPr>
        <w:pStyle w:val="CEABullet-Level1"/>
        <w:rPr>
          <w:color w:val="auto"/>
          <w:highlight w:val="lightGray"/>
        </w:rPr>
      </w:pPr>
      <w:r w:rsidRPr="00722521">
        <w:rPr>
          <w:color w:val="auto"/>
          <w:highlight w:val="lightGray"/>
        </w:rPr>
        <w:t xml:space="preserve">Yes </w:t>
      </w:r>
    </w:p>
    <w:p w14:paraId="24AC046D" w14:textId="75C2D900" w:rsidR="00BA160A" w:rsidRPr="00722521" w:rsidRDefault="00BA160A" w:rsidP="00526186">
      <w:pPr>
        <w:pStyle w:val="CEABullet-Level1"/>
        <w:rPr>
          <w:color w:val="auto"/>
          <w:highlight w:val="lightGray"/>
        </w:rPr>
      </w:pPr>
      <w:r w:rsidRPr="00722521">
        <w:rPr>
          <w:color w:val="auto"/>
          <w:highlight w:val="lightGray"/>
        </w:rPr>
        <w:t>No</w:t>
      </w:r>
    </w:p>
    <w:p w14:paraId="76329439" w14:textId="5BEDE27E" w:rsidR="00BA160A" w:rsidRPr="00722521" w:rsidRDefault="00BA160A" w:rsidP="00526186">
      <w:pPr>
        <w:pStyle w:val="CEABullet-Level1"/>
        <w:rPr>
          <w:color w:val="auto"/>
          <w:highlight w:val="lightGray"/>
        </w:rPr>
      </w:pPr>
      <w:r w:rsidRPr="00722521">
        <w:rPr>
          <w:color w:val="auto"/>
          <w:highlight w:val="lightGray"/>
        </w:rPr>
        <w:t>Don’t know / no opinion / not relevant</w:t>
      </w:r>
    </w:p>
    <w:p w14:paraId="5016D670" w14:textId="5B12C9CB" w:rsidR="00526186" w:rsidRPr="00722521" w:rsidRDefault="00526186" w:rsidP="00A903E6">
      <w:pPr>
        <w:mirrorIndents/>
        <w:rPr>
          <w:sz w:val="17"/>
          <w:szCs w:val="17"/>
        </w:rPr>
      </w:pPr>
    </w:p>
    <w:p w14:paraId="7AD468B4" w14:textId="73343A42" w:rsidR="009C267A" w:rsidRPr="00722521" w:rsidRDefault="009C267A" w:rsidP="00A903E6">
      <w:pPr>
        <w:mirrorIndents/>
        <w:rPr>
          <w:sz w:val="17"/>
          <w:szCs w:val="17"/>
        </w:rPr>
      </w:pPr>
      <w:r w:rsidRPr="00722521">
        <w:rPr>
          <w:sz w:val="17"/>
          <w:szCs w:val="17"/>
        </w:rPr>
        <w:t>No</w:t>
      </w:r>
    </w:p>
    <w:p w14:paraId="35ABEEFD" w14:textId="77777777" w:rsidR="009C267A" w:rsidRPr="00722521" w:rsidRDefault="009C267A" w:rsidP="00A903E6">
      <w:pPr>
        <w:mirrorIndents/>
        <w:rPr>
          <w:sz w:val="17"/>
          <w:szCs w:val="17"/>
        </w:rPr>
      </w:pPr>
    </w:p>
    <w:p w14:paraId="34FA9815" w14:textId="77777777"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Please specify the area (and if possible, specific piece of legislation) and explain why (e.g. in order to have appropriate flexibility to adapt the specifics of the regulation in case of change of circumstances):</w:t>
      </w:r>
    </w:p>
    <w:p w14:paraId="1A98C5E4" w14:textId="5ED63F87" w:rsidR="00BA160A" w:rsidRPr="00722521" w:rsidRDefault="00BA160A" w:rsidP="00A903E6">
      <w:pPr>
        <w:mirrorIndents/>
        <w:rPr>
          <w:sz w:val="17"/>
          <w:szCs w:val="17"/>
        </w:rPr>
      </w:pPr>
    </w:p>
    <w:p w14:paraId="20C0613C" w14:textId="77777777" w:rsidR="001202AF" w:rsidRPr="00722521" w:rsidRDefault="001202AF" w:rsidP="001202AF">
      <w:pPr>
        <w:suppressAutoHyphens/>
        <w:rPr>
          <w:rFonts w:eastAsia="Century Gothic"/>
          <w:sz w:val="17"/>
          <w:szCs w:val="17"/>
        </w:rPr>
      </w:pPr>
      <w:r w:rsidRPr="00722521">
        <w:rPr>
          <w:rFonts w:eastAsia="Century Gothic"/>
          <w:sz w:val="17"/>
          <w:szCs w:val="17"/>
        </w:rPr>
        <w:t xml:space="preserve">We have witnessed co-legislators transferring responsibility to the European supervisory authorities (ESAs) for crucial technical elements at Levels 2 or 3. This has led to the ESAs becoming quasi-legislators, and the role of the co-legislators in the adoption of Level 2 measures lowered to either fully rejecting or accepting the text proposed by the ESAs and the Commission. </w:t>
      </w:r>
    </w:p>
    <w:p w14:paraId="4A2C6AFA" w14:textId="77777777" w:rsidR="001202AF" w:rsidRPr="00722521" w:rsidRDefault="001202AF" w:rsidP="001202AF">
      <w:pPr>
        <w:suppressAutoHyphens/>
        <w:rPr>
          <w:rFonts w:eastAsia="Century Gothic"/>
          <w:sz w:val="17"/>
          <w:szCs w:val="17"/>
        </w:rPr>
      </w:pPr>
    </w:p>
    <w:p w14:paraId="639BA69B" w14:textId="0F5EFD69" w:rsidR="001202AF" w:rsidRPr="00722521" w:rsidRDefault="001202AF" w:rsidP="001202AF">
      <w:pPr>
        <w:suppressAutoHyphens/>
        <w:rPr>
          <w:rFonts w:eastAsia="Century Gothic"/>
          <w:sz w:val="17"/>
          <w:szCs w:val="17"/>
        </w:rPr>
      </w:pPr>
      <w:r w:rsidRPr="00722521">
        <w:rPr>
          <w:rFonts w:eastAsia="Century Gothic"/>
          <w:sz w:val="17"/>
          <w:szCs w:val="17"/>
        </w:rPr>
        <w:t>In addition, there are examples where the ESAs’ actions have resulted in the blurring of the roles and responsibilities between themselves and legislators, such as by drafting Levels 2 and 3 measures that are not in full compliance with Level 1 or go beyond the Level 1 mandate.</w:t>
      </w:r>
    </w:p>
    <w:p w14:paraId="60BFB567" w14:textId="77777777" w:rsidR="001202AF" w:rsidRPr="00722521" w:rsidRDefault="001202AF" w:rsidP="001202AF">
      <w:pPr>
        <w:suppressAutoHyphens/>
        <w:rPr>
          <w:rFonts w:eastAsia="Century Gothic"/>
          <w:sz w:val="17"/>
          <w:szCs w:val="17"/>
        </w:rPr>
      </w:pPr>
    </w:p>
    <w:p w14:paraId="65537E78" w14:textId="1261DC8E" w:rsidR="001202AF" w:rsidRPr="00722521" w:rsidRDefault="001202AF" w:rsidP="001202AF">
      <w:pPr>
        <w:suppressAutoHyphens/>
        <w:rPr>
          <w:rFonts w:eastAsia="Century Gothic"/>
          <w:sz w:val="17"/>
          <w:szCs w:val="17"/>
        </w:rPr>
      </w:pPr>
      <w:r w:rsidRPr="00722521">
        <w:rPr>
          <w:rFonts w:eastAsia="Century Gothic"/>
          <w:sz w:val="17"/>
          <w:szCs w:val="17"/>
        </w:rPr>
        <w:t>Looking forward, priority should therefore be given to jointly reaching high-quality and technically sound legislation with no legal uncertainty. To this end, co-legislators need to fully play their role of brokering the political compromise, whilst respecting the advisory role of the ESAs. Hence, Level 1 legislation should limit the number of mandates for Level 2 and 3 measures to what is technically necessary, and the ESAs should adhere to the Level 1 text mandate.</w:t>
      </w:r>
      <w:r w:rsidRPr="00722521" w:rsidDel="00DB4BD0">
        <w:rPr>
          <w:rFonts w:eastAsia="Century Gothic"/>
          <w:sz w:val="17"/>
          <w:szCs w:val="17"/>
        </w:rPr>
        <w:t xml:space="preserve"> </w:t>
      </w:r>
    </w:p>
    <w:p w14:paraId="0EADF166" w14:textId="77777777" w:rsidR="00526186" w:rsidRPr="00722521" w:rsidRDefault="00526186" w:rsidP="00A903E6">
      <w:pPr>
        <w:mirrorIndents/>
        <w:rPr>
          <w:sz w:val="17"/>
          <w:szCs w:val="17"/>
        </w:rPr>
      </w:pPr>
    </w:p>
    <w:p w14:paraId="09249536" w14:textId="0CFCF3E0"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Question 6.4.2 On the other hand, in your view, could reducing divergences</w:t>
      </w:r>
      <w:r w:rsidR="00526186" w:rsidRPr="00722521">
        <w:rPr>
          <w:rFonts w:ascii="Verdana" w:hAnsi="Verdana"/>
          <w:sz w:val="17"/>
          <w:szCs w:val="17"/>
          <w:highlight w:val="lightGray"/>
        </w:rPr>
        <w:t xml:space="preserve"> </w:t>
      </w:r>
      <w:r w:rsidRPr="00722521">
        <w:rPr>
          <w:rFonts w:ascii="Verdana" w:hAnsi="Verdana"/>
          <w:sz w:val="17"/>
          <w:szCs w:val="17"/>
          <w:highlight w:val="lightGray"/>
        </w:rPr>
        <w:t>in rules at level 1 (legislation agreed by the co-legislators), as well as rules</w:t>
      </w:r>
      <w:r w:rsidR="00526186" w:rsidRPr="00722521">
        <w:rPr>
          <w:rFonts w:ascii="Verdana" w:hAnsi="Verdana"/>
          <w:sz w:val="17"/>
          <w:szCs w:val="17"/>
          <w:highlight w:val="lightGray"/>
        </w:rPr>
        <w:t xml:space="preserve"> </w:t>
      </w:r>
      <w:r w:rsidRPr="00722521">
        <w:rPr>
          <w:rFonts w:ascii="Verdana" w:hAnsi="Verdana"/>
          <w:sz w:val="17"/>
          <w:szCs w:val="17"/>
          <w:highlight w:val="lightGray"/>
        </w:rPr>
        <w:t>regarding delegated acts (regulatory technical standards) or implementation at level 2, (implementing acts and implementing technical standards) and/or level 3 (‘comply or explain guidance’ by ESAs) further enhance the single rulebook?</w:t>
      </w:r>
    </w:p>
    <w:p w14:paraId="4F9E2813" w14:textId="77777777" w:rsidR="00526186" w:rsidRPr="00722521" w:rsidRDefault="00BA160A" w:rsidP="00526186">
      <w:pPr>
        <w:pStyle w:val="CEABullet-Level1"/>
        <w:rPr>
          <w:color w:val="auto"/>
          <w:highlight w:val="lightGray"/>
        </w:rPr>
      </w:pPr>
      <w:r w:rsidRPr="00722521">
        <w:rPr>
          <w:color w:val="auto"/>
          <w:highlight w:val="lightGray"/>
        </w:rPr>
        <w:t>Yes</w:t>
      </w:r>
    </w:p>
    <w:p w14:paraId="5B7CEA85" w14:textId="6AC45176" w:rsidR="00BA160A" w:rsidRPr="00722521" w:rsidRDefault="00BA160A" w:rsidP="00526186">
      <w:pPr>
        <w:pStyle w:val="CEABullet-Level1"/>
        <w:rPr>
          <w:color w:val="auto"/>
          <w:highlight w:val="lightGray"/>
        </w:rPr>
      </w:pPr>
      <w:r w:rsidRPr="00722521">
        <w:rPr>
          <w:color w:val="auto"/>
          <w:highlight w:val="lightGray"/>
        </w:rPr>
        <w:t>No</w:t>
      </w:r>
    </w:p>
    <w:p w14:paraId="623DC91B" w14:textId="77777777" w:rsidR="00BA160A" w:rsidRPr="00722521" w:rsidRDefault="00BA160A" w:rsidP="00526186">
      <w:pPr>
        <w:pStyle w:val="CEABullet-Level1"/>
        <w:rPr>
          <w:color w:val="auto"/>
          <w:highlight w:val="lightGray"/>
        </w:rPr>
      </w:pPr>
      <w:r w:rsidRPr="00722521">
        <w:rPr>
          <w:color w:val="auto"/>
          <w:highlight w:val="lightGray"/>
        </w:rPr>
        <w:t>Don’t know / no opinion / not relevant</w:t>
      </w:r>
    </w:p>
    <w:p w14:paraId="7758F403" w14:textId="6CF61A0C" w:rsidR="00BA160A" w:rsidRPr="00722521" w:rsidRDefault="00BA160A" w:rsidP="00A903E6">
      <w:pPr>
        <w:mirrorIndents/>
        <w:rPr>
          <w:sz w:val="17"/>
          <w:szCs w:val="17"/>
        </w:rPr>
      </w:pPr>
    </w:p>
    <w:p w14:paraId="38524070" w14:textId="4486E83F" w:rsidR="009C267A" w:rsidRPr="00722521" w:rsidRDefault="009C267A" w:rsidP="00A903E6">
      <w:pPr>
        <w:mirrorIndents/>
        <w:rPr>
          <w:sz w:val="17"/>
          <w:szCs w:val="17"/>
        </w:rPr>
      </w:pPr>
      <w:r w:rsidRPr="00722521">
        <w:rPr>
          <w:sz w:val="17"/>
          <w:szCs w:val="17"/>
        </w:rPr>
        <w:t>Yes</w:t>
      </w:r>
    </w:p>
    <w:p w14:paraId="0688822C" w14:textId="77777777" w:rsidR="009C267A" w:rsidRPr="00722521" w:rsidRDefault="009C267A" w:rsidP="00A903E6">
      <w:pPr>
        <w:mirrorIndents/>
        <w:rPr>
          <w:sz w:val="17"/>
          <w:szCs w:val="17"/>
        </w:rPr>
      </w:pPr>
    </w:p>
    <w:p w14:paraId="2A9603D0" w14:textId="38FFBA1D"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lastRenderedPageBreak/>
        <w:t>Question 6.4.2.1 Which of the three levels and/or a combination thereof are more effective in building the single rulebook?</w:t>
      </w:r>
    </w:p>
    <w:p w14:paraId="32B5D79A" w14:textId="77777777" w:rsidR="00526186" w:rsidRPr="00722521" w:rsidRDefault="00BA160A" w:rsidP="00526186">
      <w:pPr>
        <w:pStyle w:val="CEABullet-Level1"/>
        <w:rPr>
          <w:rFonts w:cs="Times New Roman"/>
          <w:color w:val="auto"/>
          <w:szCs w:val="17"/>
          <w:highlight w:val="lightGray"/>
        </w:rPr>
      </w:pPr>
      <w:r w:rsidRPr="00722521">
        <w:rPr>
          <w:rFonts w:cs="Times New Roman"/>
          <w:color w:val="auto"/>
          <w:szCs w:val="17"/>
          <w:highlight w:val="lightGray"/>
        </w:rPr>
        <w:t>Level 1 (legislation agreed by the co-legislators)</w:t>
      </w:r>
    </w:p>
    <w:p w14:paraId="4AD2FD7F" w14:textId="77777777" w:rsidR="00526186" w:rsidRPr="00722521" w:rsidRDefault="00BA160A" w:rsidP="00526186">
      <w:pPr>
        <w:pStyle w:val="CEABullet-Level1"/>
        <w:rPr>
          <w:color w:val="auto"/>
          <w:highlight w:val="lightGray"/>
        </w:rPr>
      </w:pPr>
      <w:r w:rsidRPr="00722521">
        <w:rPr>
          <w:color w:val="auto"/>
          <w:highlight w:val="lightGray"/>
        </w:rPr>
        <w:t xml:space="preserve">Level 2 (e.g. delegated acts and technical standards) </w:t>
      </w:r>
    </w:p>
    <w:p w14:paraId="38E43D3D" w14:textId="4C61464E" w:rsidR="00BA160A" w:rsidRPr="00722521" w:rsidRDefault="00BA160A" w:rsidP="00526186">
      <w:pPr>
        <w:pStyle w:val="CEABullet-Level1"/>
        <w:rPr>
          <w:color w:val="auto"/>
          <w:highlight w:val="lightGray"/>
        </w:rPr>
      </w:pPr>
      <w:r w:rsidRPr="00722521">
        <w:rPr>
          <w:color w:val="auto"/>
          <w:highlight w:val="lightGray"/>
        </w:rPr>
        <w:t>Level 3 (‘comply or explain guidance’ by ESAs)</w:t>
      </w:r>
    </w:p>
    <w:p w14:paraId="76CCFF71" w14:textId="464898DE" w:rsidR="00526186" w:rsidRPr="00722521" w:rsidRDefault="00526186" w:rsidP="00526186">
      <w:pPr>
        <w:pStyle w:val="Textkrper"/>
        <w:ind w:left="0"/>
        <w:mirrorIndents/>
        <w:rPr>
          <w:rFonts w:ascii="Verdana" w:hAnsi="Verdana"/>
          <w:sz w:val="17"/>
          <w:szCs w:val="17"/>
        </w:rPr>
      </w:pPr>
    </w:p>
    <w:p w14:paraId="486C48AD" w14:textId="6BB5FF3D" w:rsidR="009C267A" w:rsidRPr="00722521" w:rsidRDefault="009C267A" w:rsidP="009C267A">
      <w:pPr>
        <w:mirrorIndents/>
        <w:rPr>
          <w:sz w:val="17"/>
          <w:szCs w:val="17"/>
        </w:rPr>
      </w:pPr>
      <w:r w:rsidRPr="00722521">
        <w:rPr>
          <w:sz w:val="17"/>
          <w:szCs w:val="17"/>
        </w:rPr>
        <w:t>Level 1, Level 2, Level 3</w:t>
      </w:r>
    </w:p>
    <w:p w14:paraId="400DA558" w14:textId="77777777" w:rsidR="009C267A" w:rsidRPr="00722521" w:rsidRDefault="009C267A" w:rsidP="00526186">
      <w:pPr>
        <w:pStyle w:val="Textkrper"/>
        <w:ind w:left="0"/>
        <w:mirrorIndents/>
        <w:rPr>
          <w:rFonts w:ascii="Verdana" w:hAnsi="Verdana"/>
          <w:sz w:val="17"/>
          <w:szCs w:val="17"/>
        </w:rPr>
      </w:pPr>
    </w:p>
    <w:p w14:paraId="270E1445" w14:textId="1B53BED7"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6.4.2 and 6.4.2.1:</w:t>
      </w:r>
    </w:p>
    <w:p w14:paraId="2010FDAA" w14:textId="77777777" w:rsidR="00526186" w:rsidRPr="00722521" w:rsidRDefault="00526186" w:rsidP="00526186">
      <w:pPr>
        <w:mirrorIndents/>
        <w:rPr>
          <w:sz w:val="17"/>
          <w:szCs w:val="17"/>
        </w:rPr>
      </w:pPr>
    </w:p>
    <w:p w14:paraId="082AF9EE" w14:textId="750FB9FC" w:rsidR="0007384F" w:rsidRPr="00722521" w:rsidRDefault="00722521" w:rsidP="0007384F">
      <w:pPr>
        <w:mirrorIndents/>
        <w:rPr>
          <w:sz w:val="17"/>
          <w:szCs w:val="17"/>
        </w:rPr>
      </w:pPr>
      <w:r>
        <w:rPr>
          <w:sz w:val="17"/>
          <w:szCs w:val="17"/>
        </w:rPr>
        <w:t>VVO</w:t>
      </w:r>
      <w:r w:rsidR="0007384F" w:rsidRPr="00722521">
        <w:rPr>
          <w:sz w:val="17"/>
          <w:szCs w:val="17"/>
        </w:rPr>
        <w:t xml:space="preserve"> believes that an approach focusing on regulatory convergence and consistency would enhance the functioning and integrity of the EU single market (for insurance).</w:t>
      </w:r>
    </w:p>
    <w:p w14:paraId="73C2D9E7" w14:textId="77777777" w:rsidR="0007384F" w:rsidRPr="00722521" w:rsidRDefault="0007384F" w:rsidP="0007384F">
      <w:pPr>
        <w:mirrorIndents/>
        <w:rPr>
          <w:sz w:val="17"/>
          <w:szCs w:val="17"/>
        </w:rPr>
      </w:pPr>
    </w:p>
    <w:p w14:paraId="152E66D6" w14:textId="41B011DB" w:rsidR="0007384F" w:rsidRPr="00722521" w:rsidRDefault="0007384F" w:rsidP="0007384F">
      <w:pPr>
        <w:mirrorIndents/>
        <w:rPr>
          <w:sz w:val="17"/>
          <w:szCs w:val="17"/>
        </w:rPr>
      </w:pPr>
      <w:r w:rsidRPr="00722521">
        <w:rPr>
          <w:sz w:val="17"/>
          <w:szCs w:val="17"/>
        </w:rPr>
        <w:t xml:space="preserve">Among the Solvency II framework, the proportionate application of the Solvency II can be a good example on how convergence can be enhanced across all three levels. In its assessment ahead of the current Solvency II review, EIOPA found that the proportionate application of Solvency II is very inconsistent across the Union as it is fully left to </w:t>
      </w:r>
      <w:r w:rsidR="009C267A" w:rsidRPr="00722521">
        <w:rPr>
          <w:sz w:val="17"/>
          <w:szCs w:val="17"/>
        </w:rPr>
        <w:t>m</w:t>
      </w:r>
      <w:r w:rsidRPr="00722521">
        <w:rPr>
          <w:sz w:val="17"/>
          <w:szCs w:val="17"/>
        </w:rPr>
        <w:t xml:space="preserve">ember </w:t>
      </w:r>
      <w:r w:rsidR="009C267A" w:rsidRPr="00722521">
        <w:rPr>
          <w:sz w:val="17"/>
          <w:szCs w:val="17"/>
        </w:rPr>
        <w:t>s</w:t>
      </w:r>
      <w:r w:rsidRPr="00722521">
        <w:rPr>
          <w:sz w:val="17"/>
          <w:szCs w:val="17"/>
        </w:rPr>
        <w:t>tates/N</w:t>
      </w:r>
      <w:r w:rsidR="009C267A" w:rsidRPr="00722521">
        <w:rPr>
          <w:sz w:val="17"/>
          <w:szCs w:val="17"/>
        </w:rPr>
        <w:t>S</w:t>
      </w:r>
      <w:r w:rsidRPr="00722521">
        <w:rPr>
          <w:sz w:val="17"/>
          <w:szCs w:val="17"/>
        </w:rPr>
        <w:t>As to determine how the rules are applied in accordance with nature, scale and complexity of the risks inherent in an insurance business.</w:t>
      </w:r>
      <w:r w:rsidR="009C267A" w:rsidRPr="00722521">
        <w:rPr>
          <w:sz w:val="17"/>
          <w:szCs w:val="17"/>
        </w:rPr>
        <w:t xml:space="preserve"> This example illustrates how the 3 levels will participate in a harmonised approach.</w:t>
      </w:r>
    </w:p>
    <w:p w14:paraId="302BD338" w14:textId="5DC0E982" w:rsidR="0007384F" w:rsidRPr="00722521" w:rsidRDefault="0007384F" w:rsidP="0007384F">
      <w:pPr>
        <w:mirrorIndents/>
        <w:rPr>
          <w:sz w:val="17"/>
          <w:szCs w:val="17"/>
        </w:rPr>
      </w:pPr>
    </w:p>
    <w:p w14:paraId="6B86308F" w14:textId="110C746A" w:rsidR="00D114E8" w:rsidRPr="00722521" w:rsidRDefault="00722521" w:rsidP="00D114E8">
      <w:pPr>
        <w:mirrorIndents/>
        <w:rPr>
          <w:sz w:val="17"/>
          <w:szCs w:val="17"/>
        </w:rPr>
      </w:pPr>
      <w:r>
        <w:rPr>
          <w:sz w:val="17"/>
          <w:szCs w:val="17"/>
        </w:rPr>
        <w:t>VVO</w:t>
      </w:r>
      <w:r w:rsidR="00D114E8" w:rsidRPr="00722521">
        <w:rPr>
          <w:sz w:val="17"/>
          <w:szCs w:val="17"/>
        </w:rPr>
        <w:t xml:space="preserve"> has strong reservations vis-à-vis the Level 3 – Guidelines. </w:t>
      </w:r>
      <w:r w:rsidR="00DA78DF" w:rsidRPr="00722521">
        <w:rPr>
          <w:sz w:val="17"/>
          <w:szCs w:val="17"/>
        </w:rPr>
        <w:t>T</w:t>
      </w:r>
      <w:r w:rsidR="00D114E8" w:rsidRPr="00722521">
        <w:rPr>
          <w:sz w:val="17"/>
          <w:szCs w:val="17"/>
        </w:rPr>
        <w:t xml:space="preserve">he </w:t>
      </w:r>
      <w:r w:rsidR="00ED490F" w:rsidRPr="00722521">
        <w:rPr>
          <w:sz w:val="17"/>
          <w:szCs w:val="17"/>
        </w:rPr>
        <w:t>“hard”</w:t>
      </w:r>
      <w:r w:rsidR="00D114E8" w:rsidRPr="00722521">
        <w:rPr>
          <w:sz w:val="17"/>
          <w:szCs w:val="17"/>
        </w:rPr>
        <w:t xml:space="preserve"> regulation, made of a balance between principle-based regulation at level 1 and more rule-based regulation at level 2 where required to guarantee maximum harmonisation, should be self-explanatory and therefore self-sufficient. </w:t>
      </w:r>
      <w:r w:rsidR="00ED490F" w:rsidRPr="00722521">
        <w:rPr>
          <w:sz w:val="17"/>
          <w:szCs w:val="17"/>
        </w:rPr>
        <w:t>There is</w:t>
      </w:r>
      <w:r w:rsidR="00D114E8" w:rsidRPr="00722521">
        <w:rPr>
          <w:sz w:val="17"/>
          <w:szCs w:val="17"/>
        </w:rPr>
        <w:t xml:space="preserve"> no evidence of the Level 3 making the level 1 and 2 easier to apply for the industry. On the contrary, although not being binding in principle, they considerably add to the compliance burden in practice. We believe that the problem is well described by ECJ </w:t>
      </w:r>
      <w:proofErr w:type="spellStart"/>
      <w:r w:rsidR="00D114E8" w:rsidRPr="00722521">
        <w:rPr>
          <w:sz w:val="17"/>
          <w:szCs w:val="17"/>
        </w:rPr>
        <w:t>Advocat</w:t>
      </w:r>
      <w:proofErr w:type="spellEnd"/>
      <w:r w:rsidR="00D114E8" w:rsidRPr="00722521">
        <w:rPr>
          <w:sz w:val="17"/>
          <w:szCs w:val="17"/>
        </w:rPr>
        <w:t xml:space="preserve"> General Michal </w:t>
      </w:r>
      <w:proofErr w:type="spellStart"/>
      <w:r w:rsidR="00D114E8" w:rsidRPr="00722521">
        <w:rPr>
          <w:sz w:val="17"/>
          <w:szCs w:val="17"/>
        </w:rPr>
        <w:t>Bobak</w:t>
      </w:r>
      <w:proofErr w:type="spellEnd"/>
      <w:r w:rsidR="00D114E8" w:rsidRPr="00722521">
        <w:rPr>
          <w:sz w:val="17"/>
          <w:szCs w:val="17"/>
        </w:rPr>
        <w:t xml:space="preserve"> in his Opinion on Case C-911/19.</w:t>
      </w:r>
    </w:p>
    <w:p w14:paraId="1601DED4" w14:textId="77777777" w:rsidR="00D114E8" w:rsidRPr="00722521" w:rsidRDefault="00D114E8" w:rsidP="00D114E8">
      <w:pPr>
        <w:mirrorIndents/>
        <w:rPr>
          <w:sz w:val="17"/>
          <w:szCs w:val="17"/>
        </w:rPr>
      </w:pPr>
    </w:p>
    <w:p w14:paraId="4CCAF7BE" w14:textId="306D7CFB" w:rsidR="00D114E8" w:rsidRPr="00722521" w:rsidRDefault="00D114E8" w:rsidP="0007384F">
      <w:pPr>
        <w:mirrorIndents/>
        <w:rPr>
          <w:sz w:val="17"/>
          <w:szCs w:val="17"/>
        </w:rPr>
      </w:pPr>
      <w:r w:rsidRPr="00722521">
        <w:rPr>
          <w:sz w:val="17"/>
          <w:szCs w:val="17"/>
        </w:rPr>
        <w:t>Reasons advanced by EIOPA to issue guidelines are often shallow or hypothetical and concrete evidence of wrongdoings that the guidelines prevent are missing. In reality, guidelines are often more difficult to interpret that the binding legal text they try to explain. As a result, it may well be that the guidelines themselves are interpreted differently from one supervisor to another, so negating the purpose of bringing convergence. In most instances, the matters addressed by the guidelines are either clearly covered by the Solvency II legislation or could have been simply addressed by more discussions/cooperation between the N</w:t>
      </w:r>
      <w:r w:rsidR="00ED490F" w:rsidRPr="00722521">
        <w:rPr>
          <w:sz w:val="17"/>
          <w:szCs w:val="17"/>
        </w:rPr>
        <w:t>S</w:t>
      </w:r>
      <w:r w:rsidRPr="00722521">
        <w:rPr>
          <w:sz w:val="17"/>
          <w:szCs w:val="17"/>
        </w:rPr>
        <w:t xml:space="preserve">As that raised the issue.  </w:t>
      </w:r>
    </w:p>
    <w:p w14:paraId="34EC0678" w14:textId="77777777" w:rsidR="00D114E8" w:rsidRPr="00722521" w:rsidRDefault="00D114E8" w:rsidP="0007384F">
      <w:pPr>
        <w:mirrorIndents/>
        <w:rPr>
          <w:sz w:val="17"/>
          <w:szCs w:val="17"/>
        </w:rPr>
      </w:pPr>
    </w:p>
    <w:p w14:paraId="242E00A4" w14:textId="0DE8BD13" w:rsidR="009C267A" w:rsidRPr="00722521" w:rsidRDefault="009C267A" w:rsidP="0007384F">
      <w:pPr>
        <w:mirrorIndents/>
        <w:rPr>
          <w:sz w:val="17"/>
          <w:szCs w:val="17"/>
        </w:rPr>
      </w:pPr>
      <w:r w:rsidRPr="00722521">
        <w:rPr>
          <w:sz w:val="17"/>
          <w:szCs w:val="17"/>
        </w:rPr>
        <w:t>The industry is proposing to:</w:t>
      </w:r>
    </w:p>
    <w:p w14:paraId="2FE3721D" w14:textId="39F93CF3" w:rsidR="009C267A" w:rsidRPr="00722521" w:rsidRDefault="009C267A" w:rsidP="009C267A">
      <w:pPr>
        <w:pStyle w:val="CEABullet-Level1"/>
        <w:rPr>
          <w:color w:val="auto"/>
        </w:rPr>
      </w:pPr>
      <w:r w:rsidRPr="00722521">
        <w:rPr>
          <w:color w:val="auto"/>
        </w:rPr>
        <w:t>Clarify at level 1 that NSAs are allowed and obliged to consider proportionality</w:t>
      </w:r>
    </w:p>
    <w:p w14:paraId="4A07F095" w14:textId="6224AE56" w:rsidR="009C267A" w:rsidRPr="00722521" w:rsidRDefault="009C267A" w:rsidP="009C267A">
      <w:pPr>
        <w:pStyle w:val="CEABullet-Level1"/>
        <w:rPr>
          <w:color w:val="auto"/>
        </w:rPr>
      </w:pPr>
      <w:r w:rsidRPr="00722521">
        <w:rPr>
          <w:color w:val="auto"/>
        </w:rPr>
        <w:t>Define the category of low risk undertakings which would be allowed to apply automatically a set of proportionality measures at level 2</w:t>
      </w:r>
    </w:p>
    <w:p w14:paraId="344109DC" w14:textId="476FE1F7" w:rsidR="009C267A" w:rsidRPr="00722521" w:rsidRDefault="009C267A" w:rsidP="009C267A">
      <w:pPr>
        <w:pStyle w:val="CEABullet-Level1"/>
        <w:rPr>
          <w:color w:val="auto"/>
        </w:rPr>
      </w:pPr>
      <w:r w:rsidRPr="00722521">
        <w:rPr>
          <w:color w:val="auto"/>
        </w:rPr>
        <w:t xml:space="preserve">Develop a non-exhaustive list of measures to apply automatically when some </w:t>
      </w:r>
      <w:r w:rsidR="00364E2D" w:rsidRPr="00722521">
        <w:rPr>
          <w:color w:val="auto"/>
        </w:rPr>
        <w:t>risk-based</w:t>
      </w:r>
      <w:r w:rsidRPr="00722521">
        <w:rPr>
          <w:color w:val="auto"/>
        </w:rPr>
        <w:t xml:space="preserve"> criteria are met at level “2.5” - ITS</w:t>
      </w:r>
    </w:p>
    <w:p w14:paraId="56F7DF9B" w14:textId="5DEAA26C" w:rsidR="00526186" w:rsidRPr="00722521" w:rsidRDefault="009C267A" w:rsidP="009C267A">
      <w:pPr>
        <w:pStyle w:val="CEABullet-Level1"/>
        <w:rPr>
          <w:color w:val="auto"/>
        </w:rPr>
      </w:pPr>
      <w:r w:rsidRPr="00722521">
        <w:rPr>
          <w:color w:val="auto"/>
        </w:rPr>
        <w:t>Review existing guidelines at level 3, develop new ones and publish an annual report on the use of proportionality.</w:t>
      </w:r>
    </w:p>
    <w:p w14:paraId="233AC52C" w14:textId="77777777" w:rsidR="00526186" w:rsidRPr="00722521" w:rsidRDefault="00526186" w:rsidP="00526186">
      <w:pPr>
        <w:mirrorIndents/>
        <w:rPr>
          <w:sz w:val="17"/>
          <w:szCs w:val="17"/>
        </w:rPr>
      </w:pPr>
    </w:p>
    <w:p w14:paraId="1B80D374" w14:textId="3E2B6E7F" w:rsidR="00BA160A" w:rsidRPr="00722521" w:rsidRDefault="00BA160A" w:rsidP="00526186">
      <w:pPr>
        <w:mirrorIndents/>
        <w:rPr>
          <w:b/>
          <w:bCs/>
          <w:sz w:val="17"/>
          <w:szCs w:val="17"/>
        </w:rPr>
      </w:pPr>
      <w:r w:rsidRPr="00722521">
        <w:rPr>
          <w:b/>
          <w:sz w:val="17"/>
          <w:szCs w:val="17"/>
          <w:highlight w:val="lightGray"/>
        </w:rPr>
        <w:t xml:space="preserve">Question </w:t>
      </w:r>
      <w:proofErr w:type="gramStart"/>
      <w:r w:rsidRPr="00722521">
        <w:rPr>
          <w:b/>
          <w:sz w:val="17"/>
          <w:szCs w:val="17"/>
          <w:highlight w:val="lightGray"/>
        </w:rPr>
        <w:t>6.5 Generally speaking, which</w:t>
      </w:r>
      <w:proofErr w:type="gramEnd"/>
      <w:r w:rsidRPr="00722521">
        <w:rPr>
          <w:b/>
          <w:sz w:val="17"/>
          <w:szCs w:val="17"/>
          <w:highlight w:val="lightGray"/>
        </w:rPr>
        <w:t xml:space="preserve"> level of regulation should be enhanced/tightened in order to ensure uniform application of the single rulebook?</w:t>
      </w:r>
    </w:p>
    <w:p w14:paraId="2B96D8F8" w14:textId="77777777" w:rsidR="00526186" w:rsidRPr="00722521" w:rsidRDefault="00BA160A" w:rsidP="00526186">
      <w:pPr>
        <w:pStyle w:val="CEABullet-Level1"/>
        <w:rPr>
          <w:color w:val="auto"/>
          <w:highlight w:val="lightGray"/>
        </w:rPr>
      </w:pPr>
      <w:r w:rsidRPr="00722521">
        <w:rPr>
          <w:color w:val="auto"/>
          <w:highlight w:val="lightGray"/>
        </w:rPr>
        <w:t xml:space="preserve">Level 1 (legislation agreed by the co-legislators) </w:t>
      </w:r>
    </w:p>
    <w:p w14:paraId="37CD1168" w14:textId="77777777" w:rsidR="00526186" w:rsidRPr="00722521" w:rsidRDefault="00BA160A" w:rsidP="00526186">
      <w:pPr>
        <w:pStyle w:val="CEABullet-Level1"/>
        <w:rPr>
          <w:color w:val="auto"/>
          <w:highlight w:val="lightGray"/>
        </w:rPr>
      </w:pPr>
      <w:r w:rsidRPr="00722521">
        <w:rPr>
          <w:color w:val="auto"/>
          <w:highlight w:val="lightGray"/>
        </w:rPr>
        <w:t xml:space="preserve">Level 2 (e.g. delegated acts and technical standards) </w:t>
      </w:r>
    </w:p>
    <w:p w14:paraId="1ED381A2" w14:textId="08657884" w:rsidR="00BA160A" w:rsidRPr="00722521" w:rsidRDefault="00BA160A" w:rsidP="00526186">
      <w:pPr>
        <w:pStyle w:val="CEABullet-Level1"/>
        <w:rPr>
          <w:color w:val="auto"/>
          <w:highlight w:val="lightGray"/>
        </w:rPr>
      </w:pPr>
      <w:r w:rsidRPr="00722521">
        <w:rPr>
          <w:color w:val="auto"/>
          <w:highlight w:val="lightGray"/>
        </w:rPr>
        <w:t>Level 3 (‘comply or explain guidance’ by ESAs)</w:t>
      </w:r>
    </w:p>
    <w:p w14:paraId="10D5D932" w14:textId="5004D40B" w:rsidR="00526186" w:rsidRPr="00722521" w:rsidRDefault="00526186" w:rsidP="00526186">
      <w:pPr>
        <w:pStyle w:val="Textkrper"/>
        <w:ind w:left="0"/>
        <w:mirrorIndents/>
        <w:rPr>
          <w:rFonts w:ascii="Verdana" w:hAnsi="Verdana"/>
          <w:sz w:val="17"/>
          <w:szCs w:val="17"/>
        </w:rPr>
      </w:pPr>
    </w:p>
    <w:p w14:paraId="035C888E" w14:textId="77777777" w:rsidR="00364E2D" w:rsidRPr="00722521" w:rsidRDefault="00364E2D" w:rsidP="00364E2D">
      <w:pPr>
        <w:mirrorIndents/>
        <w:rPr>
          <w:sz w:val="17"/>
          <w:szCs w:val="17"/>
        </w:rPr>
      </w:pPr>
      <w:r w:rsidRPr="00722521">
        <w:rPr>
          <w:sz w:val="17"/>
          <w:szCs w:val="17"/>
        </w:rPr>
        <w:t>Level 1, Level 2, Level 3</w:t>
      </w:r>
    </w:p>
    <w:p w14:paraId="64479345" w14:textId="77777777" w:rsidR="00364E2D" w:rsidRPr="00722521" w:rsidRDefault="00364E2D" w:rsidP="00526186">
      <w:pPr>
        <w:pStyle w:val="Textkrper"/>
        <w:ind w:left="0"/>
        <w:mirrorIndents/>
        <w:rPr>
          <w:rFonts w:ascii="Verdana" w:hAnsi="Verdana"/>
          <w:sz w:val="17"/>
          <w:szCs w:val="17"/>
        </w:rPr>
      </w:pPr>
    </w:p>
    <w:p w14:paraId="3320E1F8" w14:textId="51219820"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Please explain your answer to question 6.5 and substantiate with examples, where possible:</w:t>
      </w:r>
    </w:p>
    <w:p w14:paraId="3C9B8D09" w14:textId="5DE94B0B" w:rsidR="00BA160A" w:rsidRPr="00722521" w:rsidRDefault="00BA160A" w:rsidP="00A903E6">
      <w:pPr>
        <w:mirrorIndents/>
        <w:rPr>
          <w:sz w:val="17"/>
          <w:szCs w:val="17"/>
        </w:rPr>
      </w:pPr>
    </w:p>
    <w:p w14:paraId="2F6648A3" w14:textId="54937968" w:rsidR="0007384F" w:rsidRPr="00722521" w:rsidRDefault="00722521" w:rsidP="0007384F">
      <w:pPr>
        <w:mirrorIndents/>
        <w:rPr>
          <w:sz w:val="17"/>
          <w:szCs w:val="17"/>
        </w:rPr>
      </w:pPr>
      <w:r>
        <w:rPr>
          <w:sz w:val="17"/>
          <w:szCs w:val="17"/>
        </w:rPr>
        <w:lastRenderedPageBreak/>
        <w:t>VVO</w:t>
      </w:r>
      <w:r w:rsidR="0007384F" w:rsidRPr="00722521">
        <w:rPr>
          <w:sz w:val="17"/>
          <w:szCs w:val="17"/>
        </w:rPr>
        <w:t xml:space="preserve"> believes that a cascade of measures is necessary. As stated above, regulatory convergence is the basis for a uniform single rulebook. Therefore, level 1 and level 2 must </w:t>
      </w:r>
      <w:r w:rsidR="00D114E8" w:rsidRPr="00722521">
        <w:rPr>
          <w:sz w:val="17"/>
          <w:szCs w:val="17"/>
        </w:rPr>
        <w:t xml:space="preserve">be </w:t>
      </w:r>
      <w:r w:rsidR="00581246" w:rsidRPr="00722521">
        <w:rPr>
          <w:sz w:val="17"/>
          <w:szCs w:val="17"/>
        </w:rPr>
        <w:t>self-explanatory</w:t>
      </w:r>
      <w:r w:rsidR="00D114E8" w:rsidRPr="00722521">
        <w:rPr>
          <w:sz w:val="17"/>
          <w:szCs w:val="17"/>
        </w:rPr>
        <w:t xml:space="preserve"> and as a result </w:t>
      </w:r>
      <w:r w:rsidR="00581246" w:rsidRPr="00722521">
        <w:rPr>
          <w:sz w:val="17"/>
          <w:szCs w:val="17"/>
        </w:rPr>
        <w:t>self-sufficient</w:t>
      </w:r>
      <w:r w:rsidR="0007384F" w:rsidRPr="00722521">
        <w:rPr>
          <w:sz w:val="17"/>
          <w:szCs w:val="17"/>
        </w:rPr>
        <w:t xml:space="preserve">. Also, the mandate for EIOPA to develop level 3 measures needs to be clearly defined </w:t>
      </w:r>
      <w:r w:rsidR="00D114E8" w:rsidRPr="00722521">
        <w:rPr>
          <w:sz w:val="17"/>
          <w:szCs w:val="17"/>
        </w:rPr>
        <w:t>as, at present, guidelines have not contributed to making the single rulebook more manageable or intelligible, quite the contrary</w:t>
      </w:r>
      <w:r w:rsidR="0007384F" w:rsidRPr="00722521">
        <w:rPr>
          <w:sz w:val="17"/>
          <w:szCs w:val="17"/>
        </w:rPr>
        <w:t xml:space="preserve">. The desire to create a uniform single rulebook must not undermine the legislative process or bring EIOPA into the position of a quasi-regulator filling regulatory gaps. Therefore, a consistent approach is necessary. </w:t>
      </w:r>
    </w:p>
    <w:p w14:paraId="01FD66D1" w14:textId="77777777" w:rsidR="0007384F" w:rsidRPr="00722521" w:rsidRDefault="0007384F" w:rsidP="0007384F">
      <w:pPr>
        <w:mirrorIndents/>
        <w:rPr>
          <w:sz w:val="17"/>
          <w:szCs w:val="17"/>
        </w:rPr>
      </w:pPr>
    </w:p>
    <w:p w14:paraId="59F0E054" w14:textId="064143F0" w:rsidR="00526186" w:rsidRPr="00722521" w:rsidRDefault="0007384F" w:rsidP="00A903E6">
      <w:pPr>
        <w:mirrorIndents/>
        <w:rPr>
          <w:sz w:val="17"/>
          <w:szCs w:val="17"/>
        </w:rPr>
      </w:pPr>
      <w:r w:rsidRPr="00722521">
        <w:rPr>
          <w:sz w:val="17"/>
          <w:szCs w:val="17"/>
        </w:rPr>
        <w:t xml:space="preserve">In addition, the consistency of the legislative process and the hierarchy of the different levels needs to be maintained. The process of the currently developed </w:t>
      </w:r>
      <w:r w:rsidR="00364E2D" w:rsidRPr="00722521">
        <w:rPr>
          <w:sz w:val="17"/>
          <w:szCs w:val="17"/>
        </w:rPr>
        <w:t>s</w:t>
      </w:r>
      <w:r w:rsidRPr="00722521">
        <w:rPr>
          <w:sz w:val="17"/>
          <w:szCs w:val="17"/>
        </w:rPr>
        <w:t xml:space="preserve">ustainable </w:t>
      </w:r>
      <w:r w:rsidR="00364E2D" w:rsidRPr="00722521">
        <w:rPr>
          <w:sz w:val="17"/>
          <w:szCs w:val="17"/>
        </w:rPr>
        <w:t>f</w:t>
      </w:r>
      <w:r w:rsidRPr="00722521">
        <w:rPr>
          <w:sz w:val="17"/>
          <w:szCs w:val="17"/>
        </w:rPr>
        <w:t>inance package highlights</w:t>
      </w:r>
      <w:r w:rsidR="00505ACC" w:rsidRPr="00722521">
        <w:rPr>
          <w:sz w:val="17"/>
          <w:szCs w:val="17"/>
        </w:rPr>
        <w:t xml:space="preserve"> not only</w:t>
      </w:r>
      <w:r w:rsidRPr="00722521">
        <w:rPr>
          <w:sz w:val="17"/>
          <w:szCs w:val="17"/>
        </w:rPr>
        <w:t xml:space="preserve"> how important </w:t>
      </w:r>
      <w:r w:rsidR="00505ACC" w:rsidRPr="00722521">
        <w:rPr>
          <w:sz w:val="17"/>
          <w:szCs w:val="17"/>
        </w:rPr>
        <w:t xml:space="preserve">the timing and sequencing of different pieces of legislation are, but also that they should be coherent with </w:t>
      </w:r>
      <w:r w:rsidRPr="00722521">
        <w:rPr>
          <w:sz w:val="17"/>
          <w:szCs w:val="17"/>
        </w:rPr>
        <w:t xml:space="preserve">each other and not </w:t>
      </w:r>
      <w:r w:rsidR="00505ACC" w:rsidRPr="00722521">
        <w:rPr>
          <w:sz w:val="17"/>
          <w:szCs w:val="17"/>
        </w:rPr>
        <w:t xml:space="preserve">be </w:t>
      </w:r>
      <w:r w:rsidRPr="00722521">
        <w:rPr>
          <w:sz w:val="17"/>
          <w:szCs w:val="17"/>
        </w:rPr>
        <w:t>developed in parallel.</w:t>
      </w:r>
    </w:p>
    <w:p w14:paraId="53404359" w14:textId="77777777" w:rsidR="00526186" w:rsidRPr="00722521" w:rsidRDefault="00526186" w:rsidP="00A903E6">
      <w:pPr>
        <w:mirrorIndents/>
        <w:rPr>
          <w:sz w:val="17"/>
          <w:szCs w:val="17"/>
        </w:rPr>
      </w:pPr>
    </w:p>
    <w:p w14:paraId="367E5CAD"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Question 6.6 In your view, what, if anything and considering legal limitations, should be improved in terms of determining application dates and sequencing of level 1, level 2 and level 3?</w:t>
      </w:r>
    </w:p>
    <w:p w14:paraId="70ABFF9B" w14:textId="6279F931" w:rsidR="00526186" w:rsidRPr="00722521" w:rsidRDefault="00526186" w:rsidP="00A903E6">
      <w:pPr>
        <w:mirrorIndents/>
        <w:rPr>
          <w:sz w:val="17"/>
          <w:szCs w:val="17"/>
        </w:rPr>
      </w:pPr>
    </w:p>
    <w:p w14:paraId="7C59BB3E" w14:textId="3C3477E2" w:rsidR="00526186" w:rsidRPr="00722521" w:rsidRDefault="00722521" w:rsidP="00A903E6">
      <w:pPr>
        <w:mirrorIndents/>
        <w:rPr>
          <w:sz w:val="17"/>
          <w:szCs w:val="17"/>
        </w:rPr>
      </w:pPr>
      <w:r>
        <w:rPr>
          <w:sz w:val="17"/>
          <w:szCs w:val="17"/>
        </w:rPr>
        <w:t>VVO</w:t>
      </w:r>
      <w:r w:rsidR="00364E2D" w:rsidRPr="00722521">
        <w:rPr>
          <w:sz w:val="17"/>
          <w:szCs w:val="17"/>
        </w:rPr>
        <w:t xml:space="preserve"> is of the view that t</w:t>
      </w:r>
      <w:r w:rsidR="0007384F" w:rsidRPr="00722521">
        <w:rPr>
          <w:sz w:val="17"/>
          <w:szCs w:val="17"/>
        </w:rPr>
        <w:t xml:space="preserve">he hierarchy of the legislative process or the sequencing of measures is absolutely indispensable for creating a consistent single rulebook. </w:t>
      </w:r>
    </w:p>
    <w:p w14:paraId="10EA6A70" w14:textId="0FBAB9C3" w:rsidR="001202AF" w:rsidRPr="00722521" w:rsidRDefault="001202AF" w:rsidP="00A903E6">
      <w:pPr>
        <w:mirrorIndents/>
        <w:rPr>
          <w:sz w:val="17"/>
          <w:szCs w:val="17"/>
        </w:rPr>
      </w:pPr>
    </w:p>
    <w:p w14:paraId="0E5885C8" w14:textId="74C258A0" w:rsidR="001202AF" w:rsidRPr="00722521" w:rsidRDefault="001202AF" w:rsidP="001202AF">
      <w:pPr>
        <w:mirrorIndents/>
        <w:rPr>
          <w:sz w:val="17"/>
          <w:szCs w:val="17"/>
        </w:rPr>
      </w:pPr>
      <w:r w:rsidRPr="00722521">
        <w:rPr>
          <w:sz w:val="17"/>
          <w:szCs w:val="17"/>
        </w:rPr>
        <w:t xml:space="preserve">Deficiencies in the </w:t>
      </w:r>
      <w:proofErr w:type="spellStart"/>
      <w:r w:rsidRPr="00722521">
        <w:rPr>
          <w:sz w:val="17"/>
          <w:szCs w:val="17"/>
        </w:rPr>
        <w:t>Lamfalussy</w:t>
      </w:r>
      <w:proofErr w:type="spellEnd"/>
      <w:r w:rsidRPr="00722521">
        <w:rPr>
          <w:sz w:val="17"/>
          <w:szCs w:val="17"/>
        </w:rPr>
        <w:t xml:space="preserve"> process have created unnecessary compliance constraints for the industry, which is often left with insufficient time to implement the required changes in their processes. This has been because the time necessary for the development, adoption, translation and publication of the Level 2 texts that are crucial for proper implementation has rarely been taken into account when setting implementation deadlines. </w:t>
      </w:r>
    </w:p>
    <w:p w14:paraId="5ECED7F3" w14:textId="77777777" w:rsidR="003815E0" w:rsidRPr="00722521" w:rsidRDefault="003815E0" w:rsidP="001202AF">
      <w:pPr>
        <w:mirrorIndents/>
        <w:rPr>
          <w:sz w:val="17"/>
          <w:szCs w:val="17"/>
        </w:rPr>
      </w:pPr>
    </w:p>
    <w:p w14:paraId="7510F928" w14:textId="4343B068" w:rsidR="001202AF" w:rsidRPr="00722521" w:rsidRDefault="001202AF" w:rsidP="001202AF">
      <w:pPr>
        <w:mirrorIndents/>
        <w:rPr>
          <w:sz w:val="17"/>
          <w:szCs w:val="17"/>
        </w:rPr>
      </w:pPr>
      <w:r w:rsidRPr="00722521">
        <w:rPr>
          <w:sz w:val="17"/>
          <w:szCs w:val="17"/>
        </w:rPr>
        <w:t xml:space="preserve">It is crucial that the industry be provided with enough time to implement new legislation. It is </w:t>
      </w:r>
      <w:r w:rsidR="003815E0" w:rsidRPr="00722521">
        <w:rPr>
          <w:sz w:val="17"/>
          <w:szCs w:val="17"/>
        </w:rPr>
        <w:t xml:space="preserve">therefore </w:t>
      </w:r>
      <w:r w:rsidRPr="00722521">
        <w:rPr>
          <w:sz w:val="17"/>
          <w:szCs w:val="17"/>
        </w:rPr>
        <w:t xml:space="preserve">necessary to allocate a minimum of one year from the publication of the Level 2 texts in the Official Journal of the EU. </w:t>
      </w:r>
    </w:p>
    <w:p w14:paraId="5F161B2F" w14:textId="6E1DB9C1" w:rsidR="003815E0" w:rsidRPr="00722521" w:rsidRDefault="003815E0" w:rsidP="001202AF">
      <w:pPr>
        <w:mirrorIndents/>
        <w:rPr>
          <w:sz w:val="17"/>
          <w:szCs w:val="17"/>
        </w:rPr>
      </w:pPr>
    </w:p>
    <w:p w14:paraId="056C1F99" w14:textId="5BC1EE61" w:rsidR="003815E0" w:rsidRPr="00722521" w:rsidRDefault="003815E0" w:rsidP="001202AF">
      <w:pPr>
        <w:mirrorIndents/>
        <w:rPr>
          <w:sz w:val="17"/>
          <w:szCs w:val="17"/>
        </w:rPr>
      </w:pPr>
      <w:r w:rsidRPr="00722521">
        <w:rPr>
          <w:sz w:val="17"/>
          <w:szCs w:val="17"/>
        </w:rPr>
        <w:t>Similarly, Level 3 measures that are clarifying Level 1 and 2 texts and are therefore necessary for their proper implementation must be finalised a year before the texts they aim to clarify become applicable.</w:t>
      </w:r>
    </w:p>
    <w:p w14:paraId="0975316E" w14:textId="77777777" w:rsidR="001202AF" w:rsidRPr="00722521" w:rsidRDefault="001202AF" w:rsidP="00A903E6">
      <w:pPr>
        <w:mirrorIndents/>
        <w:rPr>
          <w:sz w:val="17"/>
          <w:szCs w:val="17"/>
        </w:rPr>
      </w:pPr>
    </w:p>
    <w:p w14:paraId="67D010CD" w14:textId="77777777" w:rsidR="00526186" w:rsidRPr="00722521" w:rsidRDefault="00526186" w:rsidP="00A903E6">
      <w:pPr>
        <w:mirrorIndents/>
        <w:rPr>
          <w:sz w:val="17"/>
          <w:szCs w:val="17"/>
        </w:rPr>
      </w:pPr>
    </w:p>
    <w:p w14:paraId="571C87B1"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 xml:space="preserve">Question 6.7 Please indicate whether the following factors should be considered when deciding on the need for further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in rules:</w:t>
      </w:r>
    </w:p>
    <w:tbl>
      <w:tblPr>
        <w:tblW w:w="5000" w:type="pct"/>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CellMar>
          <w:left w:w="0" w:type="dxa"/>
          <w:right w:w="0" w:type="dxa"/>
        </w:tblCellMar>
        <w:tblLook w:val="01E0" w:firstRow="1" w:lastRow="1" w:firstColumn="1" w:lastColumn="1" w:noHBand="0" w:noVBand="0"/>
      </w:tblPr>
      <w:tblGrid>
        <w:gridCol w:w="2103"/>
        <w:gridCol w:w="1520"/>
        <w:gridCol w:w="1195"/>
        <w:gridCol w:w="1012"/>
        <w:gridCol w:w="1167"/>
        <w:gridCol w:w="1167"/>
        <w:gridCol w:w="1347"/>
      </w:tblGrid>
      <w:tr w:rsidR="00BA160A" w:rsidRPr="00722521" w14:paraId="7A357BD8" w14:textId="77777777" w:rsidTr="00526186">
        <w:trPr>
          <w:trHeight w:hRule="exact" w:val="1483"/>
        </w:trPr>
        <w:tc>
          <w:tcPr>
            <w:tcW w:w="1121" w:type="pct"/>
            <w:tcBorders>
              <w:top w:val="single" w:sz="8" w:space="0" w:color="BABABA"/>
              <w:left w:val="single" w:sz="8" w:space="0" w:color="BABABA"/>
              <w:bottom w:val="single" w:sz="8" w:space="0" w:color="BABABA"/>
              <w:right w:val="single" w:sz="8" w:space="0" w:color="BABABA"/>
            </w:tcBorders>
          </w:tcPr>
          <w:p w14:paraId="7C8E8403" w14:textId="77777777" w:rsidR="00BA160A" w:rsidRPr="00722521" w:rsidRDefault="00BA160A" w:rsidP="00A903E6">
            <w:pPr>
              <w:mirrorIndents/>
              <w:rPr>
                <w:sz w:val="17"/>
                <w:szCs w:val="17"/>
              </w:rPr>
            </w:pPr>
          </w:p>
        </w:tc>
        <w:tc>
          <w:tcPr>
            <w:tcW w:w="765" w:type="pct"/>
            <w:tcBorders>
              <w:top w:val="single" w:sz="8" w:space="0" w:color="BABABA"/>
              <w:left w:val="single" w:sz="8" w:space="0" w:color="BABABA"/>
              <w:bottom w:val="single" w:sz="8" w:space="0" w:color="BABABA"/>
              <w:right w:val="single" w:sz="8" w:space="0" w:color="BABABA"/>
            </w:tcBorders>
            <w:hideMark/>
          </w:tcPr>
          <w:p w14:paraId="026B6AD1" w14:textId="77777777" w:rsidR="00BA160A" w:rsidRPr="00722521" w:rsidRDefault="00BA160A" w:rsidP="00A903E6">
            <w:pPr>
              <w:pStyle w:val="TableParagraph"/>
              <w:mirrorIndents/>
              <w:rPr>
                <w:szCs w:val="17"/>
              </w:rPr>
            </w:pPr>
            <w:r w:rsidRPr="00722521">
              <w:rPr>
                <w:w w:val="99"/>
                <w:szCs w:val="17"/>
              </w:rPr>
              <w:t>1</w:t>
            </w:r>
          </w:p>
          <w:p w14:paraId="6DED93FD" w14:textId="77777777" w:rsidR="00BA160A" w:rsidRPr="00722521" w:rsidRDefault="00BA160A" w:rsidP="00A903E6">
            <w:pPr>
              <w:pStyle w:val="TableParagraph"/>
              <w:mirrorIndents/>
              <w:rPr>
                <w:szCs w:val="17"/>
              </w:rPr>
            </w:pPr>
            <w:r w:rsidRPr="00722521">
              <w:rPr>
                <w:w w:val="105"/>
                <w:szCs w:val="17"/>
              </w:rPr>
              <w:t>(unimportant)</w:t>
            </w:r>
          </w:p>
        </w:tc>
        <w:tc>
          <w:tcPr>
            <w:tcW w:w="643" w:type="pct"/>
            <w:tcBorders>
              <w:top w:val="single" w:sz="8" w:space="0" w:color="BABABA"/>
              <w:left w:val="single" w:sz="8" w:space="0" w:color="BABABA"/>
              <w:bottom w:val="single" w:sz="8" w:space="0" w:color="BABABA"/>
              <w:right w:val="single" w:sz="8" w:space="0" w:color="BABABA"/>
            </w:tcBorders>
            <w:hideMark/>
          </w:tcPr>
          <w:p w14:paraId="4E53365D" w14:textId="77777777" w:rsidR="00BA160A" w:rsidRPr="00722521" w:rsidRDefault="00BA160A" w:rsidP="00A903E6">
            <w:pPr>
              <w:pStyle w:val="TableParagraph"/>
              <w:mirrorIndents/>
              <w:rPr>
                <w:szCs w:val="17"/>
              </w:rPr>
            </w:pPr>
            <w:r w:rsidRPr="00722521">
              <w:rPr>
                <w:w w:val="99"/>
                <w:szCs w:val="17"/>
              </w:rPr>
              <w:t>2</w:t>
            </w:r>
          </w:p>
          <w:p w14:paraId="69597C74" w14:textId="77777777" w:rsidR="00BA160A" w:rsidRPr="00722521" w:rsidRDefault="00BA160A" w:rsidP="00A903E6">
            <w:pPr>
              <w:pStyle w:val="TableParagraph"/>
              <w:ind w:hanging="17"/>
              <w:mirrorIndents/>
              <w:rPr>
                <w:szCs w:val="17"/>
              </w:rPr>
            </w:pPr>
            <w:r w:rsidRPr="00722521">
              <w:rPr>
                <w:w w:val="105"/>
                <w:szCs w:val="17"/>
              </w:rPr>
              <w:t xml:space="preserve">(rather not </w:t>
            </w:r>
            <w:r w:rsidRPr="00722521">
              <w:rPr>
                <w:szCs w:val="17"/>
              </w:rPr>
              <w:t>important)</w:t>
            </w:r>
          </w:p>
        </w:tc>
        <w:tc>
          <w:tcPr>
            <w:tcW w:w="509" w:type="pct"/>
            <w:tcBorders>
              <w:top w:val="single" w:sz="8" w:space="0" w:color="BABABA"/>
              <w:left w:val="single" w:sz="8" w:space="0" w:color="BABABA"/>
              <w:bottom w:val="single" w:sz="8" w:space="0" w:color="BABABA"/>
              <w:right w:val="single" w:sz="8" w:space="0" w:color="BABABA"/>
            </w:tcBorders>
            <w:hideMark/>
          </w:tcPr>
          <w:p w14:paraId="290852D9" w14:textId="77777777" w:rsidR="00BA160A" w:rsidRPr="00722521" w:rsidRDefault="00BA160A" w:rsidP="00A903E6">
            <w:pPr>
              <w:pStyle w:val="TableParagraph"/>
              <w:mirrorIndents/>
              <w:rPr>
                <w:szCs w:val="17"/>
              </w:rPr>
            </w:pPr>
            <w:r w:rsidRPr="00722521">
              <w:rPr>
                <w:w w:val="99"/>
                <w:szCs w:val="17"/>
              </w:rPr>
              <w:t>3</w:t>
            </w:r>
          </w:p>
          <w:p w14:paraId="3F5F071B" w14:textId="77777777" w:rsidR="00BA160A" w:rsidRPr="00722521" w:rsidRDefault="00BA160A" w:rsidP="00A903E6">
            <w:pPr>
              <w:pStyle w:val="TableParagraph"/>
              <w:mirrorIndents/>
              <w:rPr>
                <w:szCs w:val="17"/>
              </w:rPr>
            </w:pPr>
            <w:r w:rsidRPr="00722521">
              <w:rPr>
                <w:szCs w:val="17"/>
              </w:rPr>
              <w:t>(neutral)</w:t>
            </w:r>
          </w:p>
        </w:tc>
        <w:tc>
          <w:tcPr>
            <w:tcW w:w="622" w:type="pct"/>
            <w:tcBorders>
              <w:top w:val="single" w:sz="8" w:space="0" w:color="BABABA"/>
              <w:left w:val="single" w:sz="8" w:space="0" w:color="BABABA"/>
              <w:bottom w:val="single" w:sz="8" w:space="0" w:color="BABABA"/>
              <w:right w:val="single" w:sz="8" w:space="0" w:color="BABABA"/>
            </w:tcBorders>
            <w:hideMark/>
          </w:tcPr>
          <w:p w14:paraId="3BA05A18" w14:textId="77777777" w:rsidR="00BA160A" w:rsidRPr="00722521" w:rsidRDefault="00BA160A" w:rsidP="00A903E6">
            <w:pPr>
              <w:pStyle w:val="TableParagraph"/>
              <w:mirrorIndents/>
              <w:rPr>
                <w:szCs w:val="17"/>
              </w:rPr>
            </w:pPr>
            <w:r w:rsidRPr="00722521">
              <w:rPr>
                <w:w w:val="99"/>
                <w:szCs w:val="17"/>
              </w:rPr>
              <w:t>4</w:t>
            </w:r>
          </w:p>
          <w:p w14:paraId="11AD28E8" w14:textId="77777777" w:rsidR="00BA160A" w:rsidRPr="00722521" w:rsidRDefault="00BA160A" w:rsidP="00A903E6">
            <w:pPr>
              <w:pStyle w:val="TableParagraph"/>
              <w:ind w:hanging="55"/>
              <w:mirrorIndents/>
              <w:rPr>
                <w:szCs w:val="17"/>
              </w:rPr>
            </w:pPr>
            <w:r w:rsidRPr="00722521">
              <w:rPr>
                <w:w w:val="105"/>
                <w:szCs w:val="17"/>
              </w:rPr>
              <w:t xml:space="preserve">(rather </w:t>
            </w:r>
            <w:r w:rsidRPr="00722521">
              <w:rPr>
                <w:szCs w:val="17"/>
              </w:rPr>
              <w:t>important)</w:t>
            </w:r>
          </w:p>
        </w:tc>
        <w:tc>
          <w:tcPr>
            <w:tcW w:w="611" w:type="pct"/>
            <w:tcBorders>
              <w:top w:val="single" w:sz="8" w:space="0" w:color="BABABA"/>
              <w:left w:val="single" w:sz="8" w:space="0" w:color="BABABA"/>
              <w:bottom w:val="single" w:sz="8" w:space="0" w:color="BABABA"/>
              <w:right w:val="single" w:sz="8" w:space="0" w:color="BABABA"/>
            </w:tcBorders>
            <w:hideMark/>
          </w:tcPr>
          <w:p w14:paraId="3B070C1F" w14:textId="77777777" w:rsidR="00BA160A" w:rsidRPr="00722521" w:rsidRDefault="00BA160A" w:rsidP="00A903E6">
            <w:pPr>
              <w:pStyle w:val="TableParagraph"/>
              <w:mirrorIndents/>
              <w:rPr>
                <w:szCs w:val="17"/>
              </w:rPr>
            </w:pPr>
            <w:r w:rsidRPr="00722521">
              <w:rPr>
                <w:w w:val="99"/>
                <w:szCs w:val="17"/>
              </w:rPr>
              <w:t>5</w:t>
            </w:r>
          </w:p>
          <w:p w14:paraId="1868D1D0" w14:textId="77777777" w:rsidR="00BA160A" w:rsidRPr="00722521" w:rsidRDefault="00BA160A" w:rsidP="00A903E6">
            <w:pPr>
              <w:pStyle w:val="TableParagraph"/>
              <w:ind w:hanging="56"/>
              <w:mirrorIndents/>
              <w:rPr>
                <w:szCs w:val="17"/>
              </w:rPr>
            </w:pPr>
            <w:r w:rsidRPr="00722521">
              <w:rPr>
                <w:szCs w:val="17"/>
              </w:rPr>
              <w:t>(fully important)</w:t>
            </w:r>
          </w:p>
        </w:tc>
        <w:tc>
          <w:tcPr>
            <w:tcW w:w="730" w:type="pct"/>
            <w:tcBorders>
              <w:top w:val="single" w:sz="8" w:space="0" w:color="BABABA"/>
              <w:left w:val="single" w:sz="8" w:space="0" w:color="BABABA"/>
              <w:bottom w:val="single" w:sz="8" w:space="0" w:color="BABABA"/>
              <w:right w:val="single" w:sz="8" w:space="0" w:color="BABABA"/>
            </w:tcBorders>
            <w:hideMark/>
          </w:tcPr>
          <w:p w14:paraId="0845D628" w14:textId="77777777" w:rsidR="00BA160A" w:rsidRPr="00722521" w:rsidRDefault="00BA160A" w:rsidP="00A903E6">
            <w:pPr>
              <w:pStyle w:val="TableParagraph"/>
              <w:mirrorIndents/>
              <w:rPr>
                <w:szCs w:val="17"/>
              </w:rPr>
            </w:pPr>
            <w:r w:rsidRPr="00722521">
              <w:rPr>
                <w:w w:val="105"/>
                <w:szCs w:val="17"/>
              </w:rPr>
              <w:t>Don't know -</w:t>
            </w:r>
            <w:r w:rsidRPr="00722521">
              <w:rPr>
                <w:w w:val="102"/>
                <w:szCs w:val="17"/>
              </w:rPr>
              <w:t xml:space="preserve"> </w:t>
            </w:r>
            <w:r w:rsidRPr="00722521">
              <w:rPr>
                <w:w w:val="105"/>
                <w:szCs w:val="17"/>
              </w:rPr>
              <w:t>No opinion - Not  applicable</w:t>
            </w:r>
          </w:p>
        </w:tc>
      </w:tr>
      <w:tr w:rsidR="00BA160A" w:rsidRPr="00722521" w14:paraId="73CB479A" w14:textId="77777777" w:rsidTr="00526186">
        <w:trPr>
          <w:trHeight w:hRule="exact" w:val="2153"/>
        </w:trPr>
        <w:tc>
          <w:tcPr>
            <w:tcW w:w="1121" w:type="pct"/>
            <w:tcBorders>
              <w:top w:val="single" w:sz="8" w:space="0" w:color="BABABA"/>
              <w:left w:val="single" w:sz="8" w:space="0" w:color="BABABA"/>
              <w:bottom w:val="single" w:sz="8" w:space="0" w:color="BABABA"/>
              <w:right w:val="single" w:sz="8" w:space="0" w:color="BABABA"/>
            </w:tcBorders>
            <w:hideMark/>
          </w:tcPr>
          <w:p w14:paraId="70DCF9F6" w14:textId="77777777" w:rsidR="00BA160A" w:rsidRPr="00722521" w:rsidRDefault="00BA160A" w:rsidP="00A903E6">
            <w:pPr>
              <w:pStyle w:val="TableParagraph"/>
              <w:mirrorIndents/>
              <w:rPr>
                <w:szCs w:val="17"/>
              </w:rPr>
            </w:pPr>
            <w:r w:rsidRPr="00722521">
              <w:rPr>
                <w:szCs w:val="17"/>
              </w:rPr>
              <w:t xml:space="preserve">Strong interlinkages with  areas of law which remain non- </w:t>
            </w:r>
            <w:proofErr w:type="spellStart"/>
            <w:r w:rsidRPr="00722521">
              <w:rPr>
                <w:szCs w:val="17"/>
              </w:rPr>
              <w:t>harmonised</w:t>
            </w:r>
            <w:proofErr w:type="spellEnd"/>
            <w:r w:rsidRPr="00722521">
              <w:rPr>
                <w:szCs w:val="17"/>
              </w:rPr>
              <w:t xml:space="preserve"> (e.g.</w:t>
            </w:r>
            <w:r w:rsidRPr="00722521">
              <w:rPr>
                <w:spacing w:val="27"/>
                <w:szCs w:val="17"/>
              </w:rPr>
              <w:t xml:space="preserve"> </w:t>
            </w:r>
            <w:r w:rsidRPr="00722521">
              <w:rPr>
                <w:szCs w:val="17"/>
              </w:rPr>
              <w:t>CRIM-</w:t>
            </w:r>
          </w:p>
          <w:p w14:paraId="686E532B" w14:textId="77777777" w:rsidR="00BA160A" w:rsidRPr="00722521" w:rsidRDefault="00BA160A" w:rsidP="00A903E6">
            <w:pPr>
              <w:pStyle w:val="TableParagraph"/>
              <w:mirrorIndents/>
              <w:rPr>
                <w:szCs w:val="17"/>
              </w:rPr>
            </w:pPr>
            <w:r w:rsidRPr="00722521">
              <w:rPr>
                <w:szCs w:val="17"/>
              </w:rPr>
              <w:t>MAD and national criminal law)</w:t>
            </w:r>
          </w:p>
        </w:tc>
        <w:tc>
          <w:tcPr>
            <w:tcW w:w="765" w:type="pct"/>
            <w:tcBorders>
              <w:top w:val="single" w:sz="8" w:space="0" w:color="BABABA"/>
              <w:left w:val="single" w:sz="8" w:space="0" w:color="BABABA"/>
              <w:bottom w:val="single" w:sz="8" w:space="0" w:color="BABABA"/>
              <w:right w:val="single" w:sz="8" w:space="0" w:color="BABABA"/>
            </w:tcBorders>
          </w:tcPr>
          <w:p w14:paraId="467EA504" w14:textId="77777777" w:rsidR="00BA160A" w:rsidRPr="00722521" w:rsidRDefault="00BA160A" w:rsidP="00A903E6">
            <w:pPr>
              <w:pStyle w:val="TableParagraph"/>
              <w:mirrorIndents/>
              <w:rPr>
                <w:b/>
                <w:szCs w:val="17"/>
              </w:rPr>
            </w:pPr>
          </w:p>
        </w:tc>
        <w:tc>
          <w:tcPr>
            <w:tcW w:w="643" w:type="pct"/>
            <w:tcBorders>
              <w:top w:val="single" w:sz="8" w:space="0" w:color="BABABA"/>
              <w:left w:val="single" w:sz="8" w:space="0" w:color="BABABA"/>
              <w:bottom w:val="single" w:sz="8" w:space="0" w:color="BABABA"/>
              <w:right w:val="single" w:sz="8" w:space="0" w:color="BABABA"/>
            </w:tcBorders>
          </w:tcPr>
          <w:p w14:paraId="24A80568" w14:textId="77777777" w:rsidR="00BA160A" w:rsidRPr="00722521" w:rsidRDefault="00BA160A" w:rsidP="00A903E6">
            <w:pPr>
              <w:pStyle w:val="TableParagraph"/>
              <w:mirrorIndents/>
              <w:rPr>
                <w:b/>
                <w:szCs w:val="17"/>
              </w:rPr>
            </w:pPr>
          </w:p>
        </w:tc>
        <w:tc>
          <w:tcPr>
            <w:tcW w:w="509" w:type="pct"/>
            <w:tcBorders>
              <w:top w:val="single" w:sz="8" w:space="0" w:color="BABABA"/>
              <w:left w:val="single" w:sz="8" w:space="0" w:color="BABABA"/>
              <w:bottom w:val="single" w:sz="8" w:space="0" w:color="BABABA"/>
              <w:right w:val="single" w:sz="8" w:space="0" w:color="BABABA"/>
            </w:tcBorders>
          </w:tcPr>
          <w:p w14:paraId="0A4FE16C" w14:textId="77777777" w:rsidR="00BA160A" w:rsidRPr="00722521" w:rsidRDefault="00BA160A" w:rsidP="00A903E6">
            <w:pPr>
              <w:pStyle w:val="TableParagraph"/>
              <w:mirrorIndents/>
              <w:rPr>
                <w:b/>
                <w:szCs w:val="17"/>
              </w:rPr>
            </w:pPr>
          </w:p>
        </w:tc>
        <w:tc>
          <w:tcPr>
            <w:tcW w:w="622" w:type="pct"/>
            <w:tcBorders>
              <w:top w:val="single" w:sz="8" w:space="0" w:color="BABABA"/>
              <w:left w:val="single" w:sz="8" w:space="0" w:color="BABABA"/>
              <w:bottom w:val="single" w:sz="8" w:space="0" w:color="BABABA"/>
              <w:right w:val="single" w:sz="8" w:space="0" w:color="BABABA"/>
            </w:tcBorders>
          </w:tcPr>
          <w:p w14:paraId="3F742F08" w14:textId="4CD7BE5C" w:rsidR="00BA160A" w:rsidRPr="00722521" w:rsidRDefault="00F37EB0" w:rsidP="00A903E6">
            <w:pPr>
              <w:pStyle w:val="TableParagraph"/>
              <w:mirrorIndents/>
              <w:rPr>
                <w:b/>
                <w:szCs w:val="17"/>
              </w:rPr>
            </w:pPr>
            <w:r w:rsidRPr="00722521">
              <w:rPr>
                <w:b/>
                <w:szCs w:val="17"/>
              </w:rPr>
              <w:t>x</w:t>
            </w:r>
          </w:p>
        </w:tc>
        <w:tc>
          <w:tcPr>
            <w:tcW w:w="611" w:type="pct"/>
            <w:tcBorders>
              <w:top w:val="single" w:sz="8" w:space="0" w:color="BABABA"/>
              <w:left w:val="single" w:sz="8" w:space="0" w:color="BABABA"/>
              <w:bottom w:val="single" w:sz="8" w:space="0" w:color="BABABA"/>
              <w:right w:val="single" w:sz="8" w:space="0" w:color="BABABA"/>
            </w:tcBorders>
          </w:tcPr>
          <w:p w14:paraId="30C166CB" w14:textId="77777777" w:rsidR="00BA160A" w:rsidRPr="00722521" w:rsidRDefault="00BA160A" w:rsidP="00A903E6">
            <w:pPr>
              <w:pStyle w:val="TableParagraph"/>
              <w:mirrorIndents/>
              <w:rPr>
                <w:b/>
                <w:szCs w:val="17"/>
              </w:rPr>
            </w:pPr>
          </w:p>
        </w:tc>
        <w:tc>
          <w:tcPr>
            <w:tcW w:w="730" w:type="pct"/>
            <w:tcBorders>
              <w:top w:val="single" w:sz="8" w:space="0" w:color="BABABA"/>
              <w:left w:val="single" w:sz="8" w:space="0" w:color="BABABA"/>
              <w:bottom w:val="single" w:sz="8" w:space="0" w:color="BABABA"/>
              <w:right w:val="single" w:sz="8" w:space="0" w:color="BABABA"/>
            </w:tcBorders>
          </w:tcPr>
          <w:p w14:paraId="2DDF8A59" w14:textId="6D7B6F66" w:rsidR="00BA160A" w:rsidRPr="00722521" w:rsidRDefault="00BA160A" w:rsidP="00A903E6">
            <w:pPr>
              <w:pStyle w:val="TableParagraph"/>
              <w:mirrorIndents/>
              <w:rPr>
                <w:b/>
                <w:szCs w:val="17"/>
              </w:rPr>
            </w:pPr>
          </w:p>
        </w:tc>
      </w:tr>
      <w:tr w:rsidR="00BA160A" w:rsidRPr="00722521" w14:paraId="596DF378" w14:textId="77777777" w:rsidTr="00526186">
        <w:trPr>
          <w:trHeight w:hRule="exact" w:val="1702"/>
        </w:trPr>
        <w:tc>
          <w:tcPr>
            <w:tcW w:w="1121" w:type="pct"/>
            <w:tcBorders>
              <w:top w:val="single" w:sz="8" w:space="0" w:color="BABABA"/>
              <w:left w:val="single" w:sz="8" w:space="0" w:color="BABABA"/>
              <w:bottom w:val="single" w:sz="8" w:space="0" w:color="BABABA"/>
              <w:right w:val="single" w:sz="8" w:space="0" w:color="BABABA"/>
            </w:tcBorders>
            <w:hideMark/>
          </w:tcPr>
          <w:p w14:paraId="5886E5E4" w14:textId="77777777" w:rsidR="00BA160A" w:rsidRPr="00722521" w:rsidRDefault="00BA160A" w:rsidP="00A903E6">
            <w:pPr>
              <w:pStyle w:val="TableParagraph"/>
              <w:mirrorIndents/>
              <w:rPr>
                <w:szCs w:val="17"/>
              </w:rPr>
            </w:pPr>
            <w:r w:rsidRPr="00722521">
              <w:rPr>
                <w:szCs w:val="17"/>
              </w:rPr>
              <w:lastRenderedPageBreak/>
              <w:t>Broad discretion left to national authorities and  frequent use of that discretion by these national authorities</w:t>
            </w:r>
          </w:p>
        </w:tc>
        <w:tc>
          <w:tcPr>
            <w:tcW w:w="765" w:type="pct"/>
            <w:tcBorders>
              <w:top w:val="single" w:sz="8" w:space="0" w:color="BABABA"/>
              <w:left w:val="single" w:sz="8" w:space="0" w:color="BABABA"/>
              <w:bottom w:val="single" w:sz="8" w:space="0" w:color="BABABA"/>
              <w:right w:val="single" w:sz="8" w:space="0" w:color="BABABA"/>
            </w:tcBorders>
          </w:tcPr>
          <w:p w14:paraId="3DE45B0A" w14:textId="77777777" w:rsidR="00BA160A" w:rsidRPr="00722521" w:rsidRDefault="00BA160A" w:rsidP="00A903E6">
            <w:pPr>
              <w:pStyle w:val="TableParagraph"/>
              <w:mirrorIndents/>
              <w:rPr>
                <w:b/>
                <w:szCs w:val="17"/>
              </w:rPr>
            </w:pPr>
          </w:p>
        </w:tc>
        <w:tc>
          <w:tcPr>
            <w:tcW w:w="643" w:type="pct"/>
            <w:tcBorders>
              <w:top w:val="single" w:sz="8" w:space="0" w:color="BABABA"/>
              <w:left w:val="single" w:sz="8" w:space="0" w:color="BABABA"/>
              <w:bottom w:val="single" w:sz="8" w:space="0" w:color="BABABA"/>
              <w:right w:val="single" w:sz="8" w:space="0" w:color="BABABA"/>
            </w:tcBorders>
          </w:tcPr>
          <w:p w14:paraId="0FDE0D6C" w14:textId="77777777" w:rsidR="00BA160A" w:rsidRPr="00722521" w:rsidRDefault="00BA160A" w:rsidP="00A903E6">
            <w:pPr>
              <w:pStyle w:val="TableParagraph"/>
              <w:mirrorIndents/>
              <w:rPr>
                <w:b/>
                <w:szCs w:val="17"/>
              </w:rPr>
            </w:pPr>
          </w:p>
        </w:tc>
        <w:tc>
          <w:tcPr>
            <w:tcW w:w="509" w:type="pct"/>
            <w:tcBorders>
              <w:top w:val="single" w:sz="8" w:space="0" w:color="BABABA"/>
              <w:left w:val="single" w:sz="8" w:space="0" w:color="BABABA"/>
              <w:bottom w:val="single" w:sz="8" w:space="0" w:color="BABABA"/>
              <w:right w:val="single" w:sz="8" w:space="0" w:color="BABABA"/>
            </w:tcBorders>
          </w:tcPr>
          <w:p w14:paraId="6631D06C" w14:textId="77777777" w:rsidR="00BA160A" w:rsidRPr="00722521" w:rsidRDefault="00BA160A" w:rsidP="00A903E6">
            <w:pPr>
              <w:pStyle w:val="TableParagraph"/>
              <w:mirrorIndents/>
              <w:rPr>
                <w:b/>
                <w:szCs w:val="17"/>
              </w:rPr>
            </w:pPr>
          </w:p>
        </w:tc>
        <w:tc>
          <w:tcPr>
            <w:tcW w:w="622" w:type="pct"/>
            <w:tcBorders>
              <w:top w:val="single" w:sz="8" w:space="0" w:color="BABABA"/>
              <w:left w:val="single" w:sz="8" w:space="0" w:color="BABABA"/>
              <w:bottom w:val="single" w:sz="8" w:space="0" w:color="BABABA"/>
              <w:right w:val="single" w:sz="8" w:space="0" w:color="BABABA"/>
            </w:tcBorders>
          </w:tcPr>
          <w:p w14:paraId="09E792E9" w14:textId="77777777" w:rsidR="00BA160A" w:rsidRPr="00722521" w:rsidRDefault="00BA160A" w:rsidP="00A903E6">
            <w:pPr>
              <w:pStyle w:val="TableParagraph"/>
              <w:mirrorIndents/>
              <w:rPr>
                <w:b/>
                <w:szCs w:val="17"/>
              </w:rPr>
            </w:pPr>
          </w:p>
        </w:tc>
        <w:tc>
          <w:tcPr>
            <w:tcW w:w="611" w:type="pct"/>
            <w:tcBorders>
              <w:top w:val="single" w:sz="8" w:space="0" w:color="BABABA"/>
              <w:left w:val="single" w:sz="8" w:space="0" w:color="BABABA"/>
              <w:bottom w:val="single" w:sz="8" w:space="0" w:color="BABABA"/>
              <w:right w:val="single" w:sz="8" w:space="0" w:color="BABABA"/>
            </w:tcBorders>
          </w:tcPr>
          <w:p w14:paraId="7B5E8DD5" w14:textId="74E99267" w:rsidR="00BA160A" w:rsidRPr="00722521" w:rsidRDefault="0007384F" w:rsidP="00A903E6">
            <w:pPr>
              <w:pStyle w:val="TableParagraph"/>
              <w:mirrorIndents/>
              <w:rPr>
                <w:b/>
                <w:szCs w:val="17"/>
              </w:rPr>
            </w:pPr>
            <w:r w:rsidRPr="00722521">
              <w:rPr>
                <w:b/>
                <w:szCs w:val="17"/>
              </w:rPr>
              <w:t>x</w:t>
            </w:r>
          </w:p>
        </w:tc>
        <w:tc>
          <w:tcPr>
            <w:tcW w:w="730" w:type="pct"/>
            <w:tcBorders>
              <w:top w:val="single" w:sz="8" w:space="0" w:color="BABABA"/>
              <w:left w:val="single" w:sz="8" w:space="0" w:color="BABABA"/>
              <w:bottom w:val="single" w:sz="8" w:space="0" w:color="BABABA"/>
              <w:right w:val="single" w:sz="8" w:space="0" w:color="BABABA"/>
            </w:tcBorders>
          </w:tcPr>
          <w:p w14:paraId="47C7DCC9" w14:textId="77777777" w:rsidR="00BA160A" w:rsidRPr="00722521" w:rsidRDefault="00BA160A" w:rsidP="00A903E6">
            <w:pPr>
              <w:pStyle w:val="TableParagraph"/>
              <w:mirrorIndents/>
              <w:rPr>
                <w:b/>
                <w:szCs w:val="17"/>
              </w:rPr>
            </w:pPr>
          </w:p>
        </w:tc>
      </w:tr>
      <w:tr w:rsidR="00526186" w:rsidRPr="00722521" w14:paraId="5FB9B9DA" w14:textId="77777777" w:rsidTr="00526186">
        <w:trPr>
          <w:trHeight w:hRule="exact" w:val="847"/>
        </w:trPr>
        <w:tc>
          <w:tcPr>
            <w:tcW w:w="1121" w:type="pct"/>
            <w:tcBorders>
              <w:top w:val="single" w:sz="8" w:space="0" w:color="BABABA"/>
              <w:left w:val="single" w:sz="8" w:space="0" w:color="BABABA"/>
              <w:bottom w:val="single" w:sz="8" w:space="0" w:color="BABABA"/>
              <w:right w:val="single" w:sz="8" w:space="0" w:color="BABABA"/>
            </w:tcBorders>
          </w:tcPr>
          <w:p w14:paraId="32457A5A" w14:textId="16395FC3" w:rsidR="00526186" w:rsidRPr="00722521" w:rsidRDefault="00526186" w:rsidP="00A903E6">
            <w:pPr>
              <w:pStyle w:val="TableParagraph"/>
              <w:mirrorIndents/>
              <w:rPr>
                <w:szCs w:val="17"/>
              </w:rPr>
            </w:pPr>
            <w:r w:rsidRPr="00722521">
              <w:rPr>
                <w:szCs w:val="17"/>
              </w:rPr>
              <w:t>High level of gold plating by national rules</w:t>
            </w:r>
          </w:p>
        </w:tc>
        <w:tc>
          <w:tcPr>
            <w:tcW w:w="765" w:type="pct"/>
            <w:tcBorders>
              <w:top w:val="single" w:sz="8" w:space="0" w:color="BABABA"/>
              <w:left w:val="single" w:sz="8" w:space="0" w:color="BABABA"/>
              <w:bottom w:val="single" w:sz="8" w:space="0" w:color="BABABA"/>
              <w:right w:val="single" w:sz="8" w:space="0" w:color="BABABA"/>
            </w:tcBorders>
          </w:tcPr>
          <w:p w14:paraId="2E73AE88" w14:textId="77777777" w:rsidR="00526186" w:rsidRPr="00722521" w:rsidRDefault="00526186" w:rsidP="00A903E6">
            <w:pPr>
              <w:pStyle w:val="TableParagraph"/>
              <w:mirrorIndents/>
              <w:rPr>
                <w:b/>
                <w:szCs w:val="17"/>
              </w:rPr>
            </w:pPr>
          </w:p>
        </w:tc>
        <w:tc>
          <w:tcPr>
            <w:tcW w:w="643" w:type="pct"/>
            <w:tcBorders>
              <w:top w:val="single" w:sz="8" w:space="0" w:color="BABABA"/>
              <w:left w:val="single" w:sz="8" w:space="0" w:color="BABABA"/>
              <w:bottom w:val="single" w:sz="8" w:space="0" w:color="BABABA"/>
              <w:right w:val="single" w:sz="8" w:space="0" w:color="BABABA"/>
            </w:tcBorders>
          </w:tcPr>
          <w:p w14:paraId="26FB5719" w14:textId="77777777" w:rsidR="00526186" w:rsidRPr="00722521" w:rsidRDefault="00526186" w:rsidP="00A903E6">
            <w:pPr>
              <w:pStyle w:val="TableParagraph"/>
              <w:mirrorIndents/>
              <w:rPr>
                <w:b/>
                <w:szCs w:val="17"/>
              </w:rPr>
            </w:pPr>
          </w:p>
        </w:tc>
        <w:tc>
          <w:tcPr>
            <w:tcW w:w="509" w:type="pct"/>
            <w:tcBorders>
              <w:top w:val="single" w:sz="8" w:space="0" w:color="BABABA"/>
              <w:left w:val="single" w:sz="8" w:space="0" w:color="BABABA"/>
              <w:bottom w:val="single" w:sz="8" w:space="0" w:color="BABABA"/>
              <w:right w:val="single" w:sz="8" w:space="0" w:color="BABABA"/>
            </w:tcBorders>
          </w:tcPr>
          <w:p w14:paraId="13491CB2" w14:textId="77777777" w:rsidR="00526186" w:rsidRPr="00722521" w:rsidRDefault="00526186" w:rsidP="00A903E6">
            <w:pPr>
              <w:pStyle w:val="TableParagraph"/>
              <w:mirrorIndents/>
              <w:rPr>
                <w:b/>
                <w:szCs w:val="17"/>
              </w:rPr>
            </w:pPr>
          </w:p>
        </w:tc>
        <w:tc>
          <w:tcPr>
            <w:tcW w:w="622" w:type="pct"/>
            <w:tcBorders>
              <w:top w:val="single" w:sz="8" w:space="0" w:color="BABABA"/>
              <w:left w:val="single" w:sz="8" w:space="0" w:color="BABABA"/>
              <w:bottom w:val="single" w:sz="8" w:space="0" w:color="BABABA"/>
              <w:right w:val="single" w:sz="8" w:space="0" w:color="BABABA"/>
            </w:tcBorders>
          </w:tcPr>
          <w:p w14:paraId="76DE9E7F" w14:textId="77777777" w:rsidR="00526186" w:rsidRPr="00722521" w:rsidRDefault="00526186" w:rsidP="00A903E6">
            <w:pPr>
              <w:pStyle w:val="TableParagraph"/>
              <w:mirrorIndents/>
              <w:rPr>
                <w:b/>
                <w:szCs w:val="17"/>
              </w:rPr>
            </w:pPr>
          </w:p>
        </w:tc>
        <w:tc>
          <w:tcPr>
            <w:tcW w:w="611" w:type="pct"/>
            <w:tcBorders>
              <w:top w:val="single" w:sz="8" w:space="0" w:color="BABABA"/>
              <w:left w:val="single" w:sz="8" w:space="0" w:color="BABABA"/>
              <w:bottom w:val="single" w:sz="8" w:space="0" w:color="BABABA"/>
              <w:right w:val="single" w:sz="8" w:space="0" w:color="BABABA"/>
            </w:tcBorders>
          </w:tcPr>
          <w:p w14:paraId="55735310" w14:textId="7561215D" w:rsidR="00526186" w:rsidRPr="00722521" w:rsidRDefault="0007384F" w:rsidP="00A903E6">
            <w:pPr>
              <w:pStyle w:val="TableParagraph"/>
              <w:mirrorIndents/>
              <w:rPr>
                <w:b/>
                <w:szCs w:val="17"/>
              </w:rPr>
            </w:pPr>
            <w:r w:rsidRPr="00722521">
              <w:rPr>
                <w:b/>
                <w:szCs w:val="17"/>
              </w:rPr>
              <w:t>x</w:t>
            </w:r>
          </w:p>
        </w:tc>
        <w:tc>
          <w:tcPr>
            <w:tcW w:w="730" w:type="pct"/>
            <w:tcBorders>
              <w:top w:val="single" w:sz="8" w:space="0" w:color="BABABA"/>
              <w:left w:val="single" w:sz="8" w:space="0" w:color="BABABA"/>
              <w:bottom w:val="single" w:sz="8" w:space="0" w:color="BABABA"/>
              <w:right w:val="single" w:sz="8" w:space="0" w:color="BABABA"/>
            </w:tcBorders>
          </w:tcPr>
          <w:p w14:paraId="4446806D" w14:textId="77777777" w:rsidR="00526186" w:rsidRPr="00722521" w:rsidRDefault="00526186" w:rsidP="00A903E6">
            <w:pPr>
              <w:pStyle w:val="TableParagraph"/>
              <w:mirrorIndents/>
              <w:rPr>
                <w:b/>
                <w:szCs w:val="17"/>
              </w:rPr>
            </w:pPr>
          </w:p>
        </w:tc>
      </w:tr>
      <w:tr w:rsidR="00526186" w:rsidRPr="00722521" w14:paraId="3B11D671" w14:textId="77777777" w:rsidTr="00526186">
        <w:trPr>
          <w:trHeight w:hRule="exact" w:val="1901"/>
        </w:trPr>
        <w:tc>
          <w:tcPr>
            <w:tcW w:w="1121" w:type="pct"/>
            <w:tcBorders>
              <w:top w:val="single" w:sz="8" w:space="0" w:color="BABABA"/>
              <w:left w:val="single" w:sz="8" w:space="0" w:color="BABABA"/>
              <w:bottom w:val="single" w:sz="8" w:space="0" w:color="BABABA"/>
              <w:right w:val="single" w:sz="8" w:space="0" w:color="BABABA"/>
            </w:tcBorders>
          </w:tcPr>
          <w:p w14:paraId="60A606EA" w14:textId="77777777" w:rsidR="00526186" w:rsidRPr="00722521" w:rsidRDefault="00526186" w:rsidP="00526186">
            <w:pPr>
              <w:pStyle w:val="TableParagraph"/>
              <w:mirrorIndents/>
              <w:rPr>
                <w:szCs w:val="17"/>
              </w:rPr>
            </w:pPr>
            <w:r w:rsidRPr="00722521">
              <w:rPr>
                <w:w w:val="105"/>
                <w:szCs w:val="17"/>
              </w:rPr>
              <w:t>High degree to which supervision of the same type of actors and</w:t>
            </w:r>
          </w:p>
          <w:p w14:paraId="42B48E41" w14:textId="5C6438C4" w:rsidR="00526186" w:rsidRPr="00722521" w:rsidRDefault="00526186" w:rsidP="00526186">
            <w:pPr>
              <w:pStyle w:val="TableParagraph"/>
              <w:mirrorIndents/>
              <w:rPr>
                <w:szCs w:val="17"/>
              </w:rPr>
            </w:pPr>
            <w:r w:rsidRPr="00722521">
              <w:rPr>
                <w:w w:val="105"/>
                <w:szCs w:val="17"/>
              </w:rPr>
              <w:t>/or activities</w:t>
            </w:r>
            <w:r w:rsidRPr="00722521">
              <w:rPr>
                <w:w w:val="102"/>
                <w:szCs w:val="17"/>
              </w:rPr>
              <w:t xml:space="preserve"> </w:t>
            </w:r>
            <w:r w:rsidRPr="00722521">
              <w:rPr>
                <w:w w:val="105"/>
                <w:szCs w:val="17"/>
              </w:rPr>
              <w:t>render divergent outcomes across Member States</w:t>
            </w:r>
          </w:p>
        </w:tc>
        <w:tc>
          <w:tcPr>
            <w:tcW w:w="765" w:type="pct"/>
            <w:tcBorders>
              <w:top w:val="single" w:sz="8" w:space="0" w:color="BABABA"/>
              <w:left w:val="single" w:sz="8" w:space="0" w:color="BABABA"/>
              <w:bottom w:val="single" w:sz="8" w:space="0" w:color="BABABA"/>
              <w:right w:val="single" w:sz="8" w:space="0" w:color="BABABA"/>
            </w:tcBorders>
          </w:tcPr>
          <w:p w14:paraId="23C21CE5" w14:textId="77777777" w:rsidR="00526186" w:rsidRPr="00722521" w:rsidRDefault="00526186" w:rsidP="00A903E6">
            <w:pPr>
              <w:pStyle w:val="TableParagraph"/>
              <w:mirrorIndents/>
              <w:rPr>
                <w:b/>
                <w:szCs w:val="17"/>
              </w:rPr>
            </w:pPr>
          </w:p>
        </w:tc>
        <w:tc>
          <w:tcPr>
            <w:tcW w:w="643" w:type="pct"/>
            <w:tcBorders>
              <w:top w:val="single" w:sz="8" w:space="0" w:color="BABABA"/>
              <w:left w:val="single" w:sz="8" w:space="0" w:color="BABABA"/>
              <w:bottom w:val="single" w:sz="8" w:space="0" w:color="BABABA"/>
              <w:right w:val="single" w:sz="8" w:space="0" w:color="BABABA"/>
            </w:tcBorders>
          </w:tcPr>
          <w:p w14:paraId="68DB4964" w14:textId="77777777" w:rsidR="00526186" w:rsidRPr="00722521" w:rsidRDefault="00526186" w:rsidP="00A903E6">
            <w:pPr>
              <w:pStyle w:val="TableParagraph"/>
              <w:mirrorIndents/>
              <w:rPr>
                <w:b/>
                <w:szCs w:val="17"/>
              </w:rPr>
            </w:pPr>
          </w:p>
        </w:tc>
        <w:tc>
          <w:tcPr>
            <w:tcW w:w="509" w:type="pct"/>
            <w:tcBorders>
              <w:top w:val="single" w:sz="8" w:space="0" w:color="BABABA"/>
              <w:left w:val="single" w:sz="8" w:space="0" w:color="BABABA"/>
              <w:bottom w:val="single" w:sz="8" w:space="0" w:color="BABABA"/>
              <w:right w:val="single" w:sz="8" w:space="0" w:color="BABABA"/>
            </w:tcBorders>
          </w:tcPr>
          <w:p w14:paraId="3F9B771E" w14:textId="77777777" w:rsidR="00526186" w:rsidRPr="00722521" w:rsidRDefault="00526186" w:rsidP="00A903E6">
            <w:pPr>
              <w:pStyle w:val="TableParagraph"/>
              <w:mirrorIndents/>
              <w:rPr>
                <w:b/>
                <w:szCs w:val="17"/>
              </w:rPr>
            </w:pPr>
          </w:p>
        </w:tc>
        <w:tc>
          <w:tcPr>
            <w:tcW w:w="622" w:type="pct"/>
            <w:tcBorders>
              <w:top w:val="single" w:sz="8" w:space="0" w:color="BABABA"/>
              <w:left w:val="single" w:sz="8" w:space="0" w:color="BABABA"/>
              <w:bottom w:val="single" w:sz="8" w:space="0" w:color="BABABA"/>
              <w:right w:val="single" w:sz="8" w:space="0" w:color="BABABA"/>
            </w:tcBorders>
          </w:tcPr>
          <w:p w14:paraId="4A35820E" w14:textId="77777777" w:rsidR="00526186" w:rsidRPr="00722521" w:rsidRDefault="00526186" w:rsidP="00A903E6">
            <w:pPr>
              <w:pStyle w:val="TableParagraph"/>
              <w:mirrorIndents/>
              <w:rPr>
                <w:b/>
                <w:szCs w:val="17"/>
              </w:rPr>
            </w:pPr>
          </w:p>
        </w:tc>
        <w:tc>
          <w:tcPr>
            <w:tcW w:w="611" w:type="pct"/>
            <w:tcBorders>
              <w:top w:val="single" w:sz="8" w:space="0" w:color="BABABA"/>
              <w:left w:val="single" w:sz="8" w:space="0" w:color="BABABA"/>
              <w:bottom w:val="single" w:sz="8" w:space="0" w:color="BABABA"/>
              <w:right w:val="single" w:sz="8" w:space="0" w:color="BABABA"/>
            </w:tcBorders>
          </w:tcPr>
          <w:p w14:paraId="01CB29DB" w14:textId="38998E42" w:rsidR="00526186" w:rsidRPr="00722521" w:rsidRDefault="0007384F" w:rsidP="00A903E6">
            <w:pPr>
              <w:pStyle w:val="TableParagraph"/>
              <w:mirrorIndents/>
              <w:rPr>
                <w:b/>
                <w:szCs w:val="17"/>
              </w:rPr>
            </w:pPr>
            <w:r w:rsidRPr="00722521">
              <w:rPr>
                <w:b/>
                <w:szCs w:val="17"/>
              </w:rPr>
              <w:t>x</w:t>
            </w:r>
          </w:p>
        </w:tc>
        <w:tc>
          <w:tcPr>
            <w:tcW w:w="730" w:type="pct"/>
            <w:tcBorders>
              <w:top w:val="single" w:sz="8" w:space="0" w:color="BABABA"/>
              <w:left w:val="single" w:sz="8" w:space="0" w:color="BABABA"/>
              <w:bottom w:val="single" w:sz="8" w:space="0" w:color="BABABA"/>
              <w:right w:val="single" w:sz="8" w:space="0" w:color="BABABA"/>
            </w:tcBorders>
          </w:tcPr>
          <w:p w14:paraId="6A117712" w14:textId="77777777" w:rsidR="00526186" w:rsidRPr="00722521" w:rsidRDefault="00526186" w:rsidP="00A903E6">
            <w:pPr>
              <w:pStyle w:val="TableParagraph"/>
              <w:mirrorIndents/>
              <w:rPr>
                <w:b/>
                <w:szCs w:val="17"/>
              </w:rPr>
            </w:pPr>
          </w:p>
        </w:tc>
      </w:tr>
      <w:tr w:rsidR="00526186" w:rsidRPr="00722521" w14:paraId="18B7D8DF" w14:textId="77777777" w:rsidTr="00526186">
        <w:trPr>
          <w:trHeight w:hRule="exact" w:val="504"/>
        </w:trPr>
        <w:tc>
          <w:tcPr>
            <w:tcW w:w="1121" w:type="pct"/>
            <w:tcBorders>
              <w:top w:val="single" w:sz="8" w:space="0" w:color="BABABA"/>
              <w:left w:val="single" w:sz="8" w:space="0" w:color="BABABA"/>
              <w:bottom w:val="single" w:sz="8" w:space="0" w:color="BABABA"/>
              <w:right w:val="single" w:sz="8" w:space="0" w:color="BABABA"/>
            </w:tcBorders>
          </w:tcPr>
          <w:p w14:paraId="46EA66F8" w14:textId="5D6B2146" w:rsidR="00526186" w:rsidRPr="00722521" w:rsidRDefault="00526186" w:rsidP="00526186">
            <w:pPr>
              <w:pStyle w:val="TableParagraph"/>
              <w:mirrorIndents/>
              <w:rPr>
                <w:szCs w:val="17"/>
              </w:rPr>
            </w:pPr>
            <w:r w:rsidRPr="00722521">
              <w:rPr>
                <w:szCs w:val="17"/>
              </w:rPr>
              <w:t>All of the above</w:t>
            </w:r>
          </w:p>
        </w:tc>
        <w:tc>
          <w:tcPr>
            <w:tcW w:w="765" w:type="pct"/>
            <w:tcBorders>
              <w:top w:val="single" w:sz="8" w:space="0" w:color="BABABA"/>
              <w:left w:val="single" w:sz="8" w:space="0" w:color="BABABA"/>
              <w:bottom w:val="single" w:sz="8" w:space="0" w:color="BABABA"/>
              <w:right w:val="single" w:sz="8" w:space="0" w:color="BABABA"/>
            </w:tcBorders>
          </w:tcPr>
          <w:p w14:paraId="297D2198" w14:textId="77777777" w:rsidR="00526186" w:rsidRPr="00722521" w:rsidRDefault="00526186" w:rsidP="00A903E6">
            <w:pPr>
              <w:pStyle w:val="TableParagraph"/>
              <w:mirrorIndents/>
              <w:rPr>
                <w:b/>
                <w:szCs w:val="17"/>
              </w:rPr>
            </w:pPr>
          </w:p>
        </w:tc>
        <w:tc>
          <w:tcPr>
            <w:tcW w:w="643" w:type="pct"/>
            <w:tcBorders>
              <w:top w:val="single" w:sz="8" w:space="0" w:color="BABABA"/>
              <w:left w:val="single" w:sz="8" w:space="0" w:color="BABABA"/>
              <w:bottom w:val="single" w:sz="8" w:space="0" w:color="BABABA"/>
              <w:right w:val="single" w:sz="8" w:space="0" w:color="BABABA"/>
            </w:tcBorders>
          </w:tcPr>
          <w:p w14:paraId="407E9478" w14:textId="77777777" w:rsidR="00526186" w:rsidRPr="00722521" w:rsidRDefault="00526186" w:rsidP="00A903E6">
            <w:pPr>
              <w:pStyle w:val="TableParagraph"/>
              <w:mirrorIndents/>
              <w:rPr>
                <w:b/>
                <w:szCs w:val="17"/>
              </w:rPr>
            </w:pPr>
          </w:p>
        </w:tc>
        <w:tc>
          <w:tcPr>
            <w:tcW w:w="509" w:type="pct"/>
            <w:tcBorders>
              <w:top w:val="single" w:sz="8" w:space="0" w:color="BABABA"/>
              <w:left w:val="single" w:sz="8" w:space="0" w:color="BABABA"/>
              <w:bottom w:val="single" w:sz="8" w:space="0" w:color="BABABA"/>
              <w:right w:val="single" w:sz="8" w:space="0" w:color="BABABA"/>
            </w:tcBorders>
          </w:tcPr>
          <w:p w14:paraId="531287AD" w14:textId="77777777" w:rsidR="00526186" w:rsidRPr="00722521" w:rsidRDefault="00526186" w:rsidP="00A903E6">
            <w:pPr>
              <w:pStyle w:val="TableParagraph"/>
              <w:mirrorIndents/>
              <w:rPr>
                <w:b/>
                <w:szCs w:val="17"/>
              </w:rPr>
            </w:pPr>
          </w:p>
        </w:tc>
        <w:tc>
          <w:tcPr>
            <w:tcW w:w="622" w:type="pct"/>
            <w:tcBorders>
              <w:top w:val="single" w:sz="8" w:space="0" w:color="BABABA"/>
              <w:left w:val="single" w:sz="8" w:space="0" w:color="BABABA"/>
              <w:bottom w:val="single" w:sz="8" w:space="0" w:color="BABABA"/>
              <w:right w:val="single" w:sz="8" w:space="0" w:color="BABABA"/>
            </w:tcBorders>
          </w:tcPr>
          <w:p w14:paraId="08EBC7A6" w14:textId="72158D3D" w:rsidR="00526186" w:rsidRPr="00722521" w:rsidRDefault="0007384F" w:rsidP="00A903E6">
            <w:pPr>
              <w:pStyle w:val="TableParagraph"/>
              <w:mirrorIndents/>
              <w:rPr>
                <w:b/>
                <w:szCs w:val="17"/>
              </w:rPr>
            </w:pPr>
            <w:r w:rsidRPr="00722521">
              <w:rPr>
                <w:b/>
                <w:szCs w:val="17"/>
              </w:rPr>
              <w:t>x</w:t>
            </w:r>
          </w:p>
        </w:tc>
        <w:tc>
          <w:tcPr>
            <w:tcW w:w="611" w:type="pct"/>
            <w:tcBorders>
              <w:top w:val="single" w:sz="8" w:space="0" w:color="BABABA"/>
              <w:left w:val="single" w:sz="8" w:space="0" w:color="BABABA"/>
              <w:bottom w:val="single" w:sz="8" w:space="0" w:color="BABABA"/>
              <w:right w:val="single" w:sz="8" w:space="0" w:color="BABABA"/>
            </w:tcBorders>
          </w:tcPr>
          <w:p w14:paraId="5856EFF0" w14:textId="77777777" w:rsidR="00526186" w:rsidRPr="00722521" w:rsidRDefault="00526186" w:rsidP="00A903E6">
            <w:pPr>
              <w:pStyle w:val="TableParagraph"/>
              <w:mirrorIndents/>
              <w:rPr>
                <w:b/>
                <w:szCs w:val="17"/>
              </w:rPr>
            </w:pPr>
          </w:p>
        </w:tc>
        <w:tc>
          <w:tcPr>
            <w:tcW w:w="730" w:type="pct"/>
            <w:tcBorders>
              <w:top w:val="single" w:sz="8" w:space="0" w:color="BABABA"/>
              <w:left w:val="single" w:sz="8" w:space="0" w:color="BABABA"/>
              <w:bottom w:val="single" w:sz="8" w:space="0" w:color="BABABA"/>
              <w:right w:val="single" w:sz="8" w:space="0" w:color="BABABA"/>
            </w:tcBorders>
          </w:tcPr>
          <w:p w14:paraId="1A3FB2B7" w14:textId="77777777" w:rsidR="00526186" w:rsidRPr="00722521" w:rsidRDefault="00526186" w:rsidP="00A903E6">
            <w:pPr>
              <w:pStyle w:val="TableParagraph"/>
              <w:mirrorIndents/>
              <w:rPr>
                <w:b/>
                <w:szCs w:val="17"/>
              </w:rPr>
            </w:pPr>
          </w:p>
        </w:tc>
      </w:tr>
      <w:tr w:rsidR="00526186" w:rsidRPr="00722521" w14:paraId="451430A1" w14:textId="77777777" w:rsidTr="00526186">
        <w:trPr>
          <w:trHeight w:hRule="exact" w:val="284"/>
        </w:trPr>
        <w:tc>
          <w:tcPr>
            <w:tcW w:w="1121" w:type="pct"/>
            <w:tcBorders>
              <w:top w:val="single" w:sz="8" w:space="0" w:color="BABABA"/>
              <w:left w:val="single" w:sz="8" w:space="0" w:color="BABABA"/>
              <w:bottom w:val="single" w:sz="8" w:space="0" w:color="BABABA"/>
              <w:right w:val="single" w:sz="8" w:space="0" w:color="BABABA"/>
            </w:tcBorders>
          </w:tcPr>
          <w:p w14:paraId="0F464E02" w14:textId="541A46A0" w:rsidR="00526186" w:rsidRPr="00722521" w:rsidRDefault="00526186" w:rsidP="00526186">
            <w:pPr>
              <w:pStyle w:val="TableParagraph"/>
              <w:mirrorIndents/>
              <w:rPr>
                <w:szCs w:val="17"/>
              </w:rPr>
            </w:pPr>
            <w:r w:rsidRPr="00722521">
              <w:rPr>
                <w:w w:val="105"/>
                <w:szCs w:val="17"/>
              </w:rPr>
              <w:t>None of the above</w:t>
            </w:r>
          </w:p>
        </w:tc>
        <w:tc>
          <w:tcPr>
            <w:tcW w:w="765" w:type="pct"/>
            <w:tcBorders>
              <w:top w:val="single" w:sz="8" w:space="0" w:color="BABABA"/>
              <w:left w:val="single" w:sz="8" w:space="0" w:color="BABABA"/>
              <w:bottom w:val="single" w:sz="8" w:space="0" w:color="BABABA"/>
              <w:right w:val="single" w:sz="8" w:space="0" w:color="BABABA"/>
            </w:tcBorders>
          </w:tcPr>
          <w:p w14:paraId="172B6C16" w14:textId="475A52DB" w:rsidR="00526186" w:rsidRPr="00722521" w:rsidRDefault="0007384F" w:rsidP="00526186">
            <w:pPr>
              <w:pStyle w:val="TableParagraph"/>
              <w:mirrorIndents/>
              <w:rPr>
                <w:b/>
                <w:szCs w:val="17"/>
              </w:rPr>
            </w:pPr>
            <w:r w:rsidRPr="00722521">
              <w:rPr>
                <w:b/>
                <w:szCs w:val="17"/>
              </w:rPr>
              <w:t>x</w:t>
            </w:r>
          </w:p>
        </w:tc>
        <w:tc>
          <w:tcPr>
            <w:tcW w:w="643" w:type="pct"/>
            <w:tcBorders>
              <w:top w:val="single" w:sz="8" w:space="0" w:color="BABABA"/>
              <w:left w:val="single" w:sz="8" w:space="0" w:color="BABABA"/>
              <w:bottom w:val="single" w:sz="8" w:space="0" w:color="BABABA"/>
              <w:right w:val="single" w:sz="8" w:space="0" w:color="BABABA"/>
            </w:tcBorders>
          </w:tcPr>
          <w:p w14:paraId="77DE34CC" w14:textId="77777777" w:rsidR="00526186" w:rsidRPr="00722521" w:rsidRDefault="00526186" w:rsidP="00526186">
            <w:pPr>
              <w:pStyle w:val="TableParagraph"/>
              <w:mirrorIndents/>
              <w:rPr>
                <w:b/>
                <w:szCs w:val="17"/>
              </w:rPr>
            </w:pPr>
          </w:p>
        </w:tc>
        <w:tc>
          <w:tcPr>
            <w:tcW w:w="509" w:type="pct"/>
            <w:tcBorders>
              <w:top w:val="single" w:sz="8" w:space="0" w:color="BABABA"/>
              <w:left w:val="single" w:sz="8" w:space="0" w:color="BABABA"/>
              <w:bottom w:val="single" w:sz="8" w:space="0" w:color="BABABA"/>
              <w:right w:val="single" w:sz="8" w:space="0" w:color="BABABA"/>
            </w:tcBorders>
          </w:tcPr>
          <w:p w14:paraId="229C67C7" w14:textId="77777777" w:rsidR="00526186" w:rsidRPr="00722521" w:rsidRDefault="00526186" w:rsidP="00526186">
            <w:pPr>
              <w:pStyle w:val="TableParagraph"/>
              <w:mirrorIndents/>
              <w:rPr>
                <w:b/>
                <w:szCs w:val="17"/>
              </w:rPr>
            </w:pPr>
          </w:p>
        </w:tc>
        <w:tc>
          <w:tcPr>
            <w:tcW w:w="622" w:type="pct"/>
            <w:tcBorders>
              <w:top w:val="single" w:sz="8" w:space="0" w:color="BABABA"/>
              <w:left w:val="single" w:sz="8" w:space="0" w:color="BABABA"/>
              <w:bottom w:val="single" w:sz="8" w:space="0" w:color="BABABA"/>
              <w:right w:val="single" w:sz="8" w:space="0" w:color="BABABA"/>
            </w:tcBorders>
          </w:tcPr>
          <w:p w14:paraId="654605E6" w14:textId="77777777" w:rsidR="00526186" w:rsidRPr="00722521" w:rsidRDefault="00526186" w:rsidP="00526186">
            <w:pPr>
              <w:pStyle w:val="TableParagraph"/>
              <w:mirrorIndents/>
              <w:rPr>
                <w:b/>
                <w:szCs w:val="17"/>
              </w:rPr>
            </w:pPr>
          </w:p>
        </w:tc>
        <w:tc>
          <w:tcPr>
            <w:tcW w:w="611" w:type="pct"/>
            <w:tcBorders>
              <w:top w:val="single" w:sz="8" w:space="0" w:color="BABABA"/>
              <w:left w:val="single" w:sz="8" w:space="0" w:color="BABABA"/>
              <w:bottom w:val="single" w:sz="8" w:space="0" w:color="BABABA"/>
              <w:right w:val="single" w:sz="8" w:space="0" w:color="BABABA"/>
            </w:tcBorders>
          </w:tcPr>
          <w:p w14:paraId="4A5D22C5" w14:textId="77777777" w:rsidR="00526186" w:rsidRPr="00722521" w:rsidRDefault="00526186" w:rsidP="00526186">
            <w:pPr>
              <w:pStyle w:val="TableParagraph"/>
              <w:mirrorIndents/>
              <w:rPr>
                <w:b/>
                <w:szCs w:val="17"/>
              </w:rPr>
            </w:pPr>
          </w:p>
        </w:tc>
        <w:tc>
          <w:tcPr>
            <w:tcW w:w="730" w:type="pct"/>
            <w:tcBorders>
              <w:top w:val="single" w:sz="8" w:space="0" w:color="BABABA"/>
              <w:left w:val="single" w:sz="8" w:space="0" w:color="BABABA"/>
              <w:bottom w:val="single" w:sz="8" w:space="0" w:color="BABABA"/>
              <w:right w:val="single" w:sz="8" w:space="0" w:color="BABABA"/>
            </w:tcBorders>
          </w:tcPr>
          <w:p w14:paraId="720BADB7" w14:textId="20EA35AF" w:rsidR="00526186" w:rsidRPr="00722521" w:rsidRDefault="00526186" w:rsidP="00526186">
            <w:pPr>
              <w:pStyle w:val="TableParagraph"/>
              <w:mirrorIndents/>
              <w:rPr>
                <w:b/>
                <w:szCs w:val="17"/>
              </w:rPr>
            </w:pPr>
          </w:p>
        </w:tc>
      </w:tr>
      <w:tr w:rsidR="00526186" w:rsidRPr="00722521" w14:paraId="23BE58E2" w14:textId="77777777" w:rsidTr="00526186">
        <w:trPr>
          <w:trHeight w:hRule="exact" w:val="354"/>
        </w:trPr>
        <w:tc>
          <w:tcPr>
            <w:tcW w:w="1121" w:type="pct"/>
            <w:tcBorders>
              <w:top w:val="single" w:sz="8" w:space="0" w:color="BABABA"/>
              <w:left w:val="single" w:sz="8" w:space="0" w:color="BABABA"/>
              <w:bottom w:val="single" w:sz="8" w:space="0" w:color="BABABA"/>
              <w:right w:val="single" w:sz="8" w:space="0" w:color="BABABA"/>
            </w:tcBorders>
          </w:tcPr>
          <w:p w14:paraId="05AC6FCD" w14:textId="28B0C7B5" w:rsidR="00526186" w:rsidRPr="00722521" w:rsidRDefault="00526186" w:rsidP="00526186">
            <w:pPr>
              <w:pStyle w:val="TableParagraph"/>
              <w:mirrorIndents/>
              <w:rPr>
                <w:szCs w:val="17"/>
              </w:rPr>
            </w:pPr>
            <w:r w:rsidRPr="00722521">
              <w:rPr>
                <w:w w:val="105"/>
                <w:szCs w:val="17"/>
              </w:rPr>
              <w:t xml:space="preserve">Other </w:t>
            </w:r>
            <w:r w:rsidRPr="00722521">
              <w:rPr>
                <w:szCs w:val="17"/>
              </w:rPr>
              <w:t>aspects</w:t>
            </w:r>
          </w:p>
        </w:tc>
        <w:tc>
          <w:tcPr>
            <w:tcW w:w="765" w:type="pct"/>
            <w:tcBorders>
              <w:top w:val="single" w:sz="8" w:space="0" w:color="BABABA"/>
              <w:left w:val="single" w:sz="8" w:space="0" w:color="BABABA"/>
              <w:bottom w:val="single" w:sz="8" w:space="0" w:color="BABABA"/>
              <w:right w:val="single" w:sz="8" w:space="0" w:color="BABABA"/>
            </w:tcBorders>
          </w:tcPr>
          <w:p w14:paraId="4349BC7A" w14:textId="77777777" w:rsidR="00526186" w:rsidRPr="00722521" w:rsidRDefault="00526186" w:rsidP="00526186">
            <w:pPr>
              <w:pStyle w:val="TableParagraph"/>
              <w:mirrorIndents/>
              <w:rPr>
                <w:b/>
                <w:szCs w:val="17"/>
              </w:rPr>
            </w:pPr>
          </w:p>
        </w:tc>
        <w:tc>
          <w:tcPr>
            <w:tcW w:w="643" w:type="pct"/>
            <w:tcBorders>
              <w:top w:val="single" w:sz="8" w:space="0" w:color="BABABA"/>
              <w:left w:val="single" w:sz="8" w:space="0" w:color="BABABA"/>
              <w:bottom w:val="single" w:sz="8" w:space="0" w:color="BABABA"/>
              <w:right w:val="single" w:sz="8" w:space="0" w:color="BABABA"/>
            </w:tcBorders>
          </w:tcPr>
          <w:p w14:paraId="7ED06637" w14:textId="77777777" w:rsidR="00526186" w:rsidRPr="00722521" w:rsidRDefault="00526186" w:rsidP="00526186">
            <w:pPr>
              <w:pStyle w:val="TableParagraph"/>
              <w:mirrorIndents/>
              <w:rPr>
                <w:b/>
                <w:szCs w:val="17"/>
              </w:rPr>
            </w:pPr>
          </w:p>
        </w:tc>
        <w:tc>
          <w:tcPr>
            <w:tcW w:w="509" w:type="pct"/>
            <w:tcBorders>
              <w:top w:val="single" w:sz="8" w:space="0" w:color="BABABA"/>
              <w:left w:val="single" w:sz="8" w:space="0" w:color="BABABA"/>
              <w:bottom w:val="single" w:sz="8" w:space="0" w:color="BABABA"/>
              <w:right w:val="single" w:sz="8" w:space="0" w:color="BABABA"/>
            </w:tcBorders>
          </w:tcPr>
          <w:p w14:paraId="1BEE3A47" w14:textId="77777777" w:rsidR="00526186" w:rsidRPr="00722521" w:rsidRDefault="00526186" w:rsidP="00526186">
            <w:pPr>
              <w:pStyle w:val="TableParagraph"/>
              <w:mirrorIndents/>
              <w:rPr>
                <w:b/>
                <w:szCs w:val="17"/>
              </w:rPr>
            </w:pPr>
          </w:p>
        </w:tc>
        <w:tc>
          <w:tcPr>
            <w:tcW w:w="622" w:type="pct"/>
            <w:tcBorders>
              <w:top w:val="single" w:sz="8" w:space="0" w:color="BABABA"/>
              <w:left w:val="single" w:sz="8" w:space="0" w:color="BABABA"/>
              <w:bottom w:val="single" w:sz="8" w:space="0" w:color="BABABA"/>
              <w:right w:val="single" w:sz="8" w:space="0" w:color="BABABA"/>
            </w:tcBorders>
          </w:tcPr>
          <w:p w14:paraId="1D3E77A8" w14:textId="77777777" w:rsidR="00526186" w:rsidRPr="00722521" w:rsidRDefault="00526186" w:rsidP="00526186">
            <w:pPr>
              <w:pStyle w:val="TableParagraph"/>
              <w:mirrorIndents/>
              <w:rPr>
                <w:b/>
                <w:szCs w:val="17"/>
              </w:rPr>
            </w:pPr>
          </w:p>
        </w:tc>
        <w:tc>
          <w:tcPr>
            <w:tcW w:w="611" w:type="pct"/>
            <w:tcBorders>
              <w:top w:val="single" w:sz="8" w:space="0" w:color="BABABA"/>
              <w:left w:val="single" w:sz="8" w:space="0" w:color="BABABA"/>
              <w:bottom w:val="single" w:sz="8" w:space="0" w:color="BABABA"/>
              <w:right w:val="single" w:sz="8" w:space="0" w:color="BABABA"/>
            </w:tcBorders>
          </w:tcPr>
          <w:p w14:paraId="008134E9" w14:textId="77777777" w:rsidR="00526186" w:rsidRPr="00722521" w:rsidRDefault="00526186" w:rsidP="00526186">
            <w:pPr>
              <w:pStyle w:val="TableParagraph"/>
              <w:mirrorIndents/>
              <w:rPr>
                <w:b/>
                <w:szCs w:val="17"/>
              </w:rPr>
            </w:pPr>
          </w:p>
        </w:tc>
        <w:tc>
          <w:tcPr>
            <w:tcW w:w="730" w:type="pct"/>
            <w:tcBorders>
              <w:top w:val="single" w:sz="8" w:space="0" w:color="BABABA"/>
              <w:left w:val="single" w:sz="8" w:space="0" w:color="BABABA"/>
              <w:bottom w:val="single" w:sz="8" w:space="0" w:color="BABABA"/>
              <w:right w:val="single" w:sz="8" w:space="0" w:color="BABABA"/>
            </w:tcBorders>
          </w:tcPr>
          <w:p w14:paraId="77D7900E" w14:textId="5E19D71C" w:rsidR="00526186" w:rsidRPr="00722521" w:rsidRDefault="0007384F" w:rsidP="00526186">
            <w:pPr>
              <w:pStyle w:val="TableParagraph"/>
              <w:mirrorIndents/>
              <w:rPr>
                <w:b/>
                <w:szCs w:val="17"/>
              </w:rPr>
            </w:pPr>
            <w:r w:rsidRPr="00722521">
              <w:rPr>
                <w:b/>
                <w:szCs w:val="17"/>
              </w:rPr>
              <w:t>x</w:t>
            </w:r>
          </w:p>
        </w:tc>
      </w:tr>
    </w:tbl>
    <w:p w14:paraId="044F4455" w14:textId="77777777" w:rsidR="00526186" w:rsidRPr="00722521" w:rsidRDefault="00526186" w:rsidP="00A903E6">
      <w:pPr>
        <w:pStyle w:val="Textkrper"/>
        <w:mirrorIndents/>
        <w:rPr>
          <w:rFonts w:ascii="Verdana" w:hAnsi="Verdana"/>
          <w:sz w:val="17"/>
          <w:szCs w:val="17"/>
        </w:rPr>
      </w:pPr>
    </w:p>
    <w:p w14:paraId="7E9F24C4" w14:textId="385086C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specify to what other factors you refer and provide concrete examples:</w:t>
      </w:r>
    </w:p>
    <w:p w14:paraId="775114EC" w14:textId="393D56CA" w:rsidR="00BA160A" w:rsidRPr="00722521" w:rsidRDefault="00BA160A" w:rsidP="00A903E6">
      <w:pPr>
        <w:mirrorIndents/>
        <w:rPr>
          <w:sz w:val="17"/>
          <w:szCs w:val="17"/>
        </w:rPr>
      </w:pPr>
    </w:p>
    <w:p w14:paraId="33B8A3D3" w14:textId="6C13435B" w:rsidR="00526186" w:rsidRPr="00722521" w:rsidRDefault="008868EB" w:rsidP="00A903E6">
      <w:pPr>
        <w:mirrorIndents/>
        <w:rPr>
          <w:sz w:val="17"/>
          <w:szCs w:val="17"/>
        </w:rPr>
      </w:pPr>
      <w:r w:rsidRPr="00722521">
        <w:rPr>
          <w:sz w:val="17"/>
          <w:szCs w:val="17"/>
        </w:rPr>
        <w:t>N/A</w:t>
      </w:r>
    </w:p>
    <w:p w14:paraId="6330D4EE" w14:textId="77777777" w:rsidR="00526186" w:rsidRPr="00722521" w:rsidRDefault="00526186" w:rsidP="00A903E6">
      <w:pPr>
        <w:mirrorIndents/>
        <w:rPr>
          <w:sz w:val="17"/>
          <w:szCs w:val="17"/>
        </w:rPr>
      </w:pPr>
    </w:p>
    <w:p w14:paraId="7C9CA9BA" w14:textId="49177926"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 xml:space="preserve">Question 6.8 As part of the Commission’s work on enhancing the single rulebook under the Capital Markets Union project, do you consider that certain EU legislative acts (level 1) should, in the course of a review, become more detailed and contain a higher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Would any of those legal frameworks currently contained in Directives, or any part therein, benefit from being directly applicable in Member States instead of requiring national transposition?</w:t>
      </w:r>
    </w:p>
    <w:p w14:paraId="3A3229E7" w14:textId="77777777" w:rsidR="00526186" w:rsidRPr="00722521" w:rsidRDefault="00BA160A" w:rsidP="00526186">
      <w:pPr>
        <w:pStyle w:val="CEABullet-Level1"/>
        <w:rPr>
          <w:color w:val="auto"/>
          <w:highlight w:val="lightGray"/>
        </w:rPr>
      </w:pPr>
      <w:r w:rsidRPr="00722521">
        <w:rPr>
          <w:color w:val="auto"/>
          <w:highlight w:val="lightGray"/>
        </w:rPr>
        <w:t xml:space="preserve">Yes </w:t>
      </w:r>
    </w:p>
    <w:p w14:paraId="2128387D" w14:textId="415A245F" w:rsidR="00BA160A" w:rsidRPr="00722521" w:rsidRDefault="00BA160A" w:rsidP="00526186">
      <w:pPr>
        <w:pStyle w:val="CEABullet-Level1"/>
        <w:rPr>
          <w:color w:val="auto"/>
          <w:highlight w:val="lightGray"/>
        </w:rPr>
      </w:pPr>
      <w:r w:rsidRPr="00722521">
        <w:rPr>
          <w:color w:val="auto"/>
          <w:highlight w:val="lightGray"/>
        </w:rPr>
        <w:t>No</w:t>
      </w:r>
    </w:p>
    <w:p w14:paraId="1F0BC6E3" w14:textId="77777777" w:rsidR="00BA160A" w:rsidRPr="00722521" w:rsidRDefault="00BA160A" w:rsidP="00526186">
      <w:pPr>
        <w:pStyle w:val="CEABullet-Level1"/>
        <w:rPr>
          <w:color w:val="auto"/>
          <w:highlight w:val="lightGray"/>
        </w:rPr>
      </w:pPr>
      <w:r w:rsidRPr="00722521">
        <w:rPr>
          <w:color w:val="auto"/>
          <w:highlight w:val="lightGray"/>
        </w:rPr>
        <w:t>Don’t know / no opinion / not relevant</w:t>
      </w:r>
    </w:p>
    <w:p w14:paraId="21D9C424" w14:textId="397ED317" w:rsidR="00BA160A" w:rsidRPr="00722521" w:rsidRDefault="00BA160A" w:rsidP="00A903E6">
      <w:pPr>
        <w:mirrorIndents/>
        <w:rPr>
          <w:sz w:val="17"/>
          <w:szCs w:val="17"/>
        </w:rPr>
      </w:pPr>
    </w:p>
    <w:p w14:paraId="5174FE0F" w14:textId="1E78553C" w:rsidR="008868EB" w:rsidRPr="00722521" w:rsidRDefault="00A16D13" w:rsidP="00A903E6">
      <w:pPr>
        <w:mirrorIndents/>
        <w:rPr>
          <w:sz w:val="17"/>
          <w:szCs w:val="17"/>
        </w:rPr>
      </w:pPr>
      <w:r w:rsidRPr="00722521">
        <w:rPr>
          <w:sz w:val="17"/>
          <w:szCs w:val="17"/>
        </w:rPr>
        <w:t>Yes</w:t>
      </w:r>
    </w:p>
    <w:p w14:paraId="3E75805C" w14:textId="77777777" w:rsidR="008868EB" w:rsidRPr="00722521" w:rsidRDefault="008868EB" w:rsidP="00A903E6">
      <w:pPr>
        <w:mirrorIndents/>
        <w:rPr>
          <w:sz w:val="17"/>
          <w:szCs w:val="17"/>
        </w:rPr>
      </w:pPr>
    </w:p>
    <w:p w14:paraId="3A464C1B" w14:textId="77777777" w:rsidR="00BA160A" w:rsidRPr="00722521" w:rsidRDefault="00BA160A" w:rsidP="00526186">
      <w:pPr>
        <w:pStyle w:val="Textkrper"/>
        <w:ind w:left="0"/>
        <w:mirrorIndents/>
        <w:rPr>
          <w:rFonts w:ascii="Verdana" w:hAnsi="Verdana"/>
          <w:sz w:val="17"/>
          <w:szCs w:val="17"/>
        </w:rPr>
      </w:pPr>
      <w:r w:rsidRPr="00722521">
        <w:rPr>
          <w:rFonts w:ascii="Verdana" w:hAnsi="Verdana"/>
          <w:sz w:val="17"/>
          <w:szCs w:val="17"/>
          <w:highlight w:val="lightGray"/>
        </w:rPr>
        <w:t xml:space="preserve">Please specify in which legislative sector(s) should EU legislative acts at level 1 become more detailed and contain a higher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w:t>
      </w:r>
    </w:p>
    <w:p w14:paraId="3EC4A32C" w14:textId="77777777" w:rsidR="0007384F" w:rsidRPr="00722521" w:rsidRDefault="00BA160A" w:rsidP="005B1F4B">
      <w:pPr>
        <w:pStyle w:val="CEABullet-Level1"/>
        <w:rPr>
          <w:color w:val="auto"/>
          <w:highlight w:val="lightGray"/>
        </w:rPr>
      </w:pPr>
      <w:r w:rsidRPr="00722521">
        <w:rPr>
          <w:color w:val="auto"/>
          <w:highlight w:val="lightGray"/>
        </w:rPr>
        <w:t xml:space="preserve">Banking </w:t>
      </w:r>
    </w:p>
    <w:p w14:paraId="129BC929" w14:textId="38C6D420" w:rsidR="00BA160A" w:rsidRPr="00722521" w:rsidRDefault="00BA160A" w:rsidP="005B1F4B">
      <w:pPr>
        <w:pStyle w:val="CEABullet-Level1"/>
        <w:rPr>
          <w:color w:val="auto"/>
          <w:highlight w:val="lightGray"/>
        </w:rPr>
      </w:pPr>
      <w:r w:rsidRPr="00722521">
        <w:rPr>
          <w:color w:val="auto"/>
          <w:highlight w:val="lightGray"/>
        </w:rPr>
        <w:t>Insurance</w:t>
      </w:r>
    </w:p>
    <w:p w14:paraId="7D80E469" w14:textId="77777777" w:rsidR="00BA160A" w:rsidRPr="00722521" w:rsidRDefault="00BA160A" w:rsidP="005B1F4B">
      <w:pPr>
        <w:pStyle w:val="CEABullet-Level1"/>
        <w:rPr>
          <w:color w:val="auto"/>
          <w:highlight w:val="lightGray"/>
        </w:rPr>
      </w:pPr>
      <w:r w:rsidRPr="00722521">
        <w:rPr>
          <w:color w:val="auto"/>
          <w:highlight w:val="lightGray"/>
        </w:rPr>
        <w:t>Asset management</w:t>
      </w:r>
    </w:p>
    <w:p w14:paraId="24E92057" w14:textId="77777777" w:rsidR="005B1F4B" w:rsidRPr="00722521" w:rsidRDefault="00BA160A" w:rsidP="005B1F4B">
      <w:pPr>
        <w:pStyle w:val="CEABullet-Level1"/>
        <w:rPr>
          <w:color w:val="auto"/>
          <w:highlight w:val="lightGray"/>
        </w:rPr>
      </w:pPr>
      <w:r w:rsidRPr="00722521">
        <w:rPr>
          <w:color w:val="auto"/>
          <w:highlight w:val="lightGray"/>
        </w:rPr>
        <w:t xml:space="preserve">Market infrastructure (CCPs, CSDs) </w:t>
      </w:r>
    </w:p>
    <w:p w14:paraId="0F9CB9E6" w14:textId="77777777" w:rsidR="005B1F4B" w:rsidRPr="00722521" w:rsidRDefault="00BA160A" w:rsidP="005B1F4B">
      <w:pPr>
        <w:pStyle w:val="CEABullet-Level1"/>
        <w:rPr>
          <w:color w:val="auto"/>
          <w:highlight w:val="lightGray"/>
        </w:rPr>
      </w:pPr>
      <w:r w:rsidRPr="00722521">
        <w:rPr>
          <w:color w:val="auto"/>
          <w:highlight w:val="lightGray"/>
        </w:rPr>
        <w:t xml:space="preserve">Market organisation (MiFID, MIFIR, MAR) </w:t>
      </w:r>
    </w:p>
    <w:p w14:paraId="54C78B07" w14:textId="312FBE1A" w:rsidR="00BA160A" w:rsidRPr="00722521" w:rsidRDefault="00BA160A" w:rsidP="005B1F4B">
      <w:pPr>
        <w:pStyle w:val="CEABullet-Level1"/>
        <w:rPr>
          <w:color w:val="auto"/>
          <w:highlight w:val="lightGray"/>
        </w:rPr>
      </w:pPr>
      <w:r w:rsidRPr="00722521">
        <w:rPr>
          <w:color w:val="auto"/>
          <w:highlight w:val="lightGray"/>
        </w:rPr>
        <w:t>Other</w:t>
      </w:r>
    </w:p>
    <w:p w14:paraId="7A3A78CE" w14:textId="51AE1D38" w:rsidR="005B1F4B" w:rsidRPr="00722521" w:rsidRDefault="005B1F4B" w:rsidP="00A903E6">
      <w:pPr>
        <w:mirrorIndents/>
        <w:rPr>
          <w:sz w:val="17"/>
          <w:szCs w:val="17"/>
        </w:rPr>
      </w:pPr>
    </w:p>
    <w:p w14:paraId="1FA3BE7E" w14:textId="50542388" w:rsidR="008868EB" w:rsidRPr="00722521" w:rsidRDefault="00A16D13" w:rsidP="00A903E6">
      <w:pPr>
        <w:mirrorIndents/>
        <w:rPr>
          <w:sz w:val="17"/>
          <w:szCs w:val="17"/>
        </w:rPr>
      </w:pPr>
      <w:r w:rsidRPr="00722521">
        <w:rPr>
          <w:sz w:val="17"/>
          <w:szCs w:val="17"/>
        </w:rPr>
        <w:t>Insurance</w:t>
      </w:r>
    </w:p>
    <w:p w14:paraId="77BCB5FF" w14:textId="77777777" w:rsidR="008868EB" w:rsidRPr="00722521" w:rsidRDefault="008868EB" w:rsidP="00A903E6">
      <w:pPr>
        <w:mirrorIndents/>
        <w:rPr>
          <w:sz w:val="17"/>
          <w:szCs w:val="17"/>
        </w:rPr>
      </w:pPr>
    </w:p>
    <w:p w14:paraId="062D6131" w14:textId="0A9466DA" w:rsidR="00BA160A" w:rsidRPr="00722521" w:rsidRDefault="00BA160A" w:rsidP="00A903E6">
      <w:pPr>
        <w:mirrorIndents/>
        <w:rPr>
          <w:b/>
          <w:sz w:val="17"/>
          <w:szCs w:val="17"/>
        </w:rPr>
      </w:pPr>
      <w:r w:rsidRPr="00722521">
        <w:rPr>
          <w:b/>
          <w:w w:val="105"/>
          <w:sz w:val="17"/>
          <w:szCs w:val="17"/>
        </w:rPr>
        <w:t>Banking</w:t>
      </w:r>
    </w:p>
    <w:p w14:paraId="093F650C" w14:textId="28BA827B"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 xml:space="preserve">Please identify the specific piece(s) of legislation at level 1 in the area of banking </w:t>
      </w:r>
      <w:r w:rsidRPr="00722521">
        <w:rPr>
          <w:rFonts w:ascii="Verdana" w:hAnsi="Verdana"/>
          <w:spacing w:val="3"/>
          <w:sz w:val="17"/>
          <w:szCs w:val="17"/>
          <w:highlight w:val="lightGray"/>
        </w:rPr>
        <w:t xml:space="preserve">that should become </w:t>
      </w:r>
      <w:r w:rsidR="005B1F4B" w:rsidRPr="00722521">
        <w:rPr>
          <w:rFonts w:ascii="Verdana" w:hAnsi="Verdana"/>
          <w:spacing w:val="3"/>
          <w:sz w:val="17"/>
          <w:szCs w:val="17"/>
          <w:highlight w:val="lightGray"/>
        </w:rPr>
        <w:t>m</w:t>
      </w:r>
      <w:r w:rsidRPr="00722521">
        <w:rPr>
          <w:rFonts w:ascii="Verdana" w:hAnsi="Verdana"/>
          <w:spacing w:val="3"/>
          <w:sz w:val="17"/>
          <w:szCs w:val="17"/>
          <w:highlight w:val="lightGray"/>
        </w:rPr>
        <w:t xml:space="preserve">ore detailed </w:t>
      </w:r>
      <w:r w:rsidRPr="00722521">
        <w:rPr>
          <w:rFonts w:ascii="Verdana" w:hAnsi="Verdana"/>
          <w:spacing w:val="2"/>
          <w:sz w:val="17"/>
          <w:szCs w:val="17"/>
          <w:highlight w:val="lightGray"/>
        </w:rPr>
        <w:t xml:space="preserve">and </w:t>
      </w:r>
      <w:r w:rsidRPr="00722521">
        <w:rPr>
          <w:rFonts w:ascii="Verdana" w:hAnsi="Verdana"/>
          <w:spacing w:val="3"/>
          <w:sz w:val="17"/>
          <w:szCs w:val="17"/>
          <w:highlight w:val="lightGray"/>
        </w:rPr>
        <w:t xml:space="preserve">contain </w:t>
      </w:r>
      <w:r w:rsidRPr="00722521">
        <w:rPr>
          <w:rFonts w:ascii="Verdana" w:hAnsi="Verdana"/>
          <w:sz w:val="17"/>
          <w:szCs w:val="17"/>
          <w:highlight w:val="lightGray"/>
        </w:rPr>
        <w:t xml:space="preserve">a </w:t>
      </w:r>
      <w:r w:rsidRPr="00722521">
        <w:rPr>
          <w:rFonts w:ascii="Verdana" w:hAnsi="Verdana"/>
          <w:spacing w:val="3"/>
          <w:sz w:val="17"/>
          <w:szCs w:val="17"/>
          <w:highlight w:val="lightGray"/>
        </w:rPr>
        <w:t xml:space="preserve">higher degree </w:t>
      </w:r>
      <w:r w:rsidRPr="00722521">
        <w:rPr>
          <w:rFonts w:ascii="Verdana" w:hAnsi="Verdana"/>
          <w:sz w:val="17"/>
          <w:szCs w:val="17"/>
          <w:highlight w:val="lightGray"/>
        </w:rPr>
        <w:t>of</w:t>
      </w:r>
      <w:r w:rsidR="005B1F4B" w:rsidRPr="00722521">
        <w:rPr>
          <w:rFonts w:ascii="Verdana" w:hAnsi="Verdana"/>
          <w:sz w:val="17"/>
          <w:szCs w:val="17"/>
          <w:highlight w:val="lightGray"/>
        </w:rPr>
        <w:t xml:space="preserve">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and explain:</w:t>
      </w:r>
    </w:p>
    <w:p w14:paraId="66E1F261" w14:textId="1A2A1DD4" w:rsidR="00BA160A" w:rsidRPr="00722521" w:rsidRDefault="00BA160A" w:rsidP="00A903E6">
      <w:pPr>
        <w:mirrorIndents/>
        <w:rPr>
          <w:sz w:val="17"/>
          <w:szCs w:val="17"/>
        </w:rPr>
      </w:pPr>
    </w:p>
    <w:p w14:paraId="5CC71FC3" w14:textId="49D9DCAC" w:rsidR="005B1F4B" w:rsidRPr="00722521" w:rsidRDefault="008868EB" w:rsidP="00A903E6">
      <w:pPr>
        <w:mirrorIndents/>
        <w:rPr>
          <w:sz w:val="17"/>
          <w:szCs w:val="17"/>
        </w:rPr>
      </w:pPr>
      <w:r w:rsidRPr="00722521">
        <w:rPr>
          <w:sz w:val="17"/>
          <w:szCs w:val="17"/>
        </w:rPr>
        <w:lastRenderedPageBreak/>
        <w:t>N/A</w:t>
      </w:r>
    </w:p>
    <w:p w14:paraId="051C58C5" w14:textId="77777777" w:rsidR="00BA160A" w:rsidRPr="00722521" w:rsidRDefault="00BA160A" w:rsidP="00A903E6">
      <w:pPr>
        <w:mirrorIndents/>
        <w:rPr>
          <w:sz w:val="17"/>
          <w:szCs w:val="17"/>
        </w:rPr>
      </w:pPr>
    </w:p>
    <w:p w14:paraId="2B8635C4"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provide examples in the area of banking and explain:</w:t>
      </w:r>
    </w:p>
    <w:p w14:paraId="45F58597" w14:textId="2FBC7D91" w:rsidR="00BA160A" w:rsidRPr="00722521" w:rsidRDefault="00BA160A" w:rsidP="00A903E6">
      <w:pPr>
        <w:mirrorIndents/>
        <w:rPr>
          <w:sz w:val="17"/>
          <w:szCs w:val="17"/>
        </w:rPr>
      </w:pPr>
    </w:p>
    <w:p w14:paraId="6D29FB31" w14:textId="132CA16F" w:rsidR="005B1F4B" w:rsidRPr="00722521" w:rsidRDefault="008868EB" w:rsidP="00A903E6">
      <w:pPr>
        <w:mirrorIndents/>
        <w:rPr>
          <w:sz w:val="17"/>
          <w:szCs w:val="17"/>
        </w:rPr>
      </w:pPr>
      <w:r w:rsidRPr="00722521">
        <w:rPr>
          <w:sz w:val="17"/>
          <w:szCs w:val="17"/>
        </w:rPr>
        <w:t>N/A</w:t>
      </w:r>
    </w:p>
    <w:p w14:paraId="17EB98DD" w14:textId="77777777" w:rsidR="005B1F4B" w:rsidRPr="00722521" w:rsidRDefault="005B1F4B" w:rsidP="00A903E6">
      <w:pPr>
        <w:mirrorIndents/>
        <w:rPr>
          <w:sz w:val="17"/>
          <w:szCs w:val="17"/>
        </w:rPr>
      </w:pPr>
    </w:p>
    <w:p w14:paraId="7712C5EC" w14:textId="77777777" w:rsidR="00BA160A" w:rsidRPr="00722521" w:rsidRDefault="00BA160A" w:rsidP="00A903E6">
      <w:pPr>
        <w:mirrorIndents/>
        <w:rPr>
          <w:b/>
          <w:sz w:val="17"/>
          <w:szCs w:val="17"/>
        </w:rPr>
      </w:pPr>
      <w:r w:rsidRPr="00722521">
        <w:rPr>
          <w:b/>
          <w:w w:val="105"/>
          <w:sz w:val="17"/>
          <w:szCs w:val="17"/>
        </w:rPr>
        <w:t>Insurance</w:t>
      </w:r>
    </w:p>
    <w:p w14:paraId="55C6DB7F" w14:textId="39671DAA"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piece(s) of legislation at level 1 in the area of Insur</w:t>
      </w:r>
      <w:r w:rsidRPr="00722521">
        <w:rPr>
          <w:rFonts w:ascii="Verdana" w:hAnsi="Verdana"/>
          <w:spacing w:val="2"/>
          <w:sz w:val="17"/>
          <w:szCs w:val="17"/>
          <w:highlight w:val="lightGray"/>
        </w:rPr>
        <w:t>ance</w:t>
      </w:r>
      <w:r w:rsidRPr="00722521">
        <w:rPr>
          <w:rFonts w:ascii="Verdana" w:hAnsi="Verdana"/>
          <w:spacing w:val="66"/>
          <w:sz w:val="17"/>
          <w:szCs w:val="17"/>
          <w:highlight w:val="lightGray"/>
        </w:rPr>
        <w:t xml:space="preserve"> </w:t>
      </w:r>
      <w:r w:rsidRPr="00722521">
        <w:rPr>
          <w:rFonts w:ascii="Verdana" w:hAnsi="Verdana"/>
          <w:spacing w:val="2"/>
          <w:sz w:val="17"/>
          <w:szCs w:val="17"/>
          <w:highlight w:val="lightGray"/>
        </w:rPr>
        <w:t>that</w:t>
      </w:r>
      <w:r w:rsidRPr="00722521">
        <w:rPr>
          <w:rFonts w:ascii="Verdana" w:hAnsi="Verdana"/>
          <w:spacing w:val="64"/>
          <w:sz w:val="17"/>
          <w:szCs w:val="17"/>
          <w:highlight w:val="lightGray"/>
        </w:rPr>
        <w:t xml:space="preserve"> </w:t>
      </w:r>
      <w:r w:rsidRPr="00722521">
        <w:rPr>
          <w:rFonts w:ascii="Verdana" w:hAnsi="Verdana"/>
          <w:spacing w:val="2"/>
          <w:sz w:val="17"/>
          <w:szCs w:val="17"/>
          <w:highlight w:val="lightGray"/>
        </w:rPr>
        <w:t>should</w:t>
      </w:r>
      <w:r w:rsidRPr="00722521">
        <w:rPr>
          <w:rFonts w:ascii="Verdana" w:hAnsi="Verdana"/>
          <w:spacing w:val="65"/>
          <w:sz w:val="17"/>
          <w:szCs w:val="17"/>
          <w:highlight w:val="lightGray"/>
        </w:rPr>
        <w:t xml:space="preserve"> </w:t>
      </w:r>
      <w:r w:rsidRPr="00722521">
        <w:rPr>
          <w:rFonts w:ascii="Verdana" w:hAnsi="Verdana"/>
          <w:spacing w:val="2"/>
          <w:sz w:val="17"/>
          <w:szCs w:val="17"/>
          <w:highlight w:val="lightGray"/>
        </w:rPr>
        <w:t>become</w:t>
      </w:r>
      <w:r w:rsidRPr="00722521">
        <w:rPr>
          <w:rFonts w:ascii="Verdana" w:hAnsi="Verdana"/>
          <w:spacing w:val="65"/>
          <w:sz w:val="17"/>
          <w:szCs w:val="17"/>
          <w:highlight w:val="lightGray"/>
        </w:rPr>
        <w:t xml:space="preserve"> </w:t>
      </w:r>
      <w:r w:rsidRPr="00722521">
        <w:rPr>
          <w:rFonts w:ascii="Verdana" w:hAnsi="Verdana"/>
          <w:spacing w:val="2"/>
          <w:sz w:val="17"/>
          <w:szCs w:val="17"/>
          <w:highlight w:val="lightGray"/>
        </w:rPr>
        <w:t>more</w:t>
      </w:r>
      <w:r w:rsidRPr="00722521">
        <w:rPr>
          <w:rFonts w:ascii="Verdana" w:hAnsi="Verdana"/>
          <w:spacing w:val="65"/>
          <w:sz w:val="17"/>
          <w:szCs w:val="17"/>
          <w:highlight w:val="lightGray"/>
        </w:rPr>
        <w:t xml:space="preserve"> </w:t>
      </w:r>
      <w:r w:rsidRPr="00722521">
        <w:rPr>
          <w:rFonts w:ascii="Verdana" w:hAnsi="Verdana"/>
          <w:spacing w:val="2"/>
          <w:sz w:val="17"/>
          <w:szCs w:val="17"/>
          <w:highlight w:val="lightGray"/>
        </w:rPr>
        <w:t>detailed</w:t>
      </w:r>
      <w:r w:rsidRPr="00722521">
        <w:rPr>
          <w:rFonts w:ascii="Verdana" w:hAnsi="Verdana"/>
          <w:spacing w:val="65"/>
          <w:sz w:val="17"/>
          <w:szCs w:val="17"/>
          <w:highlight w:val="lightGray"/>
        </w:rPr>
        <w:t xml:space="preserve"> </w:t>
      </w:r>
      <w:r w:rsidRPr="00722521">
        <w:rPr>
          <w:rFonts w:ascii="Verdana" w:hAnsi="Verdana"/>
          <w:sz w:val="17"/>
          <w:szCs w:val="17"/>
          <w:highlight w:val="lightGray"/>
        </w:rPr>
        <w:t>and</w:t>
      </w:r>
      <w:r w:rsidRPr="00722521">
        <w:rPr>
          <w:rFonts w:ascii="Verdana" w:hAnsi="Verdana"/>
          <w:spacing w:val="65"/>
          <w:sz w:val="17"/>
          <w:szCs w:val="17"/>
          <w:highlight w:val="lightGray"/>
        </w:rPr>
        <w:t xml:space="preserve"> </w:t>
      </w:r>
      <w:r w:rsidRPr="00722521">
        <w:rPr>
          <w:rFonts w:ascii="Verdana" w:hAnsi="Verdana"/>
          <w:spacing w:val="2"/>
          <w:sz w:val="17"/>
          <w:szCs w:val="17"/>
          <w:highlight w:val="lightGray"/>
        </w:rPr>
        <w:t>contain</w:t>
      </w:r>
      <w:r w:rsidRPr="00722521">
        <w:rPr>
          <w:rFonts w:ascii="Verdana" w:hAnsi="Verdana"/>
          <w:spacing w:val="65"/>
          <w:sz w:val="17"/>
          <w:szCs w:val="17"/>
          <w:highlight w:val="lightGray"/>
        </w:rPr>
        <w:t xml:space="preserve"> </w:t>
      </w:r>
      <w:r w:rsidRPr="00722521">
        <w:rPr>
          <w:rFonts w:ascii="Verdana" w:hAnsi="Verdana"/>
          <w:sz w:val="17"/>
          <w:szCs w:val="17"/>
          <w:highlight w:val="lightGray"/>
        </w:rPr>
        <w:t>a</w:t>
      </w:r>
      <w:r w:rsidRPr="00722521">
        <w:rPr>
          <w:rFonts w:ascii="Verdana" w:hAnsi="Verdana"/>
          <w:spacing w:val="65"/>
          <w:sz w:val="17"/>
          <w:szCs w:val="17"/>
          <w:highlight w:val="lightGray"/>
        </w:rPr>
        <w:t xml:space="preserve"> </w:t>
      </w:r>
      <w:r w:rsidRPr="00722521">
        <w:rPr>
          <w:rFonts w:ascii="Verdana" w:hAnsi="Verdana"/>
          <w:spacing w:val="2"/>
          <w:sz w:val="17"/>
          <w:szCs w:val="17"/>
          <w:highlight w:val="lightGray"/>
        </w:rPr>
        <w:t>higher</w:t>
      </w:r>
      <w:r w:rsidRPr="00722521">
        <w:rPr>
          <w:rFonts w:ascii="Verdana" w:hAnsi="Verdana"/>
          <w:spacing w:val="65"/>
          <w:sz w:val="17"/>
          <w:szCs w:val="17"/>
          <w:highlight w:val="lightGray"/>
        </w:rPr>
        <w:t xml:space="preserve"> </w:t>
      </w:r>
      <w:r w:rsidRPr="00722521">
        <w:rPr>
          <w:rFonts w:ascii="Verdana" w:hAnsi="Verdana"/>
          <w:spacing w:val="2"/>
          <w:sz w:val="17"/>
          <w:szCs w:val="17"/>
          <w:highlight w:val="lightGray"/>
        </w:rPr>
        <w:t>degree</w:t>
      </w:r>
      <w:r w:rsidRPr="00722521">
        <w:rPr>
          <w:rFonts w:ascii="Verdana" w:hAnsi="Verdana"/>
          <w:spacing w:val="65"/>
          <w:sz w:val="17"/>
          <w:szCs w:val="17"/>
          <w:highlight w:val="lightGray"/>
        </w:rPr>
        <w:t xml:space="preserve"> </w:t>
      </w:r>
      <w:r w:rsidRPr="00722521">
        <w:rPr>
          <w:rFonts w:ascii="Verdana" w:hAnsi="Verdana"/>
          <w:sz w:val="17"/>
          <w:szCs w:val="17"/>
          <w:highlight w:val="lightGray"/>
        </w:rPr>
        <w:t>of</w:t>
      </w:r>
      <w:r w:rsidR="005B1F4B" w:rsidRPr="00722521">
        <w:rPr>
          <w:rFonts w:ascii="Verdana" w:hAnsi="Verdana"/>
          <w:sz w:val="17"/>
          <w:szCs w:val="17"/>
          <w:highlight w:val="lightGray"/>
        </w:rPr>
        <w:t xml:space="preserve">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and explain:</w:t>
      </w:r>
    </w:p>
    <w:p w14:paraId="7B0610D5" w14:textId="7F84DEB9" w:rsidR="00BA160A" w:rsidRPr="00722521" w:rsidRDefault="00BA160A" w:rsidP="00A903E6">
      <w:pPr>
        <w:mirrorIndents/>
        <w:rPr>
          <w:sz w:val="17"/>
          <w:szCs w:val="17"/>
        </w:rPr>
      </w:pPr>
    </w:p>
    <w:p w14:paraId="28F7235A" w14:textId="1DDC8A3D" w:rsidR="005B1F4B" w:rsidRPr="00722521" w:rsidRDefault="00A16D13" w:rsidP="00A903E6">
      <w:pPr>
        <w:mirrorIndents/>
        <w:rPr>
          <w:sz w:val="17"/>
          <w:szCs w:val="17"/>
        </w:rPr>
      </w:pPr>
      <w:r w:rsidRPr="00722521">
        <w:rPr>
          <w:sz w:val="17"/>
          <w:szCs w:val="17"/>
        </w:rPr>
        <w:t>Solvency II</w:t>
      </w:r>
    </w:p>
    <w:p w14:paraId="30B007E0" w14:textId="24909F49" w:rsidR="003C04B2" w:rsidRPr="00722521" w:rsidRDefault="003C04B2" w:rsidP="00A903E6">
      <w:pPr>
        <w:mirrorIndents/>
        <w:rPr>
          <w:sz w:val="17"/>
          <w:szCs w:val="17"/>
          <w:highlight w:val="yellow"/>
        </w:rPr>
      </w:pPr>
    </w:p>
    <w:p w14:paraId="589402C0" w14:textId="77777777" w:rsidR="005B1F4B" w:rsidRPr="00722521" w:rsidRDefault="005B1F4B" w:rsidP="00A903E6">
      <w:pPr>
        <w:mirrorIndents/>
        <w:rPr>
          <w:sz w:val="17"/>
          <w:szCs w:val="17"/>
        </w:rPr>
      </w:pPr>
    </w:p>
    <w:p w14:paraId="32C0B118"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provide examples in the area of Insurance and explain:</w:t>
      </w:r>
    </w:p>
    <w:p w14:paraId="1ED6DB04" w14:textId="71AC9136" w:rsidR="00BA160A" w:rsidRPr="00722521" w:rsidRDefault="00BA160A" w:rsidP="00A903E6">
      <w:pPr>
        <w:mirrorIndents/>
        <w:rPr>
          <w:sz w:val="17"/>
          <w:szCs w:val="17"/>
        </w:rPr>
      </w:pPr>
    </w:p>
    <w:p w14:paraId="1CEDB513" w14:textId="2CAFF49E" w:rsidR="00A16D13" w:rsidRPr="00722521" w:rsidRDefault="00A16D13" w:rsidP="00A16D13">
      <w:pPr>
        <w:mirrorIndents/>
        <w:rPr>
          <w:sz w:val="17"/>
          <w:szCs w:val="17"/>
        </w:rPr>
      </w:pPr>
      <w:r w:rsidRPr="00722521">
        <w:rPr>
          <w:sz w:val="17"/>
          <w:szCs w:val="17"/>
        </w:rPr>
        <w:t xml:space="preserve">In </w:t>
      </w:r>
      <w:r w:rsidR="003344F1" w:rsidRPr="00722521">
        <w:rPr>
          <w:sz w:val="17"/>
          <w:szCs w:val="17"/>
        </w:rPr>
        <w:t xml:space="preserve">the context of the </w:t>
      </w:r>
      <w:r w:rsidRPr="00722521">
        <w:rPr>
          <w:sz w:val="17"/>
          <w:szCs w:val="17"/>
        </w:rPr>
        <w:t>Solvency II</w:t>
      </w:r>
      <w:r w:rsidR="003344F1" w:rsidRPr="00722521">
        <w:rPr>
          <w:sz w:val="17"/>
          <w:szCs w:val="17"/>
        </w:rPr>
        <w:t xml:space="preserve"> review</w:t>
      </w:r>
      <w:r w:rsidRPr="00722521">
        <w:rPr>
          <w:sz w:val="17"/>
          <w:szCs w:val="17"/>
        </w:rPr>
        <w:t xml:space="preserve">, the industry </w:t>
      </w:r>
      <w:r w:rsidR="003344F1" w:rsidRPr="00722521">
        <w:rPr>
          <w:sz w:val="17"/>
          <w:szCs w:val="17"/>
        </w:rPr>
        <w:t>is arguing</w:t>
      </w:r>
      <w:r w:rsidRPr="00722521">
        <w:rPr>
          <w:sz w:val="17"/>
          <w:szCs w:val="17"/>
        </w:rPr>
        <w:t xml:space="preserve"> for more harmonisation regarding the application of the principle of proportionality</w:t>
      </w:r>
      <w:r w:rsidR="003344F1" w:rsidRPr="00722521">
        <w:rPr>
          <w:sz w:val="17"/>
          <w:szCs w:val="17"/>
        </w:rPr>
        <w:t xml:space="preserve"> to allow for a harmonised application</w:t>
      </w:r>
      <w:r w:rsidRPr="00722521">
        <w:rPr>
          <w:sz w:val="17"/>
          <w:szCs w:val="17"/>
        </w:rPr>
        <w:t>.</w:t>
      </w:r>
      <w:r w:rsidR="003344F1" w:rsidRPr="00722521">
        <w:rPr>
          <w:sz w:val="17"/>
          <w:szCs w:val="17"/>
        </w:rPr>
        <w:t xml:space="preserve"> While the directive explicitly mentions proportionality, some NSAs are of the view that the regulation does not allowing them to deviate from specific requirements for reasons of proportionality.</w:t>
      </w:r>
    </w:p>
    <w:p w14:paraId="75481DF9" w14:textId="39E427C6" w:rsidR="00AC51B0" w:rsidRPr="00722521" w:rsidRDefault="00AC51B0" w:rsidP="00A16D13">
      <w:pPr>
        <w:mirrorIndents/>
        <w:rPr>
          <w:sz w:val="17"/>
          <w:szCs w:val="17"/>
        </w:rPr>
      </w:pPr>
    </w:p>
    <w:p w14:paraId="14B423A1" w14:textId="5D7E6BEB" w:rsidR="00AC51B0" w:rsidRPr="00722521" w:rsidRDefault="00AC51B0" w:rsidP="00AC51B0">
      <w:pPr>
        <w:mirrorIndents/>
        <w:rPr>
          <w:sz w:val="17"/>
          <w:szCs w:val="17"/>
        </w:rPr>
      </w:pPr>
      <w:r w:rsidRPr="00722521">
        <w:rPr>
          <w:sz w:val="17"/>
          <w:szCs w:val="17"/>
        </w:rPr>
        <w:t xml:space="preserve">However, the insurance distribution directive (IDD) is a minimum harmonisation directive with member state options, and it is vital that the IDD remain so in the future. The IDD sets a minimum standard, but additional measures can be introduced at national level if deemed necessary. This allows the necessary flexibility to consider and accommodate differences in local market structures and consumer expectations. This is the correct way to regulate insurance markets, but it is inevitable that this approach leads to some divergent national practices. These differences in national rules should not be viewed as a barrier to cross-border business, as they stem from differences in national markets themselves. The IDD should continue to seek to provide a consistent level of consumer protection across all markets, rather than attempt to create identical market structures and accompanying distribution rules. There are also many “natural” divergences between national markets that are not within the remit of the IDD. These are the result of insurance markets that have developed over many years and should not be directly addressed through regulatory intervention. </w:t>
      </w:r>
    </w:p>
    <w:p w14:paraId="5DC7A21E" w14:textId="77777777" w:rsidR="00AC51B0" w:rsidRPr="00722521" w:rsidRDefault="00AC51B0" w:rsidP="00AC51B0">
      <w:pPr>
        <w:mirrorIndents/>
        <w:rPr>
          <w:sz w:val="17"/>
          <w:szCs w:val="17"/>
        </w:rPr>
      </w:pPr>
    </w:p>
    <w:p w14:paraId="4EA32F71" w14:textId="77777777" w:rsidR="00AC51B0" w:rsidRPr="00722521" w:rsidRDefault="00AC51B0" w:rsidP="00AC51B0">
      <w:pPr>
        <w:mirrorIndents/>
        <w:rPr>
          <w:sz w:val="17"/>
          <w:szCs w:val="17"/>
        </w:rPr>
      </w:pPr>
      <w:r w:rsidRPr="00722521">
        <w:rPr>
          <w:sz w:val="17"/>
          <w:szCs w:val="17"/>
        </w:rPr>
        <w:t>For example, in some markets, local rules establish mandatory advice for which consumers would not be prepared to pay while, in others, customers are used to accessing financial services without advice but may be willing to pay for this additional service. These differences in consumer expectations need to be reflected in the application of rules at national level. Appropriate national differentiation has a direct consumer benefit.</w:t>
      </w:r>
    </w:p>
    <w:p w14:paraId="7CA9ABA2" w14:textId="77777777" w:rsidR="00AC51B0" w:rsidRPr="00722521" w:rsidRDefault="00AC51B0" w:rsidP="00A16D13">
      <w:pPr>
        <w:mirrorIndents/>
        <w:rPr>
          <w:sz w:val="17"/>
          <w:szCs w:val="17"/>
        </w:rPr>
      </w:pPr>
    </w:p>
    <w:p w14:paraId="61C6E0E0" w14:textId="77777777" w:rsidR="008868EB" w:rsidRPr="00722521" w:rsidRDefault="008868EB" w:rsidP="00A903E6">
      <w:pPr>
        <w:mirrorIndents/>
        <w:rPr>
          <w:sz w:val="17"/>
          <w:szCs w:val="17"/>
        </w:rPr>
      </w:pPr>
    </w:p>
    <w:p w14:paraId="339CEEE3" w14:textId="2F6338AF" w:rsidR="00BA160A" w:rsidRPr="00722521" w:rsidRDefault="00BA160A" w:rsidP="00A903E6">
      <w:pPr>
        <w:mirrorIndents/>
        <w:rPr>
          <w:b/>
          <w:sz w:val="17"/>
          <w:szCs w:val="17"/>
        </w:rPr>
      </w:pPr>
      <w:r w:rsidRPr="00722521">
        <w:rPr>
          <w:b/>
          <w:sz w:val="17"/>
          <w:szCs w:val="17"/>
        </w:rPr>
        <w:t>Asset</w:t>
      </w:r>
      <w:r w:rsidRPr="00722521">
        <w:rPr>
          <w:b/>
          <w:spacing w:val="54"/>
          <w:sz w:val="17"/>
          <w:szCs w:val="17"/>
        </w:rPr>
        <w:t xml:space="preserve"> </w:t>
      </w:r>
      <w:r w:rsidRPr="00722521">
        <w:rPr>
          <w:b/>
          <w:sz w:val="17"/>
          <w:szCs w:val="17"/>
        </w:rPr>
        <w:t>management</w:t>
      </w:r>
    </w:p>
    <w:p w14:paraId="62849714"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 xml:space="preserve">Please identify the specific piece(s) of legislation at level 1 in the area of Asse t management that should become more detailed and contain a higher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and explain:</w:t>
      </w:r>
    </w:p>
    <w:p w14:paraId="4F648A47" w14:textId="45B593E3" w:rsidR="005B1F4B" w:rsidRPr="00722521" w:rsidRDefault="005B1F4B" w:rsidP="00A903E6">
      <w:pPr>
        <w:mirrorIndents/>
        <w:rPr>
          <w:sz w:val="17"/>
          <w:szCs w:val="17"/>
        </w:rPr>
      </w:pPr>
    </w:p>
    <w:p w14:paraId="61F74933" w14:textId="6CCFB2EA" w:rsidR="005B1F4B" w:rsidRPr="00722521" w:rsidRDefault="008868EB" w:rsidP="00A903E6">
      <w:pPr>
        <w:mirrorIndents/>
        <w:rPr>
          <w:sz w:val="17"/>
          <w:szCs w:val="17"/>
        </w:rPr>
      </w:pPr>
      <w:r w:rsidRPr="00722521">
        <w:rPr>
          <w:sz w:val="17"/>
          <w:szCs w:val="17"/>
        </w:rPr>
        <w:t>N/A</w:t>
      </w:r>
    </w:p>
    <w:p w14:paraId="770FA45B" w14:textId="77777777" w:rsidR="008868EB" w:rsidRPr="00722521" w:rsidRDefault="008868EB" w:rsidP="00A903E6">
      <w:pPr>
        <w:mirrorIndents/>
        <w:rPr>
          <w:sz w:val="17"/>
          <w:szCs w:val="17"/>
        </w:rPr>
      </w:pPr>
    </w:p>
    <w:p w14:paraId="18CEFFF5"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provide examples in the area of Asset management and explain:</w:t>
      </w:r>
    </w:p>
    <w:p w14:paraId="522F0404" w14:textId="2892485A" w:rsidR="00BA160A" w:rsidRPr="00722521" w:rsidRDefault="00BA160A" w:rsidP="00A903E6">
      <w:pPr>
        <w:mirrorIndents/>
        <w:rPr>
          <w:sz w:val="17"/>
          <w:szCs w:val="17"/>
        </w:rPr>
      </w:pPr>
    </w:p>
    <w:p w14:paraId="0EEE6942" w14:textId="4960EEF7" w:rsidR="008868EB" w:rsidRPr="00722521" w:rsidRDefault="008868EB" w:rsidP="00A903E6">
      <w:pPr>
        <w:mirrorIndents/>
        <w:rPr>
          <w:sz w:val="17"/>
          <w:szCs w:val="17"/>
          <w:lang w:val="en-US"/>
        </w:rPr>
      </w:pPr>
      <w:r w:rsidRPr="00722521">
        <w:rPr>
          <w:sz w:val="17"/>
          <w:szCs w:val="17"/>
          <w:lang w:val="en-US"/>
        </w:rPr>
        <w:t>N/A</w:t>
      </w:r>
    </w:p>
    <w:p w14:paraId="26BC4F27" w14:textId="77777777" w:rsidR="008868EB" w:rsidRPr="00722521" w:rsidRDefault="008868EB" w:rsidP="00A903E6">
      <w:pPr>
        <w:mirrorIndents/>
        <w:rPr>
          <w:sz w:val="17"/>
          <w:szCs w:val="17"/>
          <w:lang w:val="en-US"/>
        </w:rPr>
      </w:pPr>
    </w:p>
    <w:p w14:paraId="70B9FEBE" w14:textId="77777777" w:rsidR="00BA160A" w:rsidRPr="00722521" w:rsidRDefault="00BA160A" w:rsidP="00A903E6">
      <w:pPr>
        <w:mirrorIndents/>
        <w:rPr>
          <w:b/>
          <w:sz w:val="17"/>
          <w:szCs w:val="17"/>
          <w:lang w:val="en-US"/>
        </w:rPr>
      </w:pPr>
      <w:r w:rsidRPr="00722521">
        <w:rPr>
          <w:b/>
          <w:w w:val="105"/>
          <w:sz w:val="17"/>
          <w:szCs w:val="17"/>
          <w:lang w:val="en-US"/>
        </w:rPr>
        <w:t>Market infrastructure (CCPs, CSDs)</w:t>
      </w:r>
    </w:p>
    <w:p w14:paraId="13F70C78" w14:textId="7E4F87A1" w:rsidR="00BA160A" w:rsidRPr="00722521" w:rsidRDefault="00BA160A" w:rsidP="008868EB">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piece(s) of legislation at level 1 in the area of</w:t>
      </w:r>
      <w:r w:rsidRPr="00722521">
        <w:rPr>
          <w:rFonts w:ascii="Verdana" w:hAnsi="Verdana"/>
          <w:spacing w:val="60"/>
          <w:sz w:val="17"/>
          <w:szCs w:val="17"/>
          <w:highlight w:val="lightGray"/>
        </w:rPr>
        <w:t xml:space="preserve"> </w:t>
      </w:r>
      <w:r w:rsidRPr="00722521">
        <w:rPr>
          <w:rFonts w:ascii="Verdana" w:hAnsi="Verdana"/>
          <w:sz w:val="17"/>
          <w:szCs w:val="17"/>
          <w:highlight w:val="lightGray"/>
        </w:rPr>
        <w:t>Market infrastructure that should become more detailed and contain a higher</w:t>
      </w:r>
      <w:r w:rsidR="005B1F4B" w:rsidRPr="00722521">
        <w:rPr>
          <w:rFonts w:ascii="Verdana" w:hAnsi="Verdana"/>
          <w:sz w:val="17"/>
          <w:szCs w:val="17"/>
          <w:highlight w:val="lightGray"/>
        </w:rPr>
        <w:t xml:space="preserve"> </w:t>
      </w:r>
      <w:r w:rsidRPr="00722521">
        <w:rPr>
          <w:rFonts w:ascii="Verdana" w:hAnsi="Verdana"/>
          <w:sz w:val="17"/>
          <w:szCs w:val="17"/>
          <w:highlight w:val="lightGray"/>
        </w:rPr>
        <w:t xml:space="preserve">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and explain:</w:t>
      </w:r>
    </w:p>
    <w:p w14:paraId="238005B2" w14:textId="57FDCA61" w:rsidR="00BA160A" w:rsidRPr="00722521" w:rsidRDefault="00BA160A" w:rsidP="00A903E6">
      <w:pPr>
        <w:mirrorIndents/>
        <w:rPr>
          <w:sz w:val="17"/>
          <w:szCs w:val="17"/>
        </w:rPr>
      </w:pPr>
    </w:p>
    <w:p w14:paraId="3E49DA35" w14:textId="31912702" w:rsidR="005B1F4B" w:rsidRPr="00722521" w:rsidRDefault="008868EB" w:rsidP="00A903E6">
      <w:pPr>
        <w:mirrorIndents/>
        <w:rPr>
          <w:sz w:val="17"/>
          <w:szCs w:val="17"/>
        </w:rPr>
      </w:pPr>
      <w:r w:rsidRPr="00722521">
        <w:rPr>
          <w:sz w:val="17"/>
          <w:szCs w:val="17"/>
        </w:rPr>
        <w:t>N/A</w:t>
      </w:r>
    </w:p>
    <w:p w14:paraId="02867E16" w14:textId="77777777" w:rsidR="005B1F4B" w:rsidRPr="00722521" w:rsidRDefault="005B1F4B" w:rsidP="00A903E6">
      <w:pPr>
        <w:mirrorIndents/>
        <w:rPr>
          <w:sz w:val="17"/>
          <w:szCs w:val="17"/>
        </w:rPr>
      </w:pPr>
    </w:p>
    <w:p w14:paraId="01673869" w14:textId="77777777" w:rsidR="00BA160A" w:rsidRPr="00722521" w:rsidRDefault="00BA160A" w:rsidP="008868EB">
      <w:pPr>
        <w:pStyle w:val="Textkrper"/>
        <w:ind w:left="0"/>
        <w:mirrorIndents/>
        <w:rPr>
          <w:rFonts w:ascii="Verdana" w:hAnsi="Verdana"/>
          <w:sz w:val="17"/>
          <w:szCs w:val="17"/>
        </w:rPr>
      </w:pPr>
      <w:r w:rsidRPr="00722521">
        <w:rPr>
          <w:rFonts w:ascii="Verdana" w:hAnsi="Verdana"/>
          <w:sz w:val="17"/>
          <w:szCs w:val="17"/>
          <w:highlight w:val="lightGray"/>
        </w:rPr>
        <w:lastRenderedPageBreak/>
        <w:t>Please provide examples in the area of Market infrastructure and explain:</w:t>
      </w:r>
    </w:p>
    <w:p w14:paraId="6C2BC082" w14:textId="5FA96564" w:rsidR="00BA160A" w:rsidRPr="00722521" w:rsidRDefault="00BA160A" w:rsidP="00A903E6">
      <w:pPr>
        <w:mirrorIndents/>
        <w:rPr>
          <w:sz w:val="17"/>
          <w:szCs w:val="17"/>
        </w:rPr>
      </w:pPr>
    </w:p>
    <w:p w14:paraId="00A38AC5" w14:textId="34CCB404" w:rsidR="005B1F4B" w:rsidRPr="00722521" w:rsidRDefault="008868EB" w:rsidP="00A903E6">
      <w:pPr>
        <w:mirrorIndents/>
        <w:rPr>
          <w:sz w:val="17"/>
          <w:szCs w:val="17"/>
        </w:rPr>
      </w:pPr>
      <w:r w:rsidRPr="00722521">
        <w:rPr>
          <w:sz w:val="17"/>
          <w:szCs w:val="17"/>
        </w:rPr>
        <w:t>N/A</w:t>
      </w:r>
    </w:p>
    <w:p w14:paraId="33F993B4" w14:textId="77777777" w:rsidR="005B1F4B" w:rsidRPr="00722521" w:rsidRDefault="005B1F4B" w:rsidP="00A903E6">
      <w:pPr>
        <w:mirrorIndents/>
        <w:rPr>
          <w:sz w:val="17"/>
          <w:szCs w:val="17"/>
        </w:rPr>
      </w:pPr>
    </w:p>
    <w:p w14:paraId="65852FF6" w14:textId="77777777" w:rsidR="00BA160A" w:rsidRPr="00722521" w:rsidRDefault="00BA160A" w:rsidP="00A903E6">
      <w:pPr>
        <w:mirrorIndents/>
        <w:rPr>
          <w:b/>
          <w:sz w:val="17"/>
          <w:szCs w:val="17"/>
        </w:rPr>
      </w:pPr>
      <w:r w:rsidRPr="00722521">
        <w:rPr>
          <w:b/>
          <w:w w:val="105"/>
          <w:sz w:val="17"/>
          <w:szCs w:val="17"/>
        </w:rPr>
        <w:t>Market organisation (MiFID, MIFIR, MAR)</w:t>
      </w:r>
    </w:p>
    <w:p w14:paraId="418DF092" w14:textId="77777777" w:rsidR="00BA160A" w:rsidRPr="00722521" w:rsidRDefault="00BA160A" w:rsidP="00A903E6">
      <w:pPr>
        <w:pStyle w:val="Textkrper"/>
        <w:mirrorIndents/>
        <w:rPr>
          <w:rFonts w:ascii="Verdana" w:hAnsi="Verdana"/>
          <w:sz w:val="17"/>
          <w:szCs w:val="17"/>
        </w:rPr>
      </w:pPr>
    </w:p>
    <w:p w14:paraId="223AFE87" w14:textId="1DBEB6EE" w:rsidR="00BA160A" w:rsidRPr="00722521" w:rsidRDefault="00BA160A" w:rsidP="008868EB">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piece(s) of legislation at level 1 in the area of</w:t>
      </w:r>
      <w:r w:rsidRPr="00722521">
        <w:rPr>
          <w:rFonts w:ascii="Verdana" w:hAnsi="Verdana"/>
          <w:spacing w:val="60"/>
          <w:sz w:val="17"/>
          <w:szCs w:val="17"/>
          <w:highlight w:val="lightGray"/>
        </w:rPr>
        <w:t xml:space="preserve"> </w:t>
      </w:r>
      <w:r w:rsidRPr="00722521">
        <w:rPr>
          <w:rFonts w:ascii="Verdana" w:hAnsi="Verdana"/>
          <w:sz w:val="17"/>
          <w:szCs w:val="17"/>
          <w:highlight w:val="lightGray"/>
        </w:rPr>
        <w:t xml:space="preserve">Market </w:t>
      </w:r>
      <w:proofErr w:type="spellStart"/>
      <w:r w:rsidRPr="00722521">
        <w:rPr>
          <w:rFonts w:ascii="Verdana" w:hAnsi="Verdana"/>
          <w:sz w:val="17"/>
          <w:szCs w:val="17"/>
          <w:highlight w:val="lightGray"/>
        </w:rPr>
        <w:t>organisation</w:t>
      </w:r>
      <w:proofErr w:type="spellEnd"/>
      <w:r w:rsidRPr="00722521">
        <w:rPr>
          <w:rFonts w:ascii="Verdana" w:hAnsi="Verdana"/>
          <w:sz w:val="17"/>
          <w:szCs w:val="17"/>
          <w:highlight w:val="lightGray"/>
        </w:rPr>
        <w:t xml:space="preserve"> that should become more detailed and contain a</w:t>
      </w:r>
      <w:r w:rsidRPr="00722521">
        <w:rPr>
          <w:rFonts w:ascii="Verdana" w:hAnsi="Verdana"/>
          <w:spacing w:val="71"/>
          <w:sz w:val="17"/>
          <w:szCs w:val="17"/>
          <w:highlight w:val="lightGray"/>
        </w:rPr>
        <w:t xml:space="preserve"> </w:t>
      </w:r>
      <w:r w:rsidRPr="00722521">
        <w:rPr>
          <w:rFonts w:ascii="Verdana" w:hAnsi="Verdana"/>
          <w:sz w:val="17"/>
          <w:szCs w:val="17"/>
          <w:highlight w:val="lightGray"/>
        </w:rPr>
        <w:t>higher</w:t>
      </w:r>
      <w:r w:rsidR="005B1F4B" w:rsidRPr="00722521">
        <w:rPr>
          <w:rFonts w:ascii="Verdana" w:hAnsi="Verdana"/>
          <w:sz w:val="17"/>
          <w:szCs w:val="17"/>
          <w:highlight w:val="lightGray"/>
        </w:rPr>
        <w:t xml:space="preserve"> </w:t>
      </w:r>
      <w:r w:rsidRPr="00722521">
        <w:rPr>
          <w:rFonts w:ascii="Verdana" w:hAnsi="Verdana"/>
          <w:sz w:val="17"/>
          <w:szCs w:val="17"/>
          <w:highlight w:val="lightGray"/>
        </w:rPr>
        <w:t xml:space="preserve">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and explain:</w:t>
      </w:r>
    </w:p>
    <w:p w14:paraId="0B135A86" w14:textId="1F932095" w:rsidR="00BA160A" w:rsidRPr="00722521" w:rsidRDefault="00BA160A" w:rsidP="00A903E6">
      <w:pPr>
        <w:mirrorIndents/>
        <w:rPr>
          <w:sz w:val="17"/>
          <w:szCs w:val="17"/>
        </w:rPr>
      </w:pPr>
    </w:p>
    <w:p w14:paraId="30052C84" w14:textId="79C14B3D" w:rsidR="005B1F4B" w:rsidRPr="00722521" w:rsidRDefault="008868EB" w:rsidP="00A903E6">
      <w:pPr>
        <w:mirrorIndents/>
        <w:rPr>
          <w:sz w:val="17"/>
          <w:szCs w:val="17"/>
        </w:rPr>
      </w:pPr>
      <w:r w:rsidRPr="00722521">
        <w:rPr>
          <w:sz w:val="17"/>
          <w:szCs w:val="17"/>
        </w:rPr>
        <w:t>N/A</w:t>
      </w:r>
    </w:p>
    <w:p w14:paraId="7141E87D" w14:textId="77777777" w:rsidR="005B1F4B" w:rsidRPr="00722521" w:rsidRDefault="005B1F4B" w:rsidP="00A903E6">
      <w:pPr>
        <w:mirrorIndents/>
        <w:rPr>
          <w:sz w:val="17"/>
          <w:szCs w:val="17"/>
        </w:rPr>
      </w:pPr>
    </w:p>
    <w:p w14:paraId="00847F08" w14:textId="77777777" w:rsidR="00BA160A" w:rsidRPr="00722521" w:rsidRDefault="00BA160A" w:rsidP="008868EB">
      <w:pPr>
        <w:pStyle w:val="Textkrper"/>
        <w:ind w:left="0"/>
        <w:mirrorIndents/>
        <w:rPr>
          <w:rFonts w:ascii="Verdana" w:hAnsi="Verdana"/>
          <w:sz w:val="17"/>
          <w:szCs w:val="17"/>
        </w:rPr>
      </w:pPr>
      <w:r w:rsidRPr="00722521">
        <w:rPr>
          <w:rFonts w:ascii="Verdana" w:hAnsi="Verdana"/>
          <w:sz w:val="17"/>
          <w:szCs w:val="17"/>
          <w:highlight w:val="lightGray"/>
        </w:rPr>
        <w:t xml:space="preserve">Please provide examples in the area of Market </w:t>
      </w:r>
      <w:proofErr w:type="spellStart"/>
      <w:r w:rsidRPr="00722521">
        <w:rPr>
          <w:rFonts w:ascii="Verdana" w:hAnsi="Verdana"/>
          <w:sz w:val="17"/>
          <w:szCs w:val="17"/>
          <w:highlight w:val="lightGray"/>
        </w:rPr>
        <w:t>organisation</w:t>
      </w:r>
      <w:proofErr w:type="spellEnd"/>
      <w:r w:rsidRPr="00722521">
        <w:rPr>
          <w:rFonts w:ascii="Verdana" w:hAnsi="Verdana"/>
          <w:sz w:val="17"/>
          <w:szCs w:val="17"/>
          <w:highlight w:val="lightGray"/>
        </w:rPr>
        <w:t xml:space="preserve"> and explain:</w:t>
      </w:r>
    </w:p>
    <w:p w14:paraId="3D8B471A" w14:textId="77572262" w:rsidR="00BA160A" w:rsidRPr="00722521" w:rsidRDefault="00BA160A" w:rsidP="00A903E6">
      <w:pPr>
        <w:mirrorIndents/>
        <w:rPr>
          <w:sz w:val="17"/>
          <w:szCs w:val="17"/>
        </w:rPr>
      </w:pPr>
    </w:p>
    <w:p w14:paraId="4CFCE789" w14:textId="65439363" w:rsidR="005B1F4B" w:rsidRPr="00722521" w:rsidRDefault="008868EB" w:rsidP="00A903E6">
      <w:pPr>
        <w:mirrorIndents/>
        <w:rPr>
          <w:sz w:val="17"/>
          <w:szCs w:val="17"/>
        </w:rPr>
      </w:pPr>
      <w:r w:rsidRPr="00722521">
        <w:rPr>
          <w:sz w:val="17"/>
          <w:szCs w:val="17"/>
        </w:rPr>
        <w:t>N/A</w:t>
      </w:r>
    </w:p>
    <w:p w14:paraId="6DDCE6D9" w14:textId="77777777" w:rsidR="005B1F4B" w:rsidRPr="00722521" w:rsidRDefault="005B1F4B" w:rsidP="00A903E6">
      <w:pPr>
        <w:mirrorIndents/>
        <w:rPr>
          <w:sz w:val="17"/>
          <w:szCs w:val="17"/>
        </w:rPr>
      </w:pPr>
    </w:p>
    <w:p w14:paraId="23337C80" w14:textId="77777777" w:rsidR="00BA160A" w:rsidRPr="00722521" w:rsidRDefault="00BA160A" w:rsidP="00A903E6">
      <w:pPr>
        <w:mirrorIndents/>
        <w:rPr>
          <w:b/>
          <w:sz w:val="17"/>
          <w:szCs w:val="17"/>
        </w:rPr>
      </w:pPr>
      <w:r w:rsidRPr="00722521">
        <w:rPr>
          <w:b/>
          <w:w w:val="105"/>
          <w:sz w:val="17"/>
          <w:szCs w:val="17"/>
        </w:rPr>
        <w:t>Other</w:t>
      </w:r>
    </w:p>
    <w:p w14:paraId="5D3EE94F" w14:textId="77777777" w:rsidR="00BA160A" w:rsidRPr="00722521" w:rsidRDefault="00BA160A" w:rsidP="008868EB">
      <w:pPr>
        <w:pStyle w:val="Textkrper"/>
        <w:ind w:left="0"/>
        <w:mirrorIndents/>
        <w:rPr>
          <w:rFonts w:ascii="Verdana" w:hAnsi="Verdana"/>
          <w:sz w:val="17"/>
          <w:szCs w:val="17"/>
        </w:rPr>
      </w:pPr>
      <w:r w:rsidRPr="00722521">
        <w:rPr>
          <w:rFonts w:ascii="Verdana" w:hAnsi="Verdana"/>
          <w:sz w:val="17"/>
          <w:szCs w:val="17"/>
          <w:highlight w:val="lightGray"/>
        </w:rPr>
        <w:t>Please specify to what other legislative area(s) you refer:</w:t>
      </w:r>
    </w:p>
    <w:p w14:paraId="4ABE7FCD" w14:textId="0E3EE317" w:rsidR="00BA160A" w:rsidRPr="00722521" w:rsidRDefault="00BA160A" w:rsidP="00A903E6">
      <w:pPr>
        <w:mirrorIndents/>
        <w:rPr>
          <w:sz w:val="17"/>
          <w:szCs w:val="17"/>
        </w:rPr>
      </w:pPr>
    </w:p>
    <w:p w14:paraId="1D9AA527" w14:textId="61C2EC31" w:rsidR="005B1F4B" w:rsidRPr="00722521" w:rsidRDefault="008868EB" w:rsidP="00A903E6">
      <w:pPr>
        <w:mirrorIndents/>
        <w:rPr>
          <w:sz w:val="17"/>
          <w:szCs w:val="17"/>
        </w:rPr>
      </w:pPr>
      <w:r w:rsidRPr="00722521">
        <w:rPr>
          <w:sz w:val="17"/>
          <w:szCs w:val="17"/>
        </w:rPr>
        <w:t>N/A</w:t>
      </w:r>
    </w:p>
    <w:p w14:paraId="0DEC0073" w14:textId="77777777" w:rsidR="008868EB" w:rsidRPr="00722521" w:rsidRDefault="008868EB" w:rsidP="00A903E6">
      <w:pPr>
        <w:mirrorIndents/>
        <w:rPr>
          <w:sz w:val="17"/>
          <w:szCs w:val="17"/>
        </w:rPr>
      </w:pPr>
    </w:p>
    <w:p w14:paraId="75BE2988" w14:textId="40857A36" w:rsidR="00BA160A" w:rsidRPr="00722521" w:rsidRDefault="00BA160A" w:rsidP="008868EB">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piece(s) of legislation at level 1 in this/these</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other</w:t>
      </w:r>
      <w:r w:rsidR="005B1F4B" w:rsidRPr="00722521">
        <w:rPr>
          <w:rFonts w:ascii="Verdana" w:hAnsi="Verdana"/>
          <w:sz w:val="17"/>
          <w:szCs w:val="17"/>
          <w:highlight w:val="lightGray"/>
        </w:rPr>
        <w:t xml:space="preserve"> </w:t>
      </w:r>
      <w:r w:rsidRPr="00722521">
        <w:rPr>
          <w:rFonts w:ascii="Verdana" w:hAnsi="Verdana"/>
          <w:sz w:val="17"/>
          <w:szCs w:val="17"/>
          <w:highlight w:val="lightGray"/>
        </w:rPr>
        <w:t>area(s)</w:t>
      </w:r>
      <w:r w:rsidRPr="00722521">
        <w:rPr>
          <w:rFonts w:ascii="Verdana" w:hAnsi="Verdana"/>
          <w:spacing w:val="52"/>
          <w:sz w:val="17"/>
          <w:szCs w:val="17"/>
          <w:highlight w:val="lightGray"/>
        </w:rPr>
        <w:t xml:space="preserve"> </w:t>
      </w:r>
      <w:r w:rsidRPr="00722521">
        <w:rPr>
          <w:rFonts w:ascii="Verdana" w:hAnsi="Verdana"/>
          <w:sz w:val="17"/>
          <w:szCs w:val="17"/>
          <w:highlight w:val="lightGray"/>
        </w:rPr>
        <w:t>that</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should</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become</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more</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detailed</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and</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contain</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a</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higher</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degree</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of</w:t>
      </w:r>
      <w:r w:rsidR="005B1F4B" w:rsidRPr="00722521">
        <w:rPr>
          <w:rFonts w:ascii="Verdana" w:hAnsi="Verdana"/>
          <w:sz w:val="17"/>
          <w:szCs w:val="17"/>
          <w:highlight w:val="lightGray"/>
        </w:rPr>
        <w:t xml:space="preserve">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and explain:</w:t>
      </w:r>
    </w:p>
    <w:p w14:paraId="2E13F844" w14:textId="63992394" w:rsidR="00BA160A" w:rsidRPr="00722521" w:rsidRDefault="00BA160A" w:rsidP="00A903E6">
      <w:pPr>
        <w:mirrorIndents/>
        <w:rPr>
          <w:sz w:val="17"/>
          <w:szCs w:val="17"/>
        </w:rPr>
      </w:pPr>
    </w:p>
    <w:p w14:paraId="7DF54113" w14:textId="4FA9C870" w:rsidR="005B1F4B" w:rsidRPr="00722521" w:rsidRDefault="008868EB" w:rsidP="00A903E6">
      <w:pPr>
        <w:mirrorIndents/>
        <w:rPr>
          <w:sz w:val="17"/>
          <w:szCs w:val="17"/>
        </w:rPr>
      </w:pPr>
      <w:r w:rsidRPr="00722521">
        <w:rPr>
          <w:sz w:val="17"/>
          <w:szCs w:val="17"/>
        </w:rPr>
        <w:t>N/A</w:t>
      </w:r>
    </w:p>
    <w:p w14:paraId="4F282098" w14:textId="77777777" w:rsidR="00BA160A" w:rsidRPr="00722521" w:rsidRDefault="00BA160A" w:rsidP="00A903E6">
      <w:pPr>
        <w:pStyle w:val="Textkrper"/>
        <w:mirrorIndents/>
        <w:rPr>
          <w:rFonts w:ascii="Verdana" w:hAnsi="Verdana"/>
          <w:sz w:val="17"/>
          <w:szCs w:val="17"/>
        </w:rPr>
      </w:pPr>
      <w:r w:rsidRPr="00722521">
        <w:rPr>
          <w:rFonts w:ascii="Verdana" w:hAnsi="Verdana"/>
          <w:sz w:val="17"/>
          <w:szCs w:val="17"/>
          <w:highlight w:val="lightGray"/>
        </w:rPr>
        <w:t>Please provide examples in this/these other area(s) and explain:</w:t>
      </w:r>
    </w:p>
    <w:p w14:paraId="09F93820" w14:textId="7F3828E3" w:rsidR="00BA160A" w:rsidRPr="00722521" w:rsidRDefault="00BA160A" w:rsidP="00A903E6">
      <w:pPr>
        <w:mirrorIndents/>
        <w:rPr>
          <w:sz w:val="17"/>
          <w:szCs w:val="17"/>
        </w:rPr>
      </w:pPr>
    </w:p>
    <w:p w14:paraId="64AE5324" w14:textId="5EE340A2" w:rsidR="005B1F4B" w:rsidRPr="00722521" w:rsidRDefault="008868EB" w:rsidP="00A903E6">
      <w:pPr>
        <w:mirrorIndents/>
        <w:rPr>
          <w:sz w:val="17"/>
          <w:szCs w:val="17"/>
        </w:rPr>
      </w:pPr>
      <w:r w:rsidRPr="00722521">
        <w:rPr>
          <w:sz w:val="17"/>
          <w:szCs w:val="17"/>
        </w:rPr>
        <w:t>N/A</w:t>
      </w:r>
    </w:p>
    <w:p w14:paraId="3D061890" w14:textId="77777777" w:rsidR="005B1F4B" w:rsidRPr="00722521" w:rsidRDefault="005B1F4B" w:rsidP="00A903E6">
      <w:pPr>
        <w:mirrorIndents/>
        <w:rPr>
          <w:sz w:val="17"/>
          <w:szCs w:val="17"/>
        </w:rPr>
      </w:pPr>
    </w:p>
    <w:p w14:paraId="38EAD3CE"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select the legislative sector(s) of the specific piece(s) of legislation you have in mind:</w:t>
      </w:r>
    </w:p>
    <w:p w14:paraId="3D941F74" w14:textId="77777777" w:rsidR="005974FD" w:rsidRPr="00722521" w:rsidRDefault="00BA160A" w:rsidP="005B1F4B">
      <w:pPr>
        <w:pStyle w:val="CEABullet-Level1"/>
        <w:rPr>
          <w:color w:val="auto"/>
          <w:highlight w:val="lightGray"/>
        </w:rPr>
      </w:pPr>
      <w:r w:rsidRPr="00722521">
        <w:rPr>
          <w:color w:val="auto"/>
          <w:highlight w:val="lightGray"/>
        </w:rPr>
        <w:t xml:space="preserve">Banking </w:t>
      </w:r>
    </w:p>
    <w:p w14:paraId="5C1FF62F" w14:textId="77D19027" w:rsidR="00BA160A" w:rsidRPr="00722521" w:rsidRDefault="00BA160A" w:rsidP="005B1F4B">
      <w:pPr>
        <w:pStyle w:val="CEABullet-Level1"/>
        <w:rPr>
          <w:color w:val="auto"/>
          <w:highlight w:val="lightGray"/>
        </w:rPr>
      </w:pPr>
      <w:r w:rsidRPr="00722521">
        <w:rPr>
          <w:color w:val="auto"/>
          <w:highlight w:val="lightGray"/>
        </w:rPr>
        <w:t>Insurance</w:t>
      </w:r>
    </w:p>
    <w:p w14:paraId="51345CB0" w14:textId="77777777" w:rsidR="00BA160A" w:rsidRPr="00722521" w:rsidRDefault="00BA160A" w:rsidP="005B1F4B">
      <w:pPr>
        <w:pStyle w:val="CEABullet-Level1"/>
        <w:rPr>
          <w:color w:val="auto"/>
          <w:highlight w:val="lightGray"/>
        </w:rPr>
      </w:pPr>
      <w:r w:rsidRPr="00722521">
        <w:rPr>
          <w:color w:val="auto"/>
          <w:highlight w:val="lightGray"/>
        </w:rPr>
        <w:t>Asset management</w:t>
      </w:r>
    </w:p>
    <w:p w14:paraId="79611EFE" w14:textId="77777777" w:rsidR="005B1F4B" w:rsidRPr="00722521" w:rsidRDefault="00BA160A" w:rsidP="005B1F4B">
      <w:pPr>
        <w:pStyle w:val="CEABullet-Level1"/>
        <w:rPr>
          <w:color w:val="auto"/>
          <w:highlight w:val="lightGray"/>
        </w:rPr>
      </w:pPr>
      <w:r w:rsidRPr="00722521">
        <w:rPr>
          <w:color w:val="auto"/>
          <w:highlight w:val="lightGray"/>
        </w:rPr>
        <w:t xml:space="preserve">Market infrastructure (CCPs, CSDs) </w:t>
      </w:r>
    </w:p>
    <w:p w14:paraId="5AF54E0F" w14:textId="77777777" w:rsidR="005B1F4B" w:rsidRPr="00722521" w:rsidRDefault="00BA160A" w:rsidP="005B1F4B">
      <w:pPr>
        <w:pStyle w:val="CEABullet-Level1"/>
        <w:rPr>
          <w:color w:val="auto"/>
          <w:highlight w:val="lightGray"/>
        </w:rPr>
      </w:pPr>
      <w:r w:rsidRPr="00722521">
        <w:rPr>
          <w:color w:val="auto"/>
          <w:highlight w:val="lightGray"/>
        </w:rPr>
        <w:t xml:space="preserve">Market organisation (MiFID, MIFIR, MAR) </w:t>
      </w:r>
    </w:p>
    <w:p w14:paraId="60D4B031" w14:textId="258ADAB6" w:rsidR="00BA160A" w:rsidRPr="00722521" w:rsidRDefault="00BA160A" w:rsidP="005B1F4B">
      <w:pPr>
        <w:pStyle w:val="CEABullet-Level1"/>
        <w:rPr>
          <w:color w:val="auto"/>
          <w:highlight w:val="lightGray"/>
        </w:rPr>
      </w:pPr>
      <w:r w:rsidRPr="00722521">
        <w:rPr>
          <w:color w:val="auto"/>
          <w:highlight w:val="lightGray"/>
        </w:rPr>
        <w:t>Other</w:t>
      </w:r>
    </w:p>
    <w:p w14:paraId="667144EC" w14:textId="330F6EFD" w:rsidR="005B1F4B" w:rsidRPr="00722521" w:rsidRDefault="005B1F4B" w:rsidP="00A903E6">
      <w:pPr>
        <w:mirrorIndents/>
        <w:rPr>
          <w:sz w:val="17"/>
          <w:szCs w:val="17"/>
        </w:rPr>
      </w:pPr>
    </w:p>
    <w:p w14:paraId="7221B001" w14:textId="49680849" w:rsidR="008868EB" w:rsidRPr="00722521" w:rsidRDefault="008868EB" w:rsidP="00A903E6">
      <w:pPr>
        <w:mirrorIndents/>
        <w:rPr>
          <w:sz w:val="17"/>
          <w:szCs w:val="17"/>
        </w:rPr>
      </w:pPr>
      <w:r w:rsidRPr="00722521">
        <w:rPr>
          <w:sz w:val="17"/>
          <w:szCs w:val="17"/>
        </w:rPr>
        <w:t>Insurance</w:t>
      </w:r>
    </w:p>
    <w:p w14:paraId="07EB144C" w14:textId="77777777" w:rsidR="008868EB" w:rsidRPr="00722521" w:rsidRDefault="008868EB" w:rsidP="00A903E6">
      <w:pPr>
        <w:mirrorIndents/>
        <w:rPr>
          <w:sz w:val="17"/>
          <w:szCs w:val="17"/>
        </w:rPr>
      </w:pPr>
    </w:p>
    <w:p w14:paraId="5A7822FD" w14:textId="0FC07C67" w:rsidR="00BA160A" w:rsidRPr="00722521" w:rsidRDefault="00BA160A" w:rsidP="00A903E6">
      <w:pPr>
        <w:mirrorIndents/>
        <w:rPr>
          <w:b/>
          <w:sz w:val="17"/>
          <w:szCs w:val="17"/>
        </w:rPr>
      </w:pPr>
      <w:r w:rsidRPr="00722521">
        <w:rPr>
          <w:b/>
          <w:w w:val="105"/>
          <w:sz w:val="17"/>
          <w:szCs w:val="17"/>
        </w:rPr>
        <w:t>Banking</w:t>
      </w:r>
    </w:p>
    <w:p w14:paraId="1D4C7CAD"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piece(s) of legislation you have in mind in the area of banking and explain:</w:t>
      </w:r>
    </w:p>
    <w:p w14:paraId="6FF03E25" w14:textId="76CEB53B" w:rsidR="00BA160A" w:rsidRPr="00722521" w:rsidRDefault="00BA160A" w:rsidP="00A903E6">
      <w:pPr>
        <w:mirrorIndents/>
        <w:rPr>
          <w:sz w:val="17"/>
          <w:szCs w:val="17"/>
        </w:rPr>
      </w:pPr>
    </w:p>
    <w:p w14:paraId="730B8CF2" w14:textId="3B2FC7C4" w:rsidR="005B1F4B" w:rsidRPr="00722521" w:rsidRDefault="008868EB" w:rsidP="00A903E6">
      <w:pPr>
        <w:mirrorIndents/>
        <w:rPr>
          <w:sz w:val="17"/>
          <w:szCs w:val="17"/>
        </w:rPr>
      </w:pPr>
      <w:r w:rsidRPr="00722521">
        <w:rPr>
          <w:sz w:val="17"/>
          <w:szCs w:val="17"/>
        </w:rPr>
        <w:t>N/A</w:t>
      </w:r>
    </w:p>
    <w:p w14:paraId="4CA4FD4D" w14:textId="77777777" w:rsidR="005B1F4B" w:rsidRPr="00722521" w:rsidRDefault="005B1F4B" w:rsidP="00A903E6">
      <w:pPr>
        <w:mirrorIndents/>
        <w:rPr>
          <w:sz w:val="17"/>
          <w:szCs w:val="17"/>
        </w:rPr>
      </w:pPr>
    </w:p>
    <w:p w14:paraId="6E8D140A"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provide examples in the area of banking and explain:</w:t>
      </w:r>
    </w:p>
    <w:p w14:paraId="5389CC12" w14:textId="4A4B5F6E" w:rsidR="00BA160A" w:rsidRPr="00722521" w:rsidRDefault="00BA160A" w:rsidP="00A903E6">
      <w:pPr>
        <w:mirrorIndents/>
        <w:rPr>
          <w:sz w:val="17"/>
          <w:szCs w:val="17"/>
        </w:rPr>
      </w:pPr>
    </w:p>
    <w:p w14:paraId="4898E6D0" w14:textId="32D64647" w:rsidR="005B1F4B" w:rsidRPr="00722521" w:rsidRDefault="008868EB" w:rsidP="00A903E6">
      <w:pPr>
        <w:mirrorIndents/>
        <w:rPr>
          <w:sz w:val="17"/>
          <w:szCs w:val="17"/>
        </w:rPr>
      </w:pPr>
      <w:r w:rsidRPr="00722521">
        <w:rPr>
          <w:sz w:val="17"/>
          <w:szCs w:val="17"/>
        </w:rPr>
        <w:t>N/A</w:t>
      </w:r>
    </w:p>
    <w:p w14:paraId="73F51B23" w14:textId="77777777" w:rsidR="005B1F4B" w:rsidRPr="00722521" w:rsidRDefault="005B1F4B" w:rsidP="00A903E6">
      <w:pPr>
        <w:mirrorIndents/>
        <w:rPr>
          <w:sz w:val="17"/>
          <w:szCs w:val="17"/>
        </w:rPr>
      </w:pPr>
    </w:p>
    <w:p w14:paraId="6866BF74" w14:textId="77777777" w:rsidR="00BA160A" w:rsidRPr="00722521" w:rsidRDefault="00BA160A" w:rsidP="00A903E6">
      <w:pPr>
        <w:mirrorIndents/>
        <w:rPr>
          <w:b/>
          <w:sz w:val="17"/>
          <w:szCs w:val="17"/>
        </w:rPr>
      </w:pPr>
      <w:r w:rsidRPr="00722521">
        <w:rPr>
          <w:b/>
          <w:w w:val="105"/>
          <w:sz w:val="17"/>
          <w:szCs w:val="17"/>
        </w:rPr>
        <w:t>Insurance</w:t>
      </w:r>
    </w:p>
    <w:p w14:paraId="4AD4C45C"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piece(s) of legislation you have in mind in the area of Insurance and</w:t>
      </w:r>
      <w:r w:rsidRPr="00722521">
        <w:rPr>
          <w:rFonts w:ascii="Verdana" w:hAnsi="Verdana"/>
          <w:spacing w:val="-1"/>
          <w:sz w:val="17"/>
          <w:szCs w:val="17"/>
          <w:highlight w:val="lightGray"/>
        </w:rPr>
        <w:t xml:space="preserve"> </w:t>
      </w:r>
      <w:r w:rsidRPr="00722521">
        <w:rPr>
          <w:rFonts w:ascii="Verdana" w:hAnsi="Verdana"/>
          <w:sz w:val="17"/>
          <w:szCs w:val="17"/>
          <w:highlight w:val="lightGray"/>
        </w:rPr>
        <w:t>explain:</w:t>
      </w:r>
    </w:p>
    <w:p w14:paraId="0FBC4034" w14:textId="3C119DD5" w:rsidR="005B1F4B" w:rsidRPr="00722521" w:rsidRDefault="005B1F4B" w:rsidP="00A903E6">
      <w:pPr>
        <w:mirrorIndents/>
        <w:rPr>
          <w:sz w:val="17"/>
          <w:szCs w:val="17"/>
        </w:rPr>
      </w:pPr>
    </w:p>
    <w:p w14:paraId="45F5F948" w14:textId="32A52D24" w:rsidR="005974FD" w:rsidRPr="00722521" w:rsidRDefault="00722521" w:rsidP="005974FD">
      <w:pPr>
        <w:mirrorIndents/>
        <w:rPr>
          <w:sz w:val="17"/>
          <w:szCs w:val="17"/>
        </w:rPr>
      </w:pPr>
      <w:r>
        <w:rPr>
          <w:sz w:val="17"/>
          <w:szCs w:val="17"/>
        </w:rPr>
        <w:t>VVO</w:t>
      </w:r>
      <w:r w:rsidR="005974FD" w:rsidRPr="00722521">
        <w:rPr>
          <w:sz w:val="17"/>
          <w:szCs w:val="17"/>
        </w:rPr>
        <w:t xml:space="preserve"> believes that the question on whether a specific legislation should be directly applicable in EU </w:t>
      </w:r>
      <w:r w:rsidR="009C267A" w:rsidRPr="00722521">
        <w:rPr>
          <w:sz w:val="17"/>
          <w:szCs w:val="17"/>
        </w:rPr>
        <w:t>m</w:t>
      </w:r>
      <w:r w:rsidR="005974FD" w:rsidRPr="00722521">
        <w:rPr>
          <w:sz w:val="17"/>
          <w:szCs w:val="17"/>
        </w:rPr>
        <w:t xml:space="preserve">ember </w:t>
      </w:r>
      <w:r w:rsidR="009C267A" w:rsidRPr="00722521">
        <w:rPr>
          <w:sz w:val="17"/>
          <w:szCs w:val="17"/>
        </w:rPr>
        <w:t>s</w:t>
      </w:r>
      <w:r w:rsidR="005974FD" w:rsidRPr="00722521">
        <w:rPr>
          <w:sz w:val="17"/>
          <w:szCs w:val="17"/>
        </w:rPr>
        <w:t xml:space="preserve">tates which is currently in the form of a Directive is too broadly asked. The overarching aim of the reviews of </w:t>
      </w:r>
      <w:r w:rsidR="005974FD" w:rsidRPr="00722521">
        <w:rPr>
          <w:sz w:val="17"/>
          <w:szCs w:val="17"/>
        </w:rPr>
        <w:lastRenderedPageBreak/>
        <w:t xml:space="preserve">the financial services legislative package should be the further integration of the single market as well as regulatory consistency and convergence. In order to achieve </w:t>
      </w:r>
      <w:r w:rsidR="009C267A" w:rsidRPr="00722521">
        <w:rPr>
          <w:sz w:val="17"/>
          <w:szCs w:val="17"/>
        </w:rPr>
        <w:t>this aim</w:t>
      </w:r>
      <w:r w:rsidR="005974FD" w:rsidRPr="00722521">
        <w:rPr>
          <w:sz w:val="17"/>
          <w:szCs w:val="17"/>
        </w:rPr>
        <w:t xml:space="preserve">, it will be essential to assess for which legislation or specific provisions within a legislation direct applicability is enhancing the consistency of the application of the single rulebook and where certain limits might exist or create </w:t>
      </w:r>
      <w:r w:rsidR="009C267A" w:rsidRPr="00722521">
        <w:rPr>
          <w:sz w:val="17"/>
          <w:szCs w:val="17"/>
        </w:rPr>
        <w:t>a</w:t>
      </w:r>
      <w:r w:rsidR="005974FD" w:rsidRPr="00722521">
        <w:rPr>
          <w:sz w:val="17"/>
          <w:szCs w:val="17"/>
        </w:rPr>
        <w:t xml:space="preserve"> disproportionate regulatory burden.</w:t>
      </w:r>
    </w:p>
    <w:p w14:paraId="086925D0" w14:textId="77777777" w:rsidR="005974FD" w:rsidRPr="00722521" w:rsidRDefault="005974FD" w:rsidP="005974FD">
      <w:pPr>
        <w:mirrorIndents/>
        <w:rPr>
          <w:sz w:val="17"/>
          <w:szCs w:val="17"/>
        </w:rPr>
      </w:pPr>
    </w:p>
    <w:p w14:paraId="0AE0D5B7" w14:textId="6C3C0314" w:rsidR="005B1F4B" w:rsidRPr="00722521" w:rsidRDefault="005974FD" w:rsidP="00A903E6">
      <w:pPr>
        <w:mirrorIndents/>
        <w:rPr>
          <w:sz w:val="17"/>
          <w:szCs w:val="17"/>
        </w:rPr>
      </w:pPr>
      <w:r w:rsidRPr="00722521">
        <w:rPr>
          <w:sz w:val="17"/>
          <w:szCs w:val="17"/>
        </w:rPr>
        <w:t xml:space="preserve">Looking at the insurance specific Solvency II framework, </w:t>
      </w:r>
      <w:r w:rsidR="00722521">
        <w:rPr>
          <w:sz w:val="17"/>
          <w:szCs w:val="17"/>
        </w:rPr>
        <w:t>VVO</w:t>
      </w:r>
      <w:r w:rsidRPr="00722521">
        <w:rPr>
          <w:sz w:val="17"/>
          <w:szCs w:val="17"/>
        </w:rPr>
        <w:t xml:space="preserve"> believes that the example of the proportionate application of Solvency II as described in the answer to question 6.4.2.1 constitutes a very good example for a subset of the framework which would benefit from </w:t>
      </w:r>
      <w:r w:rsidR="00364E2D" w:rsidRPr="00722521">
        <w:rPr>
          <w:sz w:val="17"/>
          <w:szCs w:val="17"/>
        </w:rPr>
        <w:t xml:space="preserve">a more </w:t>
      </w:r>
      <w:r w:rsidRPr="00722521">
        <w:rPr>
          <w:sz w:val="17"/>
          <w:szCs w:val="17"/>
        </w:rPr>
        <w:t xml:space="preserve">direct application across the single market. For other areas like the treatment of insurance claims under Article 275 Solvency II Directive it might be more challenging to make provisions directly applicable across </w:t>
      </w:r>
      <w:r w:rsidR="00364E2D" w:rsidRPr="00722521">
        <w:rPr>
          <w:sz w:val="17"/>
          <w:szCs w:val="17"/>
        </w:rPr>
        <w:t>me</w:t>
      </w:r>
      <w:r w:rsidRPr="00722521">
        <w:rPr>
          <w:sz w:val="17"/>
          <w:szCs w:val="17"/>
        </w:rPr>
        <w:t xml:space="preserve">mber </w:t>
      </w:r>
      <w:r w:rsidR="00364E2D" w:rsidRPr="00722521">
        <w:rPr>
          <w:sz w:val="17"/>
          <w:szCs w:val="17"/>
        </w:rPr>
        <w:t>s</w:t>
      </w:r>
      <w:r w:rsidRPr="00722521">
        <w:rPr>
          <w:sz w:val="17"/>
          <w:szCs w:val="17"/>
        </w:rPr>
        <w:t>tates.</w:t>
      </w:r>
    </w:p>
    <w:p w14:paraId="3DD40B5D" w14:textId="77777777" w:rsidR="005B1F4B" w:rsidRPr="00722521" w:rsidRDefault="005B1F4B" w:rsidP="00A903E6">
      <w:pPr>
        <w:mirrorIndents/>
        <w:rPr>
          <w:sz w:val="17"/>
          <w:szCs w:val="17"/>
        </w:rPr>
      </w:pPr>
    </w:p>
    <w:p w14:paraId="29B6CEF1"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provide examples in the area of Insurance and explain:</w:t>
      </w:r>
    </w:p>
    <w:p w14:paraId="4F1BA7E7" w14:textId="7A2650F3" w:rsidR="00BA160A" w:rsidRPr="00722521" w:rsidRDefault="00BA160A" w:rsidP="00A903E6">
      <w:pPr>
        <w:mirrorIndents/>
        <w:rPr>
          <w:sz w:val="17"/>
          <w:szCs w:val="17"/>
        </w:rPr>
      </w:pPr>
    </w:p>
    <w:p w14:paraId="2AFC6859" w14:textId="744F50D2" w:rsidR="005B1F4B" w:rsidRPr="00722521" w:rsidRDefault="005B1F4B" w:rsidP="00A903E6">
      <w:pPr>
        <w:mirrorIndents/>
        <w:rPr>
          <w:sz w:val="17"/>
          <w:szCs w:val="17"/>
        </w:rPr>
      </w:pPr>
    </w:p>
    <w:p w14:paraId="21DC8306" w14:textId="1DC24B0B" w:rsidR="005B1F4B" w:rsidRPr="00722521" w:rsidRDefault="005B1F4B" w:rsidP="00A903E6">
      <w:pPr>
        <w:mirrorIndents/>
        <w:rPr>
          <w:sz w:val="17"/>
          <w:szCs w:val="17"/>
        </w:rPr>
      </w:pPr>
    </w:p>
    <w:p w14:paraId="41C5A609" w14:textId="77777777" w:rsidR="005B1F4B" w:rsidRPr="00722521" w:rsidRDefault="005B1F4B" w:rsidP="00A903E6">
      <w:pPr>
        <w:mirrorIndents/>
        <w:rPr>
          <w:sz w:val="17"/>
          <w:szCs w:val="17"/>
        </w:rPr>
      </w:pPr>
    </w:p>
    <w:p w14:paraId="73051CE9" w14:textId="77777777" w:rsidR="00BA160A" w:rsidRPr="00722521" w:rsidRDefault="00BA160A" w:rsidP="00A903E6">
      <w:pPr>
        <w:mirrorIndents/>
        <w:rPr>
          <w:b/>
          <w:sz w:val="17"/>
          <w:szCs w:val="17"/>
        </w:rPr>
      </w:pPr>
      <w:r w:rsidRPr="00722521">
        <w:rPr>
          <w:b/>
          <w:sz w:val="17"/>
          <w:szCs w:val="17"/>
        </w:rPr>
        <w:t>Asset</w:t>
      </w:r>
      <w:r w:rsidRPr="00722521">
        <w:rPr>
          <w:b/>
          <w:spacing w:val="54"/>
          <w:sz w:val="17"/>
          <w:szCs w:val="17"/>
        </w:rPr>
        <w:t xml:space="preserve"> </w:t>
      </w:r>
      <w:r w:rsidRPr="00722521">
        <w:rPr>
          <w:b/>
          <w:sz w:val="17"/>
          <w:szCs w:val="17"/>
        </w:rPr>
        <w:t>management</w:t>
      </w:r>
    </w:p>
    <w:p w14:paraId="0ECFCDBA"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piece(s) of legislation you have in mind in the area of Asset management and</w:t>
      </w:r>
      <w:r w:rsidRPr="00722521">
        <w:rPr>
          <w:rFonts w:ascii="Verdana" w:hAnsi="Verdana"/>
          <w:spacing w:val="-1"/>
          <w:sz w:val="17"/>
          <w:szCs w:val="17"/>
          <w:highlight w:val="lightGray"/>
        </w:rPr>
        <w:t xml:space="preserve"> </w:t>
      </w:r>
      <w:r w:rsidRPr="00722521">
        <w:rPr>
          <w:rFonts w:ascii="Verdana" w:hAnsi="Verdana"/>
          <w:sz w:val="17"/>
          <w:szCs w:val="17"/>
          <w:highlight w:val="lightGray"/>
        </w:rPr>
        <w:t>explain:</w:t>
      </w:r>
    </w:p>
    <w:p w14:paraId="4F5E30F6" w14:textId="77777777" w:rsidR="005B1F4B" w:rsidRPr="00722521" w:rsidRDefault="005B1F4B" w:rsidP="005B1F4B">
      <w:pPr>
        <w:pStyle w:val="Textkrper"/>
        <w:ind w:left="0"/>
        <w:mirrorIndents/>
        <w:rPr>
          <w:rFonts w:ascii="Verdana" w:hAnsi="Verdana"/>
          <w:b w:val="0"/>
          <w:bCs w:val="0"/>
          <w:sz w:val="17"/>
          <w:szCs w:val="17"/>
        </w:rPr>
      </w:pPr>
    </w:p>
    <w:p w14:paraId="06088112" w14:textId="60A83E01" w:rsidR="005B1F4B" w:rsidRPr="00722521" w:rsidRDefault="008868EB" w:rsidP="005B1F4B">
      <w:pPr>
        <w:pStyle w:val="Textkrper"/>
        <w:ind w:left="0"/>
        <w:mirrorIndents/>
        <w:rPr>
          <w:rFonts w:ascii="Verdana" w:hAnsi="Verdana"/>
          <w:b w:val="0"/>
          <w:bCs w:val="0"/>
          <w:sz w:val="17"/>
          <w:szCs w:val="17"/>
        </w:rPr>
      </w:pPr>
      <w:r w:rsidRPr="00722521">
        <w:rPr>
          <w:rFonts w:ascii="Verdana" w:hAnsi="Verdana"/>
          <w:b w:val="0"/>
          <w:bCs w:val="0"/>
          <w:sz w:val="17"/>
          <w:szCs w:val="17"/>
        </w:rPr>
        <w:t>N/A</w:t>
      </w:r>
    </w:p>
    <w:p w14:paraId="7B12C95D" w14:textId="77777777" w:rsidR="005B1F4B" w:rsidRPr="00722521" w:rsidRDefault="005B1F4B" w:rsidP="005B1F4B">
      <w:pPr>
        <w:pStyle w:val="Textkrper"/>
        <w:ind w:left="0"/>
        <w:mirrorIndents/>
        <w:rPr>
          <w:rFonts w:ascii="Verdana" w:hAnsi="Verdana"/>
          <w:b w:val="0"/>
          <w:bCs w:val="0"/>
          <w:sz w:val="17"/>
          <w:szCs w:val="17"/>
        </w:rPr>
      </w:pPr>
    </w:p>
    <w:p w14:paraId="3A088125" w14:textId="0F4C3ED2" w:rsidR="00BA160A" w:rsidRPr="00722521" w:rsidRDefault="005B1F4B" w:rsidP="005B1F4B">
      <w:pPr>
        <w:pStyle w:val="Textkrper"/>
        <w:ind w:left="0"/>
        <w:mirrorIndents/>
        <w:rPr>
          <w:rFonts w:ascii="Verdana" w:hAnsi="Verdana"/>
          <w:sz w:val="17"/>
          <w:szCs w:val="17"/>
        </w:rPr>
      </w:pPr>
      <w:r w:rsidRPr="00722521">
        <w:rPr>
          <w:rFonts w:ascii="Verdana" w:hAnsi="Verdana"/>
          <w:sz w:val="17"/>
          <w:szCs w:val="17"/>
          <w:highlight w:val="lightGray"/>
        </w:rPr>
        <w:t>Pl</w:t>
      </w:r>
      <w:r w:rsidR="00BA160A" w:rsidRPr="00722521">
        <w:rPr>
          <w:rFonts w:ascii="Verdana" w:hAnsi="Verdana"/>
          <w:sz w:val="17"/>
          <w:szCs w:val="17"/>
          <w:highlight w:val="lightGray"/>
        </w:rPr>
        <w:t>ease provide examples in the area of Asset management and explain:</w:t>
      </w:r>
    </w:p>
    <w:p w14:paraId="27679A5D" w14:textId="6D29759E" w:rsidR="00BA160A" w:rsidRPr="00722521" w:rsidRDefault="00BA160A" w:rsidP="00A903E6">
      <w:pPr>
        <w:mirrorIndents/>
        <w:rPr>
          <w:sz w:val="17"/>
          <w:szCs w:val="17"/>
        </w:rPr>
      </w:pPr>
    </w:p>
    <w:p w14:paraId="6A922E26" w14:textId="15E57E62" w:rsidR="005B1F4B" w:rsidRPr="00722521" w:rsidRDefault="008868EB" w:rsidP="00A903E6">
      <w:pPr>
        <w:mirrorIndents/>
        <w:rPr>
          <w:sz w:val="17"/>
          <w:szCs w:val="17"/>
          <w:lang w:val="en-US"/>
        </w:rPr>
      </w:pPr>
      <w:r w:rsidRPr="00722521">
        <w:rPr>
          <w:sz w:val="17"/>
          <w:szCs w:val="17"/>
          <w:lang w:val="en-US"/>
        </w:rPr>
        <w:t>N/A</w:t>
      </w:r>
    </w:p>
    <w:p w14:paraId="5E339469" w14:textId="77777777" w:rsidR="005B1F4B" w:rsidRPr="00722521" w:rsidRDefault="005B1F4B" w:rsidP="00A903E6">
      <w:pPr>
        <w:mirrorIndents/>
        <w:rPr>
          <w:sz w:val="17"/>
          <w:szCs w:val="17"/>
          <w:lang w:val="en-US"/>
        </w:rPr>
      </w:pPr>
    </w:p>
    <w:p w14:paraId="4C99A3DF" w14:textId="77777777" w:rsidR="00BA160A" w:rsidRPr="00722521" w:rsidRDefault="00BA160A" w:rsidP="00A903E6">
      <w:pPr>
        <w:mirrorIndents/>
        <w:rPr>
          <w:b/>
          <w:sz w:val="17"/>
          <w:szCs w:val="17"/>
          <w:lang w:val="en-US"/>
        </w:rPr>
      </w:pPr>
      <w:r w:rsidRPr="00722521">
        <w:rPr>
          <w:b/>
          <w:w w:val="105"/>
          <w:sz w:val="17"/>
          <w:szCs w:val="17"/>
          <w:lang w:val="en-US"/>
        </w:rPr>
        <w:t>Market infrastructure (CCPs, CSDs)</w:t>
      </w:r>
    </w:p>
    <w:p w14:paraId="093CDE2A"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piece(s) of legislation you have in mind in the area of Market infrastructure and</w:t>
      </w:r>
      <w:r w:rsidRPr="00722521">
        <w:rPr>
          <w:rFonts w:ascii="Verdana" w:hAnsi="Verdana"/>
          <w:spacing w:val="-1"/>
          <w:sz w:val="17"/>
          <w:szCs w:val="17"/>
          <w:highlight w:val="lightGray"/>
        </w:rPr>
        <w:t xml:space="preserve"> </w:t>
      </w:r>
      <w:r w:rsidRPr="00722521">
        <w:rPr>
          <w:rFonts w:ascii="Verdana" w:hAnsi="Verdana"/>
          <w:sz w:val="17"/>
          <w:szCs w:val="17"/>
          <w:highlight w:val="lightGray"/>
        </w:rPr>
        <w:t>explain:</w:t>
      </w:r>
    </w:p>
    <w:p w14:paraId="7CDF35B7" w14:textId="2576AE40" w:rsidR="006161BD" w:rsidRPr="00722521" w:rsidRDefault="006161BD" w:rsidP="006161BD">
      <w:pPr>
        <w:mirrorIndents/>
        <w:rPr>
          <w:sz w:val="17"/>
          <w:szCs w:val="17"/>
        </w:rPr>
      </w:pPr>
    </w:p>
    <w:p w14:paraId="5507855F" w14:textId="44CFE98C" w:rsidR="005B1F4B" w:rsidRPr="00722521" w:rsidRDefault="008868EB" w:rsidP="006161BD">
      <w:pPr>
        <w:mirrorIndents/>
        <w:rPr>
          <w:sz w:val="17"/>
          <w:szCs w:val="17"/>
        </w:rPr>
      </w:pPr>
      <w:r w:rsidRPr="00722521">
        <w:rPr>
          <w:sz w:val="17"/>
          <w:szCs w:val="17"/>
        </w:rPr>
        <w:t>N/A</w:t>
      </w:r>
    </w:p>
    <w:p w14:paraId="0F73656E" w14:textId="77777777" w:rsidR="005B1F4B" w:rsidRPr="00722521" w:rsidRDefault="005B1F4B" w:rsidP="006161BD">
      <w:pPr>
        <w:mirrorIndents/>
        <w:rPr>
          <w:sz w:val="17"/>
          <w:szCs w:val="17"/>
        </w:rPr>
      </w:pPr>
    </w:p>
    <w:p w14:paraId="20BC29A7" w14:textId="54F9592F" w:rsidR="00BA160A" w:rsidRPr="00722521" w:rsidRDefault="00BA160A" w:rsidP="006161BD">
      <w:pPr>
        <w:mirrorIndents/>
        <w:rPr>
          <w:b/>
          <w:sz w:val="17"/>
          <w:szCs w:val="17"/>
        </w:rPr>
      </w:pPr>
      <w:r w:rsidRPr="00722521">
        <w:rPr>
          <w:b/>
          <w:sz w:val="17"/>
          <w:szCs w:val="17"/>
          <w:highlight w:val="lightGray"/>
        </w:rPr>
        <w:t>Please provide examples in the area of Market infrastructure and explain:</w:t>
      </w:r>
    </w:p>
    <w:p w14:paraId="6A8B6DD5" w14:textId="2C17F852" w:rsidR="00BA160A" w:rsidRPr="00722521" w:rsidRDefault="00BA160A" w:rsidP="00A903E6">
      <w:pPr>
        <w:mirrorIndents/>
        <w:rPr>
          <w:sz w:val="17"/>
          <w:szCs w:val="17"/>
        </w:rPr>
      </w:pPr>
    </w:p>
    <w:p w14:paraId="154965AE" w14:textId="3EFE83C5" w:rsidR="005B1F4B" w:rsidRPr="00722521" w:rsidRDefault="008868EB" w:rsidP="00A903E6">
      <w:pPr>
        <w:mirrorIndents/>
        <w:rPr>
          <w:sz w:val="17"/>
          <w:szCs w:val="17"/>
        </w:rPr>
      </w:pPr>
      <w:r w:rsidRPr="00722521">
        <w:rPr>
          <w:sz w:val="17"/>
          <w:szCs w:val="17"/>
        </w:rPr>
        <w:t>N/A</w:t>
      </w:r>
    </w:p>
    <w:p w14:paraId="1EF15070" w14:textId="77777777" w:rsidR="005B1F4B" w:rsidRPr="00722521" w:rsidRDefault="005B1F4B" w:rsidP="00A903E6">
      <w:pPr>
        <w:mirrorIndents/>
        <w:rPr>
          <w:sz w:val="17"/>
          <w:szCs w:val="17"/>
        </w:rPr>
      </w:pPr>
    </w:p>
    <w:p w14:paraId="02016E55" w14:textId="77777777" w:rsidR="00BA160A" w:rsidRPr="00722521" w:rsidRDefault="00BA160A" w:rsidP="00A903E6">
      <w:pPr>
        <w:mirrorIndents/>
        <w:rPr>
          <w:b/>
          <w:sz w:val="17"/>
          <w:szCs w:val="17"/>
        </w:rPr>
      </w:pPr>
      <w:r w:rsidRPr="00722521">
        <w:rPr>
          <w:b/>
          <w:w w:val="105"/>
          <w:sz w:val="17"/>
          <w:szCs w:val="17"/>
        </w:rPr>
        <w:t>Market organisation (MiFID, MIFIR, MAR)</w:t>
      </w:r>
    </w:p>
    <w:p w14:paraId="7F0F4547" w14:textId="14E5985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piece(s) of legislation you have in mind in</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this</w:t>
      </w:r>
      <w:r w:rsidR="005B1F4B" w:rsidRPr="00722521">
        <w:rPr>
          <w:rFonts w:ascii="Verdana" w:hAnsi="Verdana"/>
          <w:sz w:val="17"/>
          <w:szCs w:val="17"/>
          <w:highlight w:val="lightGray"/>
        </w:rPr>
        <w:t xml:space="preserve"> </w:t>
      </w:r>
      <w:r w:rsidRPr="00722521">
        <w:rPr>
          <w:rFonts w:ascii="Verdana" w:hAnsi="Verdana"/>
          <w:sz w:val="17"/>
          <w:szCs w:val="17"/>
          <w:highlight w:val="lightGray"/>
        </w:rPr>
        <w:t>/these other area(s) and explain:</w:t>
      </w:r>
    </w:p>
    <w:p w14:paraId="43580D17" w14:textId="7D74E436" w:rsidR="00BA160A" w:rsidRPr="00722521" w:rsidRDefault="00BA160A" w:rsidP="00A903E6">
      <w:pPr>
        <w:mirrorIndents/>
        <w:rPr>
          <w:sz w:val="17"/>
          <w:szCs w:val="17"/>
        </w:rPr>
      </w:pPr>
    </w:p>
    <w:p w14:paraId="60701A32" w14:textId="5119A4BF" w:rsidR="005B1F4B" w:rsidRPr="00722521" w:rsidRDefault="008868EB" w:rsidP="00A903E6">
      <w:pPr>
        <w:mirrorIndents/>
        <w:rPr>
          <w:sz w:val="17"/>
          <w:szCs w:val="17"/>
        </w:rPr>
      </w:pPr>
      <w:r w:rsidRPr="00722521">
        <w:rPr>
          <w:sz w:val="17"/>
          <w:szCs w:val="17"/>
        </w:rPr>
        <w:t>N/A</w:t>
      </w:r>
    </w:p>
    <w:p w14:paraId="6AEADC91" w14:textId="77777777" w:rsidR="005B1F4B" w:rsidRPr="00722521" w:rsidRDefault="005B1F4B" w:rsidP="00A903E6">
      <w:pPr>
        <w:mirrorIndents/>
        <w:rPr>
          <w:sz w:val="17"/>
          <w:szCs w:val="17"/>
        </w:rPr>
      </w:pPr>
    </w:p>
    <w:p w14:paraId="23FB0233"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 xml:space="preserve">Please provide examples in the area of Market </w:t>
      </w:r>
      <w:proofErr w:type="spellStart"/>
      <w:r w:rsidRPr="00722521">
        <w:rPr>
          <w:rFonts w:ascii="Verdana" w:hAnsi="Verdana"/>
          <w:sz w:val="17"/>
          <w:szCs w:val="17"/>
          <w:highlight w:val="lightGray"/>
        </w:rPr>
        <w:t>organisation</w:t>
      </w:r>
      <w:proofErr w:type="spellEnd"/>
      <w:r w:rsidRPr="00722521">
        <w:rPr>
          <w:rFonts w:ascii="Verdana" w:hAnsi="Verdana"/>
          <w:sz w:val="17"/>
          <w:szCs w:val="17"/>
          <w:highlight w:val="lightGray"/>
        </w:rPr>
        <w:t xml:space="preserve"> and explain:</w:t>
      </w:r>
    </w:p>
    <w:p w14:paraId="426CDD8B" w14:textId="1C00D735" w:rsidR="00BA160A" w:rsidRPr="00722521" w:rsidRDefault="00BA160A" w:rsidP="00A903E6">
      <w:pPr>
        <w:mirrorIndents/>
        <w:rPr>
          <w:sz w:val="17"/>
          <w:szCs w:val="17"/>
        </w:rPr>
      </w:pPr>
    </w:p>
    <w:p w14:paraId="779BDF42" w14:textId="103B9596" w:rsidR="005B1F4B" w:rsidRPr="00722521" w:rsidRDefault="008868EB" w:rsidP="00A903E6">
      <w:pPr>
        <w:mirrorIndents/>
        <w:rPr>
          <w:sz w:val="17"/>
          <w:szCs w:val="17"/>
        </w:rPr>
      </w:pPr>
      <w:r w:rsidRPr="00722521">
        <w:rPr>
          <w:sz w:val="17"/>
          <w:szCs w:val="17"/>
        </w:rPr>
        <w:t>N/A</w:t>
      </w:r>
    </w:p>
    <w:p w14:paraId="687005EC" w14:textId="77777777" w:rsidR="005B1F4B" w:rsidRPr="00722521" w:rsidRDefault="005B1F4B" w:rsidP="00A903E6">
      <w:pPr>
        <w:mirrorIndents/>
        <w:rPr>
          <w:sz w:val="17"/>
          <w:szCs w:val="17"/>
        </w:rPr>
      </w:pPr>
    </w:p>
    <w:p w14:paraId="657BE3A1" w14:textId="77777777" w:rsidR="00BA160A" w:rsidRPr="00722521" w:rsidRDefault="00BA160A" w:rsidP="00A903E6">
      <w:pPr>
        <w:mirrorIndents/>
        <w:rPr>
          <w:b/>
          <w:sz w:val="17"/>
          <w:szCs w:val="17"/>
        </w:rPr>
      </w:pPr>
      <w:r w:rsidRPr="00722521">
        <w:rPr>
          <w:b/>
          <w:w w:val="105"/>
          <w:sz w:val="17"/>
          <w:szCs w:val="17"/>
        </w:rPr>
        <w:t>Other</w:t>
      </w:r>
    </w:p>
    <w:p w14:paraId="76977426"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specify to what other legislative area(s) you refer:</w:t>
      </w:r>
    </w:p>
    <w:p w14:paraId="23B764CE" w14:textId="5A134602" w:rsidR="006161BD" w:rsidRPr="00722521" w:rsidRDefault="006161BD" w:rsidP="008868EB">
      <w:pPr>
        <w:mirrorIndents/>
        <w:rPr>
          <w:sz w:val="17"/>
          <w:szCs w:val="17"/>
        </w:rPr>
      </w:pPr>
    </w:p>
    <w:p w14:paraId="30719C0F" w14:textId="48A28391" w:rsidR="005B1F4B" w:rsidRPr="00722521" w:rsidRDefault="008868EB" w:rsidP="008868EB">
      <w:pPr>
        <w:mirrorIndents/>
        <w:rPr>
          <w:sz w:val="17"/>
          <w:szCs w:val="17"/>
        </w:rPr>
      </w:pPr>
      <w:r w:rsidRPr="00722521">
        <w:rPr>
          <w:sz w:val="17"/>
          <w:szCs w:val="17"/>
        </w:rPr>
        <w:t>N/A</w:t>
      </w:r>
    </w:p>
    <w:p w14:paraId="694910F9" w14:textId="77777777" w:rsidR="005B1F4B" w:rsidRPr="00722521" w:rsidRDefault="005B1F4B" w:rsidP="008868EB">
      <w:pPr>
        <w:mirrorIndents/>
        <w:rPr>
          <w:sz w:val="17"/>
          <w:szCs w:val="17"/>
        </w:rPr>
      </w:pPr>
    </w:p>
    <w:p w14:paraId="3FCB83EC" w14:textId="7CEC01E2"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piece(s) of legislation at level 1 in this/these</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other</w:t>
      </w:r>
      <w:r w:rsidR="005B1F4B" w:rsidRPr="00722521">
        <w:rPr>
          <w:rFonts w:ascii="Verdana" w:hAnsi="Verdana"/>
          <w:sz w:val="17"/>
          <w:szCs w:val="17"/>
          <w:highlight w:val="lightGray"/>
        </w:rPr>
        <w:t xml:space="preserve"> </w:t>
      </w:r>
      <w:r w:rsidRPr="00722521">
        <w:rPr>
          <w:rFonts w:ascii="Verdana" w:hAnsi="Verdana"/>
          <w:sz w:val="17"/>
          <w:szCs w:val="17"/>
          <w:highlight w:val="lightGray"/>
        </w:rPr>
        <w:t>area(s)</w:t>
      </w:r>
      <w:r w:rsidRPr="00722521">
        <w:rPr>
          <w:rFonts w:ascii="Verdana" w:hAnsi="Verdana"/>
          <w:spacing w:val="52"/>
          <w:sz w:val="17"/>
          <w:szCs w:val="17"/>
          <w:highlight w:val="lightGray"/>
        </w:rPr>
        <w:t xml:space="preserve"> </w:t>
      </w:r>
      <w:r w:rsidRPr="00722521">
        <w:rPr>
          <w:rFonts w:ascii="Verdana" w:hAnsi="Verdana"/>
          <w:sz w:val="17"/>
          <w:szCs w:val="17"/>
          <w:highlight w:val="lightGray"/>
        </w:rPr>
        <w:t>that</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should</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become</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more</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detailed</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and</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contain</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a</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higher</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degree</w:t>
      </w:r>
      <w:r w:rsidRPr="00722521">
        <w:rPr>
          <w:rFonts w:ascii="Verdana" w:hAnsi="Verdana"/>
          <w:spacing w:val="51"/>
          <w:sz w:val="17"/>
          <w:szCs w:val="17"/>
          <w:highlight w:val="lightGray"/>
        </w:rPr>
        <w:t xml:space="preserve"> </w:t>
      </w:r>
      <w:r w:rsidRPr="00722521">
        <w:rPr>
          <w:rFonts w:ascii="Verdana" w:hAnsi="Verdana"/>
          <w:sz w:val="17"/>
          <w:szCs w:val="17"/>
          <w:highlight w:val="lightGray"/>
        </w:rPr>
        <w:t>of</w:t>
      </w:r>
      <w:r w:rsidR="005B1F4B" w:rsidRPr="00722521">
        <w:rPr>
          <w:rFonts w:ascii="Verdana" w:hAnsi="Verdana"/>
          <w:sz w:val="17"/>
          <w:szCs w:val="17"/>
          <w:highlight w:val="lightGray"/>
        </w:rPr>
        <w:t xml:space="preserve">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and explain:</w:t>
      </w:r>
    </w:p>
    <w:p w14:paraId="4627CEA1" w14:textId="7AEFF1FE" w:rsidR="00BA160A" w:rsidRPr="00722521" w:rsidRDefault="00BA160A" w:rsidP="00A903E6">
      <w:pPr>
        <w:mirrorIndents/>
        <w:rPr>
          <w:sz w:val="17"/>
          <w:szCs w:val="17"/>
        </w:rPr>
      </w:pPr>
    </w:p>
    <w:p w14:paraId="3EBA55F4" w14:textId="5074FC82" w:rsidR="005B1F4B" w:rsidRPr="00722521" w:rsidRDefault="008868EB" w:rsidP="00A903E6">
      <w:pPr>
        <w:mirrorIndents/>
        <w:rPr>
          <w:sz w:val="17"/>
          <w:szCs w:val="17"/>
        </w:rPr>
      </w:pPr>
      <w:r w:rsidRPr="00722521">
        <w:rPr>
          <w:sz w:val="17"/>
          <w:szCs w:val="17"/>
        </w:rPr>
        <w:t>N/A</w:t>
      </w:r>
    </w:p>
    <w:p w14:paraId="45EE4CF7" w14:textId="77777777" w:rsidR="005B1F4B" w:rsidRPr="00722521" w:rsidRDefault="005B1F4B" w:rsidP="00A903E6">
      <w:pPr>
        <w:mirrorIndents/>
        <w:rPr>
          <w:sz w:val="17"/>
          <w:szCs w:val="17"/>
        </w:rPr>
      </w:pPr>
    </w:p>
    <w:p w14:paraId="002EE3BD" w14:textId="77777777" w:rsidR="00BA160A" w:rsidRPr="00722521" w:rsidRDefault="00BA160A" w:rsidP="008868EB">
      <w:pPr>
        <w:pStyle w:val="Textkrper"/>
        <w:ind w:left="0"/>
        <w:mirrorIndents/>
        <w:rPr>
          <w:rFonts w:ascii="Verdana" w:hAnsi="Verdana"/>
          <w:sz w:val="17"/>
          <w:szCs w:val="17"/>
        </w:rPr>
      </w:pPr>
      <w:r w:rsidRPr="00722521">
        <w:rPr>
          <w:rFonts w:ascii="Verdana" w:hAnsi="Verdana"/>
          <w:sz w:val="17"/>
          <w:szCs w:val="17"/>
          <w:highlight w:val="lightGray"/>
        </w:rPr>
        <w:t>Please provide examples in this/these other area(s) and explain:</w:t>
      </w:r>
    </w:p>
    <w:p w14:paraId="654A2024" w14:textId="3DD1B01A" w:rsidR="00BA160A" w:rsidRPr="00722521" w:rsidRDefault="00BA160A" w:rsidP="00A903E6">
      <w:pPr>
        <w:mirrorIndents/>
        <w:rPr>
          <w:sz w:val="17"/>
          <w:szCs w:val="17"/>
        </w:rPr>
      </w:pPr>
    </w:p>
    <w:p w14:paraId="305D9C1B" w14:textId="312A1B93" w:rsidR="005B1F4B" w:rsidRPr="00722521" w:rsidRDefault="008868EB" w:rsidP="00A903E6">
      <w:pPr>
        <w:mirrorIndents/>
        <w:rPr>
          <w:sz w:val="17"/>
          <w:szCs w:val="17"/>
        </w:rPr>
      </w:pPr>
      <w:r w:rsidRPr="00722521">
        <w:rPr>
          <w:sz w:val="17"/>
          <w:szCs w:val="17"/>
        </w:rPr>
        <w:t>N/A</w:t>
      </w:r>
    </w:p>
    <w:p w14:paraId="4F56CD17" w14:textId="77777777" w:rsidR="005B1F4B" w:rsidRPr="00722521" w:rsidRDefault="005B1F4B" w:rsidP="00A903E6">
      <w:pPr>
        <w:mirrorIndents/>
        <w:rPr>
          <w:sz w:val="17"/>
          <w:szCs w:val="17"/>
        </w:rPr>
      </w:pPr>
    </w:p>
    <w:p w14:paraId="67BFFB03" w14:textId="70900320"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Question 6.9 Do you consider that on the basis of existing mandates, additional/more detailed rules at level 2 should be introduced to provide the supervised entities and their supervisors with more detailed and clearer guidance?</w:t>
      </w:r>
    </w:p>
    <w:p w14:paraId="4C1F5F3B" w14:textId="677E3A50" w:rsidR="005B1F4B" w:rsidRPr="00722521" w:rsidRDefault="00BA160A" w:rsidP="005B1F4B">
      <w:pPr>
        <w:pStyle w:val="CEABullet-Level1"/>
        <w:rPr>
          <w:color w:val="auto"/>
          <w:highlight w:val="lightGray"/>
        </w:rPr>
      </w:pPr>
      <w:r w:rsidRPr="00722521">
        <w:rPr>
          <w:color w:val="auto"/>
          <w:highlight w:val="lightGray"/>
        </w:rPr>
        <w:t xml:space="preserve">Yes </w:t>
      </w:r>
    </w:p>
    <w:p w14:paraId="4B0D9E8C" w14:textId="1E1FFC51" w:rsidR="00BA160A" w:rsidRPr="00722521" w:rsidRDefault="00BA160A" w:rsidP="005B1F4B">
      <w:pPr>
        <w:pStyle w:val="CEABullet-Level1"/>
        <w:rPr>
          <w:color w:val="auto"/>
          <w:highlight w:val="lightGray"/>
        </w:rPr>
      </w:pPr>
      <w:r w:rsidRPr="00722521">
        <w:rPr>
          <w:color w:val="auto"/>
          <w:highlight w:val="lightGray"/>
        </w:rPr>
        <w:t>No</w:t>
      </w:r>
    </w:p>
    <w:p w14:paraId="64882F62" w14:textId="77777777" w:rsidR="00BA160A" w:rsidRPr="00722521" w:rsidRDefault="00BA160A" w:rsidP="005B1F4B">
      <w:pPr>
        <w:pStyle w:val="CEABullet-Level1"/>
        <w:rPr>
          <w:color w:val="auto"/>
          <w:highlight w:val="lightGray"/>
        </w:rPr>
      </w:pPr>
      <w:r w:rsidRPr="00722521">
        <w:rPr>
          <w:color w:val="auto"/>
          <w:highlight w:val="lightGray"/>
        </w:rPr>
        <w:t>Don’t know / no opinion / not relevant</w:t>
      </w:r>
    </w:p>
    <w:p w14:paraId="031427AD" w14:textId="77777777" w:rsidR="008868EB" w:rsidRPr="00722521" w:rsidRDefault="008868EB" w:rsidP="00A903E6">
      <w:pPr>
        <w:mirrorIndents/>
        <w:rPr>
          <w:sz w:val="17"/>
          <w:szCs w:val="17"/>
        </w:rPr>
      </w:pPr>
    </w:p>
    <w:p w14:paraId="5D0A387F" w14:textId="231F4E86" w:rsidR="008868EB" w:rsidRPr="00722521" w:rsidRDefault="008868EB" w:rsidP="00A903E6">
      <w:pPr>
        <w:mirrorIndents/>
        <w:rPr>
          <w:sz w:val="17"/>
          <w:szCs w:val="17"/>
        </w:rPr>
      </w:pPr>
      <w:r w:rsidRPr="00722521">
        <w:rPr>
          <w:sz w:val="17"/>
          <w:szCs w:val="17"/>
        </w:rPr>
        <w:t>Yes</w:t>
      </w:r>
    </w:p>
    <w:p w14:paraId="1A628DA3" w14:textId="77777777" w:rsidR="008868EB" w:rsidRPr="00722521" w:rsidRDefault="008868EB" w:rsidP="00A903E6">
      <w:pPr>
        <w:mirrorIndents/>
        <w:rPr>
          <w:sz w:val="17"/>
          <w:szCs w:val="17"/>
        </w:rPr>
      </w:pPr>
    </w:p>
    <w:p w14:paraId="172554EE"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specify legislation and what these rules at level 2 should regulate:</w:t>
      </w:r>
    </w:p>
    <w:p w14:paraId="1EEE49D9" w14:textId="6F468F1F" w:rsidR="00BA160A" w:rsidRPr="00722521" w:rsidRDefault="00BA160A" w:rsidP="00A903E6">
      <w:pPr>
        <w:mirrorIndents/>
        <w:rPr>
          <w:sz w:val="17"/>
          <w:szCs w:val="17"/>
        </w:rPr>
      </w:pPr>
    </w:p>
    <w:p w14:paraId="6ABE144D" w14:textId="54CA9A9A" w:rsidR="008868EB" w:rsidRPr="00722521" w:rsidRDefault="00722521" w:rsidP="00EE7E24">
      <w:pPr>
        <w:mirrorIndents/>
        <w:rPr>
          <w:sz w:val="17"/>
          <w:szCs w:val="17"/>
        </w:rPr>
      </w:pPr>
      <w:r>
        <w:rPr>
          <w:sz w:val="17"/>
          <w:szCs w:val="17"/>
        </w:rPr>
        <w:t>VVO</w:t>
      </w:r>
      <w:r w:rsidR="00EE7E24" w:rsidRPr="00722521">
        <w:rPr>
          <w:sz w:val="17"/>
          <w:szCs w:val="17"/>
        </w:rPr>
        <w:t xml:space="preserve"> believes that further regulatory convergence </w:t>
      </w:r>
      <w:r w:rsidR="008868EB" w:rsidRPr="00722521">
        <w:rPr>
          <w:sz w:val="17"/>
          <w:szCs w:val="17"/>
        </w:rPr>
        <w:t>may in some instances</w:t>
      </w:r>
      <w:r w:rsidR="00EE7E24" w:rsidRPr="00722521">
        <w:rPr>
          <w:sz w:val="17"/>
          <w:szCs w:val="17"/>
        </w:rPr>
        <w:t xml:space="preserve"> require a deeper level of detail at level 2. </w:t>
      </w:r>
      <w:r w:rsidR="008868EB" w:rsidRPr="00722521">
        <w:rPr>
          <w:sz w:val="17"/>
          <w:szCs w:val="17"/>
        </w:rPr>
        <w:t>However, regulations go through a thorough process and in some cases the co-legislators deliberately leave some flexibility at the discretion of members states to allow to adapt to local markets due to divergent practices/culture. This is why it is important that EIOPA does not act like a quasi-legislator by trying to fill all room for flexibility with its strict own interpretation, which can be detrimental. For example, in the area of group supervision under Solvency II, flexibility is needed due to the unique structure of each group</w:t>
      </w:r>
      <w:r w:rsidR="00EE7E24" w:rsidRPr="00722521">
        <w:rPr>
          <w:sz w:val="17"/>
          <w:szCs w:val="17"/>
        </w:rPr>
        <w:t xml:space="preserve">. </w:t>
      </w:r>
    </w:p>
    <w:p w14:paraId="274A8838" w14:textId="77777777" w:rsidR="008868EB" w:rsidRPr="00722521" w:rsidRDefault="008868EB" w:rsidP="00EE7E24">
      <w:pPr>
        <w:mirrorIndents/>
        <w:rPr>
          <w:sz w:val="17"/>
          <w:szCs w:val="17"/>
        </w:rPr>
      </w:pPr>
    </w:p>
    <w:p w14:paraId="6FDB1708" w14:textId="77777777" w:rsidR="008868EB" w:rsidRPr="00722521" w:rsidRDefault="008868EB" w:rsidP="00EE7E24">
      <w:pPr>
        <w:mirrorIndents/>
        <w:rPr>
          <w:sz w:val="17"/>
          <w:szCs w:val="17"/>
        </w:rPr>
      </w:pPr>
      <w:r w:rsidRPr="00722521">
        <w:rPr>
          <w:sz w:val="17"/>
          <w:szCs w:val="17"/>
        </w:rPr>
        <w:t>Moreover, a</w:t>
      </w:r>
      <w:r w:rsidR="00EE7E24" w:rsidRPr="00722521">
        <w:rPr>
          <w:sz w:val="17"/>
          <w:szCs w:val="17"/>
        </w:rPr>
        <w:t xml:space="preserve">nything with a political or strategic dimension cannot be left to the mandate of the Authorities and might require a differentiated approach at level 2 between ordinary DA and RTS or Implementing Acts (IA) and Implementing Technical Standards (ITS) respectively. </w:t>
      </w:r>
    </w:p>
    <w:p w14:paraId="422B4F33" w14:textId="77777777" w:rsidR="008868EB" w:rsidRPr="00722521" w:rsidRDefault="008868EB" w:rsidP="00EE7E24">
      <w:pPr>
        <w:mirrorIndents/>
        <w:rPr>
          <w:sz w:val="17"/>
          <w:szCs w:val="17"/>
        </w:rPr>
      </w:pPr>
    </w:p>
    <w:p w14:paraId="0B41D9DB" w14:textId="447294DD" w:rsidR="00EE7E24" w:rsidRPr="00722521" w:rsidRDefault="00EE7E24" w:rsidP="00EE7E24">
      <w:pPr>
        <w:mirrorIndents/>
        <w:rPr>
          <w:sz w:val="17"/>
          <w:szCs w:val="17"/>
        </w:rPr>
      </w:pPr>
      <w:r w:rsidRPr="00722521">
        <w:rPr>
          <w:sz w:val="17"/>
          <w:szCs w:val="17"/>
        </w:rPr>
        <w:t xml:space="preserve">In addition, it must be ensured that any need for the interpretation of Union </w:t>
      </w:r>
      <w:r w:rsidR="008868EB" w:rsidRPr="00722521">
        <w:rPr>
          <w:sz w:val="17"/>
          <w:szCs w:val="17"/>
        </w:rPr>
        <w:t>l</w:t>
      </w:r>
      <w:r w:rsidRPr="00722521">
        <w:rPr>
          <w:sz w:val="17"/>
          <w:szCs w:val="17"/>
        </w:rPr>
        <w:t>aw is dealt with at the appropriate level and not left to the Authorities.</w:t>
      </w:r>
    </w:p>
    <w:p w14:paraId="7AC5AD96" w14:textId="0CA14264" w:rsidR="00D114E8" w:rsidRPr="00722521" w:rsidRDefault="00D114E8" w:rsidP="00EE7E24">
      <w:pPr>
        <w:mirrorIndents/>
        <w:rPr>
          <w:sz w:val="17"/>
          <w:szCs w:val="17"/>
        </w:rPr>
      </w:pPr>
    </w:p>
    <w:p w14:paraId="78908F3C" w14:textId="332B506B" w:rsidR="00D114E8" w:rsidRPr="00722521" w:rsidRDefault="00D114E8" w:rsidP="00D114E8">
      <w:pPr>
        <w:mirrorIndents/>
        <w:rPr>
          <w:sz w:val="17"/>
          <w:szCs w:val="17"/>
        </w:rPr>
      </w:pPr>
      <w:r w:rsidRPr="00722521">
        <w:rPr>
          <w:sz w:val="17"/>
          <w:szCs w:val="17"/>
        </w:rPr>
        <w:t xml:space="preserve">As a matter of principle, it should be clear that when </w:t>
      </w:r>
      <w:r w:rsidR="009F1DE3" w:rsidRPr="00722521">
        <w:rPr>
          <w:sz w:val="17"/>
          <w:szCs w:val="17"/>
        </w:rPr>
        <w:t xml:space="preserve">co-legislators decide to preserve some flexibility at </w:t>
      </w:r>
      <w:r w:rsidRPr="00722521">
        <w:rPr>
          <w:sz w:val="17"/>
          <w:szCs w:val="17"/>
        </w:rPr>
        <w:t>level 1, there is no hook to address it level 2 or level 3. This principle is key to preserve the hierarchy of norms, prevent regulatory or quasi-regulation inflation and maintain the sense of prudential regulation. The scope of prudential regulation, which is primarily about solvency, cannot be extended indefinitely to cover any emerging topic. However, the reality is that this basic principle has been nullified by years of extension of the quasi-regulation, particularly by “soft-law”.</w:t>
      </w:r>
    </w:p>
    <w:p w14:paraId="217CA336" w14:textId="77777777" w:rsidR="00D114E8" w:rsidRPr="00722521" w:rsidRDefault="00D114E8" w:rsidP="00EE7E24">
      <w:pPr>
        <w:mirrorIndents/>
        <w:rPr>
          <w:sz w:val="17"/>
          <w:szCs w:val="17"/>
        </w:rPr>
      </w:pPr>
    </w:p>
    <w:p w14:paraId="784F5BC1" w14:textId="77777777" w:rsidR="00EE7E24" w:rsidRPr="00722521" w:rsidRDefault="00EE7E24" w:rsidP="00EE7E24">
      <w:pPr>
        <w:mirrorIndents/>
        <w:rPr>
          <w:sz w:val="17"/>
          <w:szCs w:val="17"/>
        </w:rPr>
      </w:pPr>
    </w:p>
    <w:p w14:paraId="3693DC67"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 xml:space="preserve">Question 6.10 Against the objective of establishing the single rulebook for financial services, how would you increase the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of EU financial legislation?</w:t>
      </w:r>
    </w:p>
    <w:p w14:paraId="1839C754" w14:textId="115860AF" w:rsidR="00BA160A" w:rsidRPr="00722521" w:rsidRDefault="00BA160A" w:rsidP="005B1F4B">
      <w:pPr>
        <w:pStyle w:val="CEABullet-Level1"/>
        <w:rPr>
          <w:color w:val="auto"/>
          <w:highlight w:val="lightGray"/>
        </w:rPr>
      </w:pPr>
      <w:r w:rsidRPr="00722521">
        <w:rPr>
          <w:color w:val="auto"/>
          <w:highlight w:val="lightGray"/>
        </w:rPr>
        <w:t>Across the board (e.g., via an Omnibus act which amends multiple sectoral acts at the same time)</w:t>
      </w:r>
    </w:p>
    <w:p w14:paraId="7BA0B150" w14:textId="77777777" w:rsidR="00BA160A" w:rsidRPr="00722521" w:rsidRDefault="00BA160A" w:rsidP="005B1F4B">
      <w:pPr>
        <w:pStyle w:val="CEABullet-Level1"/>
        <w:rPr>
          <w:color w:val="auto"/>
          <w:highlight w:val="lightGray"/>
        </w:rPr>
      </w:pPr>
      <w:r w:rsidRPr="00722521">
        <w:rPr>
          <w:color w:val="auto"/>
          <w:highlight w:val="lightGray"/>
        </w:rPr>
        <w:t>In a targeted manner through individual sectoral reviews</w:t>
      </w:r>
    </w:p>
    <w:p w14:paraId="5EBF350F" w14:textId="4B26FE1D" w:rsidR="00BA160A" w:rsidRPr="00722521" w:rsidRDefault="00BA160A" w:rsidP="00A903E6">
      <w:pPr>
        <w:mirrorIndents/>
        <w:rPr>
          <w:sz w:val="17"/>
          <w:szCs w:val="17"/>
        </w:rPr>
      </w:pPr>
    </w:p>
    <w:p w14:paraId="387D4E40" w14:textId="77777777" w:rsidR="00C71274" w:rsidRPr="00722521" w:rsidRDefault="00C71274" w:rsidP="00C71274">
      <w:pPr>
        <w:mirrorIndents/>
        <w:rPr>
          <w:sz w:val="17"/>
          <w:szCs w:val="17"/>
        </w:rPr>
      </w:pPr>
      <w:r w:rsidRPr="00722521">
        <w:rPr>
          <w:sz w:val="17"/>
          <w:szCs w:val="17"/>
        </w:rPr>
        <w:t>In a targeted manner through individual sectoral reviews</w:t>
      </w:r>
    </w:p>
    <w:p w14:paraId="31EF8D5B" w14:textId="77777777" w:rsidR="00C71274" w:rsidRPr="00722521" w:rsidRDefault="00C71274" w:rsidP="00A903E6">
      <w:pPr>
        <w:mirrorIndents/>
        <w:rPr>
          <w:sz w:val="17"/>
          <w:szCs w:val="17"/>
        </w:rPr>
      </w:pPr>
    </w:p>
    <w:p w14:paraId="686368F9" w14:textId="50B721BD"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 xml:space="preserve">Please select the legislative sector(s) in which you would increase the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of EU financial legislation:</w:t>
      </w:r>
    </w:p>
    <w:p w14:paraId="1CA127EB" w14:textId="77777777" w:rsidR="00EE7E24" w:rsidRPr="00722521" w:rsidRDefault="00BA160A" w:rsidP="005B1F4B">
      <w:pPr>
        <w:pStyle w:val="CEABullet-Level1"/>
        <w:rPr>
          <w:color w:val="auto"/>
        </w:rPr>
      </w:pPr>
      <w:r w:rsidRPr="00722521">
        <w:rPr>
          <w:color w:val="auto"/>
        </w:rPr>
        <w:t xml:space="preserve">Banking </w:t>
      </w:r>
    </w:p>
    <w:p w14:paraId="681336C9" w14:textId="4942A42D" w:rsidR="00BA160A" w:rsidRPr="00722521" w:rsidRDefault="00BA160A" w:rsidP="005B1F4B">
      <w:pPr>
        <w:pStyle w:val="CEABullet-Level1"/>
        <w:rPr>
          <w:color w:val="auto"/>
        </w:rPr>
      </w:pPr>
      <w:r w:rsidRPr="00722521">
        <w:rPr>
          <w:color w:val="auto"/>
        </w:rPr>
        <w:t>Insurance</w:t>
      </w:r>
    </w:p>
    <w:p w14:paraId="4429AF6F" w14:textId="77777777" w:rsidR="00BA160A" w:rsidRPr="00722521" w:rsidRDefault="00BA160A" w:rsidP="005B1F4B">
      <w:pPr>
        <w:pStyle w:val="CEABullet-Level1"/>
        <w:rPr>
          <w:color w:val="auto"/>
        </w:rPr>
      </w:pPr>
      <w:r w:rsidRPr="00722521">
        <w:rPr>
          <w:color w:val="auto"/>
        </w:rPr>
        <w:t>Asset management</w:t>
      </w:r>
    </w:p>
    <w:p w14:paraId="1B6F3A33" w14:textId="77777777" w:rsidR="005B1F4B" w:rsidRPr="00722521" w:rsidRDefault="00BA160A" w:rsidP="005B1F4B">
      <w:pPr>
        <w:pStyle w:val="CEABullet-Level1"/>
        <w:rPr>
          <w:color w:val="auto"/>
        </w:rPr>
      </w:pPr>
      <w:r w:rsidRPr="00722521">
        <w:rPr>
          <w:color w:val="auto"/>
        </w:rPr>
        <w:t xml:space="preserve">Market infrastructure (CCPs, CSDs) </w:t>
      </w:r>
    </w:p>
    <w:p w14:paraId="79BDF06B" w14:textId="77777777" w:rsidR="005B1F4B" w:rsidRPr="00722521" w:rsidRDefault="00BA160A" w:rsidP="005B1F4B">
      <w:pPr>
        <w:pStyle w:val="CEABullet-Level1"/>
        <w:rPr>
          <w:color w:val="auto"/>
        </w:rPr>
      </w:pPr>
      <w:r w:rsidRPr="00722521">
        <w:rPr>
          <w:color w:val="auto"/>
        </w:rPr>
        <w:t xml:space="preserve">Market organisation (MiFID, MIFIR, MAR) </w:t>
      </w:r>
    </w:p>
    <w:p w14:paraId="0E3C1D2E" w14:textId="73C578F3" w:rsidR="00BA160A" w:rsidRPr="00722521" w:rsidRDefault="00BA160A" w:rsidP="005B1F4B">
      <w:pPr>
        <w:pStyle w:val="CEABullet-Level1"/>
        <w:rPr>
          <w:color w:val="auto"/>
        </w:rPr>
      </w:pPr>
      <w:r w:rsidRPr="00722521">
        <w:rPr>
          <w:color w:val="auto"/>
        </w:rPr>
        <w:lastRenderedPageBreak/>
        <w:t>Other</w:t>
      </w:r>
    </w:p>
    <w:p w14:paraId="245A5E9E" w14:textId="77777777" w:rsidR="005B1F4B" w:rsidRPr="00722521" w:rsidRDefault="005B1F4B" w:rsidP="00A903E6">
      <w:pPr>
        <w:mirrorIndents/>
        <w:rPr>
          <w:b/>
          <w:w w:val="105"/>
          <w:sz w:val="17"/>
          <w:szCs w:val="17"/>
        </w:rPr>
      </w:pPr>
    </w:p>
    <w:p w14:paraId="333817BF" w14:textId="06BD39AD" w:rsidR="00BA160A" w:rsidRPr="00722521" w:rsidRDefault="00BA160A" w:rsidP="00A903E6">
      <w:pPr>
        <w:mirrorIndents/>
        <w:rPr>
          <w:b/>
          <w:sz w:val="17"/>
          <w:szCs w:val="17"/>
        </w:rPr>
      </w:pPr>
      <w:r w:rsidRPr="00722521">
        <w:rPr>
          <w:b/>
          <w:w w:val="105"/>
          <w:sz w:val="17"/>
          <w:szCs w:val="17"/>
        </w:rPr>
        <w:t>Banking</w:t>
      </w:r>
    </w:p>
    <w:p w14:paraId="3611A589" w14:textId="53D2DB6A"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w:t>
      </w:r>
      <w:r w:rsidRPr="00722521">
        <w:rPr>
          <w:rFonts w:ascii="Verdana" w:hAnsi="Verdana"/>
          <w:spacing w:val="54"/>
          <w:sz w:val="17"/>
          <w:szCs w:val="17"/>
          <w:highlight w:val="lightGray"/>
        </w:rPr>
        <w:t xml:space="preserve"> </w:t>
      </w:r>
      <w:r w:rsidRPr="00722521">
        <w:rPr>
          <w:rFonts w:ascii="Verdana" w:hAnsi="Verdana"/>
          <w:sz w:val="17"/>
          <w:szCs w:val="17"/>
          <w:highlight w:val="lightGray"/>
        </w:rPr>
        <w:t>identify</w:t>
      </w:r>
      <w:r w:rsidRPr="00722521">
        <w:rPr>
          <w:rFonts w:ascii="Verdana" w:hAnsi="Verdana"/>
          <w:spacing w:val="54"/>
          <w:sz w:val="17"/>
          <w:szCs w:val="17"/>
          <w:highlight w:val="lightGray"/>
        </w:rPr>
        <w:t xml:space="preserve"> </w:t>
      </w:r>
      <w:r w:rsidRPr="00722521">
        <w:rPr>
          <w:rFonts w:ascii="Verdana" w:hAnsi="Verdana"/>
          <w:sz w:val="17"/>
          <w:szCs w:val="17"/>
          <w:highlight w:val="lightGray"/>
        </w:rPr>
        <w:t>the</w:t>
      </w:r>
      <w:r w:rsidRPr="00722521">
        <w:rPr>
          <w:rFonts w:ascii="Verdana" w:hAnsi="Verdana"/>
          <w:spacing w:val="54"/>
          <w:sz w:val="17"/>
          <w:szCs w:val="17"/>
          <w:highlight w:val="lightGray"/>
        </w:rPr>
        <w:t xml:space="preserve"> </w:t>
      </w:r>
      <w:r w:rsidRPr="00722521">
        <w:rPr>
          <w:rFonts w:ascii="Verdana" w:hAnsi="Verdana"/>
          <w:sz w:val="17"/>
          <w:szCs w:val="17"/>
          <w:highlight w:val="lightGray"/>
        </w:rPr>
        <w:t>specific</w:t>
      </w:r>
      <w:r w:rsidRPr="00722521">
        <w:rPr>
          <w:rFonts w:ascii="Verdana" w:hAnsi="Verdana"/>
          <w:spacing w:val="54"/>
          <w:sz w:val="17"/>
          <w:szCs w:val="17"/>
          <w:highlight w:val="lightGray"/>
        </w:rPr>
        <w:t xml:space="preserve"> </w:t>
      </w:r>
      <w:r w:rsidRPr="00722521">
        <w:rPr>
          <w:rFonts w:ascii="Verdana" w:hAnsi="Verdana"/>
          <w:sz w:val="17"/>
          <w:szCs w:val="17"/>
          <w:highlight w:val="lightGray"/>
        </w:rPr>
        <w:t>piece</w:t>
      </w:r>
      <w:r w:rsidRPr="00722521">
        <w:rPr>
          <w:rFonts w:ascii="Verdana" w:hAnsi="Verdana"/>
          <w:spacing w:val="54"/>
          <w:sz w:val="17"/>
          <w:szCs w:val="17"/>
          <w:highlight w:val="lightGray"/>
        </w:rPr>
        <w:t xml:space="preserve"> </w:t>
      </w:r>
      <w:r w:rsidRPr="00722521">
        <w:rPr>
          <w:rFonts w:ascii="Verdana" w:hAnsi="Verdana"/>
          <w:sz w:val="17"/>
          <w:szCs w:val="17"/>
          <w:highlight w:val="lightGray"/>
        </w:rPr>
        <w:t>of</w:t>
      </w:r>
      <w:r w:rsidRPr="00722521">
        <w:rPr>
          <w:rFonts w:ascii="Verdana" w:hAnsi="Verdana"/>
          <w:spacing w:val="54"/>
          <w:sz w:val="17"/>
          <w:szCs w:val="17"/>
          <w:highlight w:val="lightGray"/>
        </w:rPr>
        <w:t xml:space="preserve"> </w:t>
      </w:r>
      <w:r w:rsidRPr="00722521">
        <w:rPr>
          <w:rFonts w:ascii="Verdana" w:hAnsi="Verdana"/>
          <w:sz w:val="17"/>
          <w:szCs w:val="17"/>
          <w:highlight w:val="lightGray"/>
        </w:rPr>
        <w:t>legislation</w:t>
      </w:r>
      <w:r w:rsidRPr="00722521">
        <w:rPr>
          <w:rFonts w:ascii="Verdana" w:hAnsi="Verdana"/>
          <w:spacing w:val="54"/>
          <w:sz w:val="17"/>
          <w:szCs w:val="17"/>
          <w:highlight w:val="lightGray"/>
        </w:rPr>
        <w:t xml:space="preserve"> </w:t>
      </w:r>
      <w:r w:rsidRPr="00722521">
        <w:rPr>
          <w:rFonts w:ascii="Verdana" w:hAnsi="Verdana"/>
          <w:sz w:val="17"/>
          <w:szCs w:val="17"/>
          <w:highlight w:val="lightGray"/>
        </w:rPr>
        <w:t>in</w:t>
      </w:r>
      <w:r w:rsidRPr="00722521">
        <w:rPr>
          <w:rFonts w:ascii="Verdana" w:hAnsi="Verdana"/>
          <w:spacing w:val="54"/>
          <w:sz w:val="17"/>
          <w:szCs w:val="17"/>
          <w:highlight w:val="lightGray"/>
        </w:rPr>
        <w:t xml:space="preserve"> </w:t>
      </w:r>
      <w:r w:rsidRPr="00722521">
        <w:rPr>
          <w:rFonts w:ascii="Verdana" w:hAnsi="Verdana"/>
          <w:sz w:val="17"/>
          <w:szCs w:val="17"/>
          <w:highlight w:val="lightGray"/>
        </w:rPr>
        <w:t>the</w:t>
      </w:r>
      <w:r w:rsidRPr="00722521">
        <w:rPr>
          <w:rFonts w:ascii="Verdana" w:hAnsi="Verdana"/>
          <w:spacing w:val="54"/>
          <w:sz w:val="17"/>
          <w:szCs w:val="17"/>
          <w:highlight w:val="lightGray"/>
        </w:rPr>
        <w:t xml:space="preserve"> </w:t>
      </w:r>
      <w:r w:rsidRPr="00722521">
        <w:rPr>
          <w:rFonts w:ascii="Verdana" w:hAnsi="Verdana"/>
          <w:sz w:val="17"/>
          <w:szCs w:val="17"/>
          <w:highlight w:val="lightGray"/>
        </w:rPr>
        <w:t>area</w:t>
      </w:r>
      <w:r w:rsidRPr="00722521">
        <w:rPr>
          <w:rFonts w:ascii="Verdana" w:hAnsi="Verdana"/>
          <w:spacing w:val="54"/>
          <w:sz w:val="17"/>
          <w:szCs w:val="17"/>
          <w:highlight w:val="lightGray"/>
        </w:rPr>
        <w:t xml:space="preserve"> </w:t>
      </w:r>
      <w:r w:rsidRPr="00722521">
        <w:rPr>
          <w:rFonts w:ascii="Verdana" w:hAnsi="Verdana"/>
          <w:sz w:val="17"/>
          <w:szCs w:val="17"/>
          <w:highlight w:val="lightGray"/>
        </w:rPr>
        <w:t>of</w:t>
      </w:r>
      <w:r w:rsidR="005B1F4B" w:rsidRPr="00722521">
        <w:rPr>
          <w:rFonts w:ascii="Verdana" w:hAnsi="Verdana"/>
          <w:sz w:val="17"/>
          <w:szCs w:val="17"/>
          <w:highlight w:val="lightGray"/>
        </w:rPr>
        <w:t xml:space="preserve"> </w:t>
      </w:r>
      <w:r w:rsidRPr="00722521">
        <w:rPr>
          <w:rFonts w:ascii="Verdana" w:hAnsi="Verdana"/>
          <w:sz w:val="17"/>
          <w:szCs w:val="17"/>
          <w:highlight w:val="lightGray"/>
        </w:rPr>
        <w:t>banking</w:t>
      </w:r>
      <w:r w:rsidR="005B1F4B" w:rsidRPr="00722521">
        <w:rPr>
          <w:rFonts w:ascii="Verdana" w:hAnsi="Verdana"/>
          <w:sz w:val="17"/>
          <w:szCs w:val="17"/>
          <w:highlight w:val="lightGray"/>
        </w:rPr>
        <w:t xml:space="preserve"> </w:t>
      </w:r>
      <w:r w:rsidRPr="00722521">
        <w:rPr>
          <w:rFonts w:ascii="Verdana" w:hAnsi="Verdana"/>
          <w:sz w:val="17"/>
          <w:szCs w:val="17"/>
          <w:highlight w:val="lightGray"/>
        </w:rPr>
        <w:t>for</w:t>
      </w:r>
      <w:r w:rsidR="005B1F4B" w:rsidRPr="00722521">
        <w:rPr>
          <w:rFonts w:ascii="Verdana" w:hAnsi="Verdana"/>
          <w:sz w:val="17"/>
          <w:szCs w:val="17"/>
          <w:highlight w:val="lightGray"/>
        </w:rPr>
        <w:t xml:space="preserve"> </w:t>
      </w:r>
      <w:r w:rsidRPr="00722521">
        <w:rPr>
          <w:rFonts w:ascii="Verdana" w:hAnsi="Verdana"/>
          <w:sz w:val="17"/>
          <w:szCs w:val="17"/>
          <w:highlight w:val="lightGray"/>
        </w:rPr>
        <w:t xml:space="preserve">which you would increase the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of EU financial legislation and explain:</w:t>
      </w:r>
    </w:p>
    <w:p w14:paraId="065CBC2B" w14:textId="5645F02B" w:rsidR="005B1F4B" w:rsidRPr="00722521" w:rsidRDefault="005B1F4B" w:rsidP="00A903E6">
      <w:pPr>
        <w:mirrorIndents/>
        <w:rPr>
          <w:sz w:val="17"/>
          <w:szCs w:val="17"/>
        </w:rPr>
      </w:pPr>
    </w:p>
    <w:p w14:paraId="69B54D10" w14:textId="77777777" w:rsidR="00C71274" w:rsidRPr="00722521" w:rsidRDefault="00C71274" w:rsidP="00C71274">
      <w:pPr>
        <w:mirrorIndents/>
        <w:rPr>
          <w:sz w:val="17"/>
          <w:szCs w:val="17"/>
        </w:rPr>
      </w:pPr>
      <w:r w:rsidRPr="00722521">
        <w:rPr>
          <w:sz w:val="17"/>
          <w:szCs w:val="17"/>
        </w:rPr>
        <w:t>N/A</w:t>
      </w:r>
    </w:p>
    <w:p w14:paraId="19A72FD0" w14:textId="77777777" w:rsidR="00BA160A" w:rsidRPr="00722521" w:rsidRDefault="00BA160A" w:rsidP="00A903E6">
      <w:pPr>
        <w:mirrorIndents/>
        <w:rPr>
          <w:sz w:val="17"/>
          <w:szCs w:val="17"/>
        </w:rPr>
      </w:pPr>
    </w:p>
    <w:p w14:paraId="3DE20179"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explain the legislative approach (omnibus vs targeted reviews) in the area of banking:</w:t>
      </w:r>
    </w:p>
    <w:p w14:paraId="2E554F91" w14:textId="27A16087" w:rsidR="00BA160A" w:rsidRPr="00722521" w:rsidRDefault="00BA160A" w:rsidP="00A903E6">
      <w:pPr>
        <w:mirrorIndents/>
        <w:rPr>
          <w:sz w:val="17"/>
          <w:szCs w:val="17"/>
        </w:rPr>
      </w:pPr>
    </w:p>
    <w:p w14:paraId="673BBC8E" w14:textId="77777777" w:rsidR="00C71274" w:rsidRPr="00722521" w:rsidRDefault="00C71274" w:rsidP="00C71274">
      <w:pPr>
        <w:mirrorIndents/>
        <w:rPr>
          <w:sz w:val="17"/>
          <w:szCs w:val="17"/>
        </w:rPr>
      </w:pPr>
      <w:r w:rsidRPr="00722521">
        <w:rPr>
          <w:sz w:val="17"/>
          <w:szCs w:val="17"/>
        </w:rPr>
        <w:t>N/A</w:t>
      </w:r>
    </w:p>
    <w:p w14:paraId="34DC2BDF" w14:textId="77777777" w:rsidR="005B1F4B" w:rsidRPr="00722521" w:rsidRDefault="005B1F4B" w:rsidP="00A903E6">
      <w:pPr>
        <w:mirrorIndents/>
        <w:rPr>
          <w:sz w:val="17"/>
          <w:szCs w:val="17"/>
        </w:rPr>
      </w:pPr>
    </w:p>
    <w:p w14:paraId="33D1AB36" w14:textId="77777777" w:rsidR="005B1F4B" w:rsidRPr="00722521" w:rsidRDefault="00BA160A" w:rsidP="006161BD">
      <w:pPr>
        <w:mirrorIndents/>
        <w:rPr>
          <w:b/>
          <w:w w:val="105"/>
          <w:sz w:val="17"/>
          <w:szCs w:val="17"/>
        </w:rPr>
      </w:pPr>
      <w:r w:rsidRPr="00722521">
        <w:rPr>
          <w:b/>
          <w:w w:val="105"/>
          <w:sz w:val="17"/>
          <w:szCs w:val="17"/>
        </w:rPr>
        <w:t>Insurance</w:t>
      </w:r>
    </w:p>
    <w:p w14:paraId="1E50AE35" w14:textId="1D2F30DC" w:rsidR="00BA160A" w:rsidRPr="00722521" w:rsidRDefault="00BA160A" w:rsidP="005B1F4B">
      <w:pPr>
        <w:mirrorIndents/>
        <w:rPr>
          <w:b/>
          <w:bCs/>
          <w:sz w:val="17"/>
          <w:szCs w:val="17"/>
        </w:rPr>
      </w:pPr>
      <w:r w:rsidRPr="00722521">
        <w:rPr>
          <w:b/>
          <w:sz w:val="17"/>
          <w:szCs w:val="17"/>
          <w:highlight w:val="lightGray"/>
        </w:rPr>
        <w:t>Please identify the specific piece of legislation in the area of</w:t>
      </w:r>
      <w:r w:rsidR="005B1F4B" w:rsidRPr="00722521">
        <w:rPr>
          <w:b/>
          <w:sz w:val="17"/>
          <w:szCs w:val="17"/>
          <w:highlight w:val="lightGray"/>
        </w:rPr>
        <w:t xml:space="preserve"> </w:t>
      </w:r>
      <w:r w:rsidRPr="00722521">
        <w:rPr>
          <w:b/>
          <w:sz w:val="17"/>
          <w:szCs w:val="17"/>
          <w:highlight w:val="lightGray"/>
        </w:rPr>
        <w:t>Insurance</w:t>
      </w:r>
      <w:r w:rsidR="005B1F4B" w:rsidRPr="00722521">
        <w:rPr>
          <w:b/>
          <w:sz w:val="17"/>
          <w:szCs w:val="17"/>
          <w:highlight w:val="lightGray"/>
        </w:rPr>
        <w:t xml:space="preserve"> </w:t>
      </w:r>
      <w:r w:rsidRPr="00722521">
        <w:rPr>
          <w:b/>
          <w:sz w:val="17"/>
          <w:szCs w:val="17"/>
          <w:highlight w:val="lightGray"/>
        </w:rPr>
        <w:t>for</w:t>
      </w:r>
      <w:r w:rsidR="005B1F4B" w:rsidRPr="00722521">
        <w:rPr>
          <w:b/>
          <w:sz w:val="17"/>
          <w:szCs w:val="17"/>
          <w:highlight w:val="lightGray"/>
        </w:rPr>
        <w:t xml:space="preserve"> </w:t>
      </w:r>
      <w:r w:rsidRPr="00722521">
        <w:rPr>
          <w:b/>
          <w:sz w:val="17"/>
          <w:szCs w:val="17"/>
          <w:highlight w:val="lightGray"/>
        </w:rPr>
        <w:t>which you would increase the degree of harmonisation of EU financial legislation and explain:</w:t>
      </w:r>
    </w:p>
    <w:p w14:paraId="411F47FD" w14:textId="02D07E54" w:rsidR="005B1F4B" w:rsidRPr="00722521" w:rsidRDefault="00C71274" w:rsidP="00A903E6">
      <w:pPr>
        <w:mirrorIndents/>
        <w:rPr>
          <w:sz w:val="17"/>
          <w:szCs w:val="17"/>
        </w:rPr>
      </w:pPr>
      <w:r w:rsidRPr="00722521">
        <w:rPr>
          <w:sz w:val="17"/>
          <w:szCs w:val="17"/>
        </w:rPr>
        <w:t>N/A</w:t>
      </w:r>
    </w:p>
    <w:p w14:paraId="7ACE0F83" w14:textId="77777777" w:rsidR="005B1F4B" w:rsidRPr="00722521" w:rsidRDefault="005B1F4B" w:rsidP="00A903E6">
      <w:pPr>
        <w:mirrorIndents/>
        <w:rPr>
          <w:sz w:val="17"/>
          <w:szCs w:val="17"/>
        </w:rPr>
      </w:pPr>
    </w:p>
    <w:p w14:paraId="3CF18D1B" w14:textId="77777777" w:rsidR="00BA160A" w:rsidRPr="00722521" w:rsidRDefault="00BA160A" w:rsidP="005B1F4B">
      <w:pPr>
        <w:pStyle w:val="Textkrper"/>
        <w:ind w:left="0"/>
        <w:mirrorIndents/>
        <w:rPr>
          <w:rFonts w:ascii="Verdana" w:hAnsi="Verdana"/>
          <w:sz w:val="17"/>
          <w:szCs w:val="17"/>
        </w:rPr>
      </w:pPr>
      <w:r w:rsidRPr="00722521">
        <w:rPr>
          <w:rFonts w:ascii="Verdana" w:hAnsi="Verdana"/>
          <w:sz w:val="17"/>
          <w:szCs w:val="17"/>
          <w:highlight w:val="lightGray"/>
        </w:rPr>
        <w:t>Please explain the legislative approach (omnibus vs targeted reviews) in the area of Insurance:</w:t>
      </w:r>
    </w:p>
    <w:p w14:paraId="34B09771" w14:textId="67F615C7" w:rsidR="00BA160A" w:rsidRPr="00722521" w:rsidRDefault="00BA160A" w:rsidP="00A903E6">
      <w:pPr>
        <w:mirrorIndents/>
        <w:rPr>
          <w:sz w:val="17"/>
          <w:szCs w:val="17"/>
        </w:rPr>
      </w:pPr>
    </w:p>
    <w:p w14:paraId="13107890" w14:textId="682B10E6" w:rsidR="005B1F4B" w:rsidRPr="00722521" w:rsidRDefault="00C71274" w:rsidP="00A903E6">
      <w:pPr>
        <w:mirrorIndents/>
        <w:rPr>
          <w:sz w:val="17"/>
          <w:szCs w:val="17"/>
        </w:rPr>
      </w:pPr>
      <w:r w:rsidRPr="00722521">
        <w:rPr>
          <w:sz w:val="17"/>
          <w:szCs w:val="17"/>
        </w:rPr>
        <w:t>N/A</w:t>
      </w:r>
    </w:p>
    <w:p w14:paraId="1500CB49" w14:textId="77777777" w:rsidR="005B1F4B" w:rsidRPr="00722521" w:rsidRDefault="005B1F4B" w:rsidP="00A903E6">
      <w:pPr>
        <w:mirrorIndents/>
        <w:rPr>
          <w:sz w:val="17"/>
          <w:szCs w:val="17"/>
        </w:rPr>
      </w:pPr>
    </w:p>
    <w:p w14:paraId="75AEA948" w14:textId="77777777" w:rsidR="00BA160A" w:rsidRPr="00722521" w:rsidRDefault="00BA160A" w:rsidP="00A903E6">
      <w:pPr>
        <w:mirrorIndents/>
        <w:rPr>
          <w:b/>
          <w:sz w:val="17"/>
          <w:szCs w:val="17"/>
        </w:rPr>
      </w:pPr>
      <w:r w:rsidRPr="00722521">
        <w:rPr>
          <w:b/>
          <w:sz w:val="17"/>
          <w:szCs w:val="17"/>
        </w:rPr>
        <w:t>Asset</w:t>
      </w:r>
      <w:r w:rsidRPr="00722521">
        <w:rPr>
          <w:b/>
          <w:spacing w:val="54"/>
          <w:sz w:val="17"/>
          <w:szCs w:val="17"/>
        </w:rPr>
        <w:t xml:space="preserve"> </w:t>
      </w:r>
      <w:r w:rsidRPr="00722521">
        <w:rPr>
          <w:b/>
          <w:sz w:val="17"/>
          <w:szCs w:val="17"/>
        </w:rPr>
        <w:t>management</w:t>
      </w:r>
    </w:p>
    <w:p w14:paraId="00223E31" w14:textId="15B4794D" w:rsidR="00BA160A" w:rsidRPr="00722521" w:rsidRDefault="00BA160A" w:rsidP="00167789">
      <w:pPr>
        <w:pStyle w:val="Textkrper"/>
        <w:ind w:left="0"/>
        <w:mirrorIndents/>
        <w:rPr>
          <w:rFonts w:ascii="Verdana" w:hAnsi="Verdana"/>
          <w:sz w:val="17"/>
          <w:szCs w:val="17"/>
        </w:rPr>
      </w:pPr>
      <w:r w:rsidRPr="00722521">
        <w:rPr>
          <w:rFonts w:ascii="Verdana" w:hAnsi="Verdana"/>
          <w:sz w:val="17"/>
          <w:szCs w:val="17"/>
          <w:highlight w:val="lightGray"/>
        </w:rPr>
        <w:t>Please identify the specific piece of legislation in the area of Asset</w:t>
      </w:r>
      <w:r w:rsidR="00167789" w:rsidRPr="00722521">
        <w:rPr>
          <w:rFonts w:ascii="Verdana" w:hAnsi="Verdana"/>
          <w:sz w:val="17"/>
          <w:szCs w:val="17"/>
          <w:highlight w:val="lightGray"/>
        </w:rPr>
        <w:t xml:space="preserve"> </w:t>
      </w:r>
      <w:r w:rsidRPr="00722521">
        <w:rPr>
          <w:rFonts w:ascii="Verdana" w:hAnsi="Verdana"/>
          <w:sz w:val="17"/>
          <w:szCs w:val="17"/>
          <w:highlight w:val="lightGray"/>
        </w:rPr>
        <w:t xml:space="preserve">management for which you would increase the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of</w:t>
      </w:r>
      <w:r w:rsidR="00167789" w:rsidRPr="00722521">
        <w:rPr>
          <w:rFonts w:ascii="Verdana" w:hAnsi="Verdana"/>
          <w:sz w:val="17"/>
          <w:szCs w:val="17"/>
          <w:highlight w:val="lightGray"/>
        </w:rPr>
        <w:t xml:space="preserve"> </w:t>
      </w:r>
      <w:r w:rsidRPr="00722521">
        <w:rPr>
          <w:rFonts w:ascii="Verdana" w:hAnsi="Verdana"/>
          <w:sz w:val="17"/>
          <w:szCs w:val="17"/>
          <w:highlight w:val="lightGray"/>
        </w:rPr>
        <w:t>EU financial legislation and explain:</w:t>
      </w:r>
    </w:p>
    <w:p w14:paraId="090C31C6" w14:textId="76F85FD7" w:rsidR="00BA160A" w:rsidRPr="00722521" w:rsidRDefault="00BA160A" w:rsidP="00A903E6">
      <w:pPr>
        <w:mirrorIndents/>
        <w:rPr>
          <w:sz w:val="17"/>
          <w:szCs w:val="17"/>
        </w:rPr>
      </w:pPr>
    </w:p>
    <w:p w14:paraId="253EB3B9" w14:textId="77777777" w:rsidR="00C71274" w:rsidRPr="00722521" w:rsidRDefault="00C71274" w:rsidP="00C71274">
      <w:pPr>
        <w:mirrorIndents/>
        <w:rPr>
          <w:sz w:val="17"/>
          <w:szCs w:val="17"/>
        </w:rPr>
      </w:pPr>
      <w:r w:rsidRPr="00722521">
        <w:rPr>
          <w:sz w:val="17"/>
          <w:szCs w:val="17"/>
        </w:rPr>
        <w:t>N/A</w:t>
      </w:r>
    </w:p>
    <w:p w14:paraId="5879ED73" w14:textId="77777777" w:rsidR="00167789" w:rsidRPr="00722521" w:rsidRDefault="00167789" w:rsidP="00A903E6">
      <w:pPr>
        <w:mirrorIndents/>
        <w:rPr>
          <w:sz w:val="17"/>
          <w:szCs w:val="17"/>
        </w:rPr>
      </w:pPr>
    </w:p>
    <w:p w14:paraId="33DE3FBD" w14:textId="77777777" w:rsidR="00BA160A" w:rsidRPr="00722521" w:rsidRDefault="00BA160A" w:rsidP="00167789">
      <w:pPr>
        <w:pStyle w:val="Textkrper"/>
        <w:ind w:left="0"/>
        <w:mirrorIndents/>
        <w:rPr>
          <w:rFonts w:ascii="Verdana" w:hAnsi="Verdana"/>
          <w:sz w:val="17"/>
          <w:szCs w:val="17"/>
        </w:rPr>
      </w:pPr>
      <w:r w:rsidRPr="00722521">
        <w:rPr>
          <w:rFonts w:ascii="Verdana" w:hAnsi="Verdana"/>
          <w:sz w:val="17"/>
          <w:szCs w:val="17"/>
          <w:highlight w:val="lightGray"/>
        </w:rPr>
        <w:t>Please explain the legislative approach (omnibus vs targeted reviews) in the area of Asset management:</w:t>
      </w:r>
    </w:p>
    <w:p w14:paraId="0BB054AE" w14:textId="45498AD1" w:rsidR="00BA160A" w:rsidRPr="00722521" w:rsidRDefault="00BA160A" w:rsidP="00A903E6">
      <w:pPr>
        <w:mirrorIndents/>
        <w:rPr>
          <w:sz w:val="17"/>
          <w:szCs w:val="17"/>
        </w:rPr>
      </w:pPr>
    </w:p>
    <w:p w14:paraId="0931BF06" w14:textId="77777777" w:rsidR="00C71274" w:rsidRPr="00722521" w:rsidRDefault="00C71274" w:rsidP="00C71274">
      <w:pPr>
        <w:mirrorIndents/>
        <w:rPr>
          <w:sz w:val="17"/>
          <w:szCs w:val="17"/>
          <w:lang w:val="en-US"/>
        </w:rPr>
      </w:pPr>
      <w:r w:rsidRPr="00722521">
        <w:rPr>
          <w:sz w:val="17"/>
          <w:szCs w:val="17"/>
          <w:lang w:val="en-US"/>
        </w:rPr>
        <w:t>N/A</w:t>
      </w:r>
    </w:p>
    <w:p w14:paraId="46268BC9" w14:textId="77777777" w:rsidR="00167789" w:rsidRPr="00722521" w:rsidRDefault="00167789" w:rsidP="00A903E6">
      <w:pPr>
        <w:mirrorIndents/>
        <w:rPr>
          <w:sz w:val="17"/>
          <w:szCs w:val="17"/>
          <w:lang w:val="en-US"/>
        </w:rPr>
      </w:pPr>
    </w:p>
    <w:p w14:paraId="40D7D674" w14:textId="77777777" w:rsidR="00BA160A" w:rsidRPr="00722521" w:rsidRDefault="00BA160A" w:rsidP="00A903E6">
      <w:pPr>
        <w:mirrorIndents/>
        <w:rPr>
          <w:b/>
          <w:sz w:val="17"/>
          <w:szCs w:val="17"/>
          <w:lang w:val="en-US"/>
        </w:rPr>
      </w:pPr>
      <w:r w:rsidRPr="00722521">
        <w:rPr>
          <w:b/>
          <w:w w:val="105"/>
          <w:sz w:val="17"/>
          <w:szCs w:val="17"/>
          <w:lang w:val="en-US"/>
        </w:rPr>
        <w:t>Market infrastructure (CCPs, CSDs)</w:t>
      </w:r>
    </w:p>
    <w:p w14:paraId="606A4C93" w14:textId="77777777" w:rsidR="00BA160A" w:rsidRPr="00722521" w:rsidRDefault="00BA160A" w:rsidP="00167789">
      <w:pPr>
        <w:pStyle w:val="Textkrper"/>
        <w:ind w:left="0"/>
        <w:mirrorIndents/>
        <w:rPr>
          <w:rFonts w:ascii="Verdana" w:hAnsi="Verdana"/>
          <w:sz w:val="17"/>
          <w:szCs w:val="17"/>
        </w:rPr>
      </w:pPr>
      <w:r w:rsidRPr="00722521">
        <w:rPr>
          <w:rFonts w:ascii="Verdana" w:hAnsi="Verdana"/>
          <w:sz w:val="17"/>
          <w:szCs w:val="17"/>
          <w:highlight w:val="lightGray"/>
        </w:rPr>
        <w:t xml:space="preserve">Please identify the specific piece of legislation in the area of Market infrastructure for which you would increase the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of EU financial legislation and explain:</w:t>
      </w:r>
    </w:p>
    <w:p w14:paraId="1915D00A" w14:textId="7F1BD560" w:rsidR="00BA160A" w:rsidRPr="00722521" w:rsidRDefault="00BA160A" w:rsidP="00A903E6">
      <w:pPr>
        <w:mirrorIndents/>
        <w:rPr>
          <w:sz w:val="17"/>
          <w:szCs w:val="17"/>
        </w:rPr>
      </w:pPr>
    </w:p>
    <w:p w14:paraId="061D6A31" w14:textId="77777777" w:rsidR="00C71274" w:rsidRPr="00722521" w:rsidRDefault="00C71274" w:rsidP="00C71274">
      <w:pPr>
        <w:mirrorIndents/>
        <w:rPr>
          <w:sz w:val="17"/>
          <w:szCs w:val="17"/>
        </w:rPr>
      </w:pPr>
      <w:r w:rsidRPr="00722521">
        <w:rPr>
          <w:sz w:val="17"/>
          <w:szCs w:val="17"/>
        </w:rPr>
        <w:t>N/A</w:t>
      </w:r>
    </w:p>
    <w:p w14:paraId="1060F0B9" w14:textId="77777777" w:rsidR="00167789" w:rsidRPr="00722521" w:rsidRDefault="00167789" w:rsidP="00A903E6">
      <w:pPr>
        <w:mirrorIndents/>
        <w:rPr>
          <w:sz w:val="17"/>
          <w:szCs w:val="17"/>
        </w:rPr>
      </w:pPr>
    </w:p>
    <w:p w14:paraId="74DAC188" w14:textId="77777777" w:rsidR="00BA160A" w:rsidRPr="00722521" w:rsidRDefault="00BA160A" w:rsidP="00167789">
      <w:pPr>
        <w:pStyle w:val="Textkrper"/>
        <w:ind w:left="0"/>
        <w:mirrorIndents/>
        <w:rPr>
          <w:rFonts w:ascii="Verdana" w:hAnsi="Verdana"/>
          <w:sz w:val="17"/>
          <w:szCs w:val="17"/>
        </w:rPr>
      </w:pPr>
      <w:r w:rsidRPr="00722521">
        <w:rPr>
          <w:rFonts w:ascii="Verdana" w:hAnsi="Verdana"/>
          <w:sz w:val="17"/>
          <w:szCs w:val="17"/>
          <w:highlight w:val="lightGray"/>
        </w:rPr>
        <w:t>Please explain the legislative approach (omnibus vs targeted reviews) in the area of Market infrastructure:</w:t>
      </w:r>
    </w:p>
    <w:p w14:paraId="61B536C2" w14:textId="614FF2B1" w:rsidR="00BA160A" w:rsidRPr="00722521" w:rsidRDefault="00BA160A" w:rsidP="00A903E6">
      <w:pPr>
        <w:mirrorIndents/>
        <w:rPr>
          <w:sz w:val="17"/>
          <w:szCs w:val="17"/>
        </w:rPr>
      </w:pPr>
    </w:p>
    <w:p w14:paraId="77B61C91" w14:textId="77777777" w:rsidR="00C71274" w:rsidRPr="00722521" w:rsidRDefault="00C71274" w:rsidP="00C71274">
      <w:pPr>
        <w:mirrorIndents/>
        <w:rPr>
          <w:sz w:val="17"/>
          <w:szCs w:val="17"/>
        </w:rPr>
      </w:pPr>
      <w:r w:rsidRPr="00722521">
        <w:rPr>
          <w:sz w:val="17"/>
          <w:szCs w:val="17"/>
        </w:rPr>
        <w:t>N/A</w:t>
      </w:r>
    </w:p>
    <w:p w14:paraId="7DEC3B62" w14:textId="77777777" w:rsidR="00167789" w:rsidRPr="00722521" w:rsidRDefault="00167789" w:rsidP="00A903E6">
      <w:pPr>
        <w:mirrorIndents/>
        <w:rPr>
          <w:sz w:val="17"/>
          <w:szCs w:val="17"/>
        </w:rPr>
      </w:pPr>
    </w:p>
    <w:p w14:paraId="00029BB4" w14:textId="77777777" w:rsidR="00BA160A" w:rsidRPr="00722521" w:rsidRDefault="00BA160A" w:rsidP="00A903E6">
      <w:pPr>
        <w:mirrorIndents/>
        <w:rPr>
          <w:b/>
          <w:sz w:val="17"/>
          <w:szCs w:val="17"/>
        </w:rPr>
      </w:pPr>
      <w:r w:rsidRPr="00722521">
        <w:rPr>
          <w:b/>
          <w:w w:val="105"/>
          <w:sz w:val="17"/>
          <w:szCs w:val="17"/>
        </w:rPr>
        <w:t>Market organisation (MiFID, MIFIR, MAR)</w:t>
      </w:r>
    </w:p>
    <w:p w14:paraId="6F2FEA1B" w14:textId="77777777" w:rsidR="00BA160A" w:rsidRPr="00722521" w:rsidRDefault="00BA160A" w:rsidP="00C71274">
      <w:pPr>
        <w:pStyle w:val="Textkrper"/>
        <w:ind w:left="0"/>
        <w:mirrorIndents/>
        <w:rPr>
          <w:rFonts w:ascii="Verdana" w:hAnsi="Verdana"/>
          <w:sz w:val="17"/>
          <w:szCs w:val="17"/>
        </w:rPr>
      </w:pPr>
      <w:r w:rsidRPr="00722521">
        <w:rPr>
          <w:rFonts w:ascii="Verdana" w:hAnsi="Verdana"/>
          <w:sz w:val="17"/>
          <w:szCs w:val="17"/>
          <w:highlight w:val="lightGray"/>
        </w:rPr>
        <w:t xml:space="preserve">Please identify the specific piece of legislation in the area of Market </w:t>
      </w:r>
      <w:proofErr w:type="spellStart"/>
      <w:r w:rsidRPr="00722521">
        <w:rPr>
          <w:rFonts w:ascii="Verdana" w:hAnsi="Verdana"/>
          <w:sz w:val="17"/>
          <w:szCs w:val="17"/>
          <w:highlight w:val="lightGray"/>
        </w:rPr>
        <w:t>organisation</w:t>
      </w:r>
      <w:proofErr w:type="spellEnd"/>
      <w:r w:rsidRPr="00722521">
        <w:rPr>
          <w:rFonts w:ascii="Verdana" w:hAnsi="Verdana"/>
          <w:sz w:val="17"/>
          <w:szCs w:val="17"/>
          <w:highlight w:val="lightGray"/>
        </w:rPr>
        <w:t xml:space="preserve"> for which you would increase the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of EU financial legislation and explain:</w:t>
      </w:r>
    </w:p>
    <w:p w14:paraId="7A04AA8F" w14:textId="6B5477B7" w:rsidR="00167789" w:rsidRPr="00722521" w:rsidRDefault="00167789" w:rsidP="00A903E6">
      <w:pPr>
        <w:mirrorIndents/>
        <w:rPr>
          <w:sz w:val="17"/>
          <w:szCs w:val="17"/>
        </w:rPr>
      </w:pPr>
    </w:p>
    <w:p w14:paraId="1B9E8C88" w14:textId="77777777" w:rsidR="00C71274" w:rsidRPr="00722521" w:rsidRDefault="00C71274" w:rsidP="00C71274">
      <w:pPr>
        <w:mirrorIndents/>
        <w:rPr>
          <w:sz w:val="17"/>
          <w:szCs w:val="17"/>
        </w:rPr>
      </w:pPr>
      <w:r w:rsidRPr="00722521">
        <w:rPr>
          <w:sz w:val="17"/>
          <w:szCs w:val="17"/>
        </w:rPr>
        <w:t>N/A</w:t>
      </w:r>
    </w:p>
    <w:p w14:paraId="228192DB" w14:textId="77777777" w:rsidR="00167789" w:rsidRPr="00722521" w:rsidRDefault="00167789" w:rsidP="00A903E6">
      <w:pPr>
        <w:mirrorIndents/>
        <w:rPr>
          <w:sz w:val="17"/>
          <w:szCs w:val="17"/>
        </w:rPr>
      </w:pPr>
    </w:p>
    <w:p w14:paraId="7FC3DD63"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 xml:space="preserve">Please explain the legislative approach (omnibus vs targeted reviews) in the area of Market </w:t>
      </w:r>
      <w:proofErr w:type="spellStart"/>
      <w:r w:rsidRPr="00722521">
        <w:rPr>
          <w:rFonts w:ascii="Verdana" w:hAnsi="Verdana"/>
          <w:sz w:val="17"/>
          <w:szCs w:val="17"/>
          <w:highlight w:val="lightGray"/>
        </w:rPr>
        <w:t>organisation</w:t>
      </w:r>
      <w:proofErr w:type="spellEnd"/>
      <w:r w:rsidRPr="00722521">
        <w:rPr>
          <w:rFonts w:ascii="Verdana" w:hAnsi="Verdana"/>
          <w:sz w:val="17"/>
          <w:szCs w:val="17"/>
          <w:highlight w:val="lightGray"/>
        </w:rPr>
        <w:t>:</w:t>
      </w:r>
    </w:p>
    <w:p w14:paraId="33B0A53B" w14:textId="77777777" w:rsidR="00167789" w:rsidRPr="00722521" w:rsidRDefault="00167789" w:rsidP="00A903E6">
      <w:pPr>
        <w:mirrorIndents/>
        <w:rPr>
          <w:sz w:val="17"/>
          <w:szCs w:val="17"/>
        </w:rPr>
      </w:pPr>
    </w:p>
    <w:p w14:paraId="5282A39F" w14:textId="77777777" w:rsidR="00C71274" w:rsidRPr="00722521" w:rsidRDefault="00C71274" w:rsidP="00C71274">
      <w:pPr>
        <w:mirrorIndents/>
        <w:rPr>
          <w:sz w:val="17"/>
          <w:szCs w:val="17"/>
        </w:rPr>
      </w:pPr>
      <w:r w:rsidRPr="00722521">
        <w:rPr>
          <w:sz w:val="17"/>
          <w:szCs w:val="17"/>
        </w:rPr>
        <w:t>N/A</w:t>
      </w:r>
    </w:p>
    <w:p w14:paraId="0F5FD398" w14:textId="77777777" w:rsidR="00BA160A" w:rsidRPr="00722521" w:rsidRDefault="00BA160A" w:rsidP="00A903E6">
      <w:pPr>
        <w:mirrorIndents/>
        <w:rPr>
          <w:sz w:val="17"/>
          <w:szCs w:val="17"/>
        </w:rPr>
      </w:pPr>
    </w:p>
    <w:p w14:paraId="6A452C2F" w14:textId="77777777" w:rsidR="00BA160A" w:rsidRPr="00722521" w:rsidRDefault="00BA160A" w:rsidP="00A903E6">
      <w:pPr>
        <w:mirrorIndents/>
        <w:rPr>
          <w:b/>
          <w:sz w:val="17"/>
          <w:szCs w:val="17"/>
        </w:rPr>
      </w:pPr>
      <w:r w:rsidRPr="00722521">
        <w:rPr>
          <w:b/>
          <w:w w:val="105"/>
          <w:sz w:val="17"/>
          <w:szCs w:val="17"/>
        </w:rPr>
        <w:lastRenderedPageBreak/>
        <w:t>Other</w:t>
      </w:r>
    </w:p>
    <w:p w14:paraId="3C4C5453"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specify to what other legislative area(s) you refer:</w:t>
      </w:r>
    </w:p>
    <w:p w14:paraId="2349DF97" w14:textId="25DB8D68" w:rsidR="00BA160A" w:rsidRPr="00722521" w:rsidRDefault="00BA160A" w:rsidP="00A903E6">
      <w:pPr>
        <w:mirrorIndents/>
        <w:rPr>
          <w:sz w:val="17"/>
          <w:szCs w:val="17"/>
        </w:rPr>
      </w:pPr>
    </w:p>
    <w:p w14:paraId="5FEE6E36" w14:textId="77777777" w:rsidR="00C71274" w:rsidRPr="00722521" w:rsidRDefault="00C71274" w:rsidP="00C71274">
      <w:pPr>
        <w:mirrorIndents/>
        <w:rPr>
          <w:sz w:val="17"/>
          <w:szCs w:val="17"/>
        </w:rPr>
      </w:pPr>
      <w:r w:rsidRPr="00722521">
        <w:rPr>
          <w:sz w:val="17"/>
          <w:szCs w:val="17"/>
        </w:rPr>
        <w:t>N/A</w:t>
      </w:r>
    </w:p>
    <w:p w14:paraId="1AC9828D" w14:textId="77777777" w:rsidR="00167789" w:rsidRPr="00722521" w:rsidRDefault="00167789" w:rsidP="00A903E6">
      <w:pPr>
        <w:mirrorIndents/>
        <w:rPr>
          <w:sz w:val="17"/>
          <w:szCs w:val="17"/>
        </w:rPr>
      </w:pPr>
    </w:p>
    <w:p w14:paraId="64135874"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 xml:space="preserve">Please identify the specific piece of legislation in this/these other area(s) for which you would increase the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of EU financial legislation and explain:</w:t>
      </w:r>
    </w:p>
    <w:p w14:paraId="0F500B4E" w14:textId="239CE038" w:rsidR="00BA160A" w:rsidRPr="00722521" w:rsidRDefault="00BA160A" w:rsidP="00A903E6">
      <w:pPr>
        <w:mirrorIndents/>
        <w:rPr>
          <w:sz w:val="17"/>
          <w:szCs w:val="17"/>
        </w:rPr>
      </w:pPr>
    </w:p>
    <w:p w14:paraId="54529856" w14:textId="1ADB9AC8" w:rsidR="00167789" w:rsidRPr="00722521" w:rsidRDefault="00167789" w:rsidP="00A903E6">
      <w:pPr>
        <w:mirrorIndents/>
        <w:rPr>
          <w:sz w:val="17"/>
          <w:szCs w:val="17"/>
        </w:rPr>
      </w:pPr>
    </w:p>
    <w:p w14:paraId="75CD9D28" w14:textId="09E4AF94" w:rsidR="00167789" w:rsidRPr="00722521" w:rsidRDefault="00167789" w:rsidP="00A903E6">
      <w:pPr>
        <w:mirrorIndents/>
        <w:rPr>
          <w:sz w:val="17"/>
          <w:szCs w:val="17"/>
        </w:rPr>
      </w:pPr>
    </w:p>
    <w:p w14:paraId="2530706C" w14:textId="77777777" w:rsidR="00167789" w:rsidRPr="00722521" w:rsidRDefault="00167789" w:rsidP="00A903E6">
      <w:pPr>
        <w:mirrorIndents/>
        <w:rPr>
          <w:sz w:val="17"/>
          <w:szCs w:val="17"/>
        </w:rPr>
      </w:pPr>
    </w:p>
    <w:p w14:paraId="662D0629" w14:textId="4F095DF1"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Please explain the legislative approach (omnibus vs targeted reviews) in this</w:t>
      </w:r>
      <w:r w:rsidR="001A1012" w:rsidRPr="00722521">
        <w:rPr>
          <w:rFonts w:ascii="Verdana" w:hAnsi="Verdana"/>
          <w:sz w:val="17"/>
          <w:szCs w:val="17"/>
          <w:highlight w:val="lightGray"/>
        </w:rPr>
        <w:t xml:space="preserve"> </w:t>
      </w:r>
      <w:r w:rsidRPr="00722521">
        <w:rPr>
          <w:rFonts w:ascii="Verdana" w:hAnsi="Verdana"/>
          <w:sz w:val="17"/>
          <w:szCs w:val="17"/>
          <w:highlight w:val="lightGray"/>
        </w:rPr>
        <w:t>/these other area(s):</w:t>
      </w:r>
    </w:p>
    <w:p w14:paraId="4B83B738" w14:textId="14BB5BE7" w:rsidR="00BA160A" w:rsidRPr="00722521" w:rsidRDefault="00BA160A" w:rsidP="00A903E6">
      <w:pPr>
        <w:mirrorIndents/>
        <w:rPr>
          <w:sz w:val="17"/>
          <w:szCs w:val="17"/>
        </w:rPr>
      </w:pPr>
    </w:p>
    <w:p w14:paraId="097EC057" w14:textId="7FFF6711" w:rsidR="00167789" w:rsidRPr="00722521" w:rsidRDefault="00C71274" w:rsidP="00A903E6">
      <w:pPr>
        <w:mirrorIndents/>
        <w:rPr>
          <w:sz w:val="17"/>
          <w:szCs w:val="17"/>
        </w:rPr>
      </w:pPr>
      <w:r w:rsidRPr="00722521">
        <w:rPr>
          <w:sz w:val="17"/>
          <w:szCs w:val="17"/>
        </w:rPr>
        <w:t>N/A</w:t>
      </w:r>
    </w:p>
    <w:p w14:paraId="27FDCF4C" w14:textId="77777777" w:rsidR="00167789" w:rsidRPr="00722521" w:rsidRDefault="00167789" w:rsidP="00A903E6">
      <w:pPr>
        <w:mirrorIndents/>
        <w:rPr>
          <w:sz w:val="17"/>
          <w:szCs w:val="17"/>
        </w:rPr>
      </w:pPr>
    </w:p>
    <w:p w14:paraId="1718AF38" w14:textId="77777777" w:rsidR="00BA160A" w:rsidRPr="00722521" w:rsidRDefault="00BA160A" w:rsidP="001A1012">
      <w:pPr>
        <w:pStyle w:val="Textkrper"/>
        <w:ind w:left="0"/>
        <w:mirrorIndents/>
        <w:rPr>
          <w:rFonts w:ascii="Verdana" w:hAnsi="Verdana"/>
          <w:sz w:val="17"/>
          <w:szCs w:val="17"/>
        </w:rPr>
      </w:pPr>
      <w:r w:rsidRPr="00722521">
        <w:rPr>
          <w:rFonts w:ascii="Verdana" w:hAnsi="Verdana"/>
          <w:sz w:val="17"/>
          <w:szCs w:val="17"/>
          <w:highlight w:val="lightGray"/>
        </w:rPr>
        <w:t xml:space="preserve">Please explain how </w:t>
      </w:r>
      <w:proofErr w:type="gramStart"/>
      <w:r w:rsidRPr="00722521">
        <w:rPr>
          <w:rFonts w:ascii="Verdana" w:hAnsi="Verdana"/>
          <w:sz w:val="17"/>
          <w:szCs w:val="17"/>
          <w:highlight w:val="lightGray"/>
        </w:rPr>
        <w:t>would you</w:t>
      </w:r>
      <w:proofErr w:type="gramEnd"/>
      <w:r w:rsidRPr="00722521">
        <w:rPr>
          <w:rFonts w:ascii="Verdana" w:hAnsi="Verdana"/>
          <w:sz w:val="17"/>
          <w:szCs w:val="17"/>
          <w:highlight w:val="lightGray"/>
        </w:rPr>
        <w:t xml:space="preserve"> increase the degree of </w:t>
      </w:r>
      <w:proofErr w:type="spellStart"/>
      <w:r w:rsidRPr="00722521">
        <w:rPr>
          <w:rFonts w:ascii="Verdana" w:hAnsi="Verdana"/>
          <w:sz w:val="17"/>
          <w:szCs w:val="17"/>
          <w:highlight w:val="lightGray"/>
        </w:rPr>
        <w:t>harmonisation</w:t>
      </w:r>
      <w:proofErr w:type="spellEnd"/>
      <w:r w:rsidRPr="00722521">
        <w:rPr>
          <w:rFonts w:ascii="Verdana" w:hAnsi="Verdana"/>
          <w:sz w:val="17"/>
          <w:szCs w:val="17"/>
          <w:highlight w:val="lightGray"/>
        </w:rPr>
        <w:t xml:space="preserve"> of EU financial legislation in a targeted manner through individual sectoral reviews:</w:t>
      </w:r>
    </w:p>
    <w:p w14:paraId="5698D12E" w14:textId="6EAAD8FE" w:rsidR="00167789" w:rsidRPr="00722521" w:rsidRDefault="00167789" w:rsidP="00A903E6">
      <w:pPr>
        <w:mirrorIndents/>
        <w:rPr>
          <w:sz w:val="17"/>
          <w:szCs w:val="17"/>
        </w:rPr>
      </w:pPr>
    </w:p>
    <w:p w14:paraId="656D0209" w14:textId="5847DDE8" w:rsidR="00EE7E24" w:rsidRPr="00722521" w:rsidRDefault="00722521" w:rsidP="00EE7E24">
      <w:pPr>
        <w:mirrorIndents/>
        <w:rPr>
          <w:sz w:val="17"/>
          <w:szCs w:val="17"/>
        </w:rPr>
      </w:pPr>
      <w:r>
        <w:rPr>
          <w:sz w:val="17"/>
          <w:szCs w:val="17"/>
        </w:rPr>
        <w:t>VVO</w:t>
      </w:r>
      <w:r w:rsidR="00EE7E24" w:rsidRPr="00722521">
        <w:rPr>
          <w:sz w:val="17"/>
          <w:szCs w:val="17"/>
        </w:rPr>
        <w:t xml:space="preserve"> believes that a targeted approach is more appropriate. While </w:t>
      </w:r>
      <w:r w:rsidR="00C71274" w:rsidRPr="00722521">
        <w:rPr>
          <w:sz w:val="17"/>
          <w:szCs w:val="17"/>
        </w:rPr>
        <w:t>it</w:t>
      </w:r>
      <w:r w:rsidR="00EE7E24" w:rsidRPr="00722521">
        <w:rPr>
          <w:sz w:val="17"/>
          <w:szCs w:val="17"/>
        </w:rPr>
        <w:t xml:space="preserve"> agrees to the idea of setting the three ESAs up in parallel</w:t>
      </w:r>
      <w:r w:rsidR="00C71274" w:rsidRPr="00722521">
        <w:rPr>
          <w:sz w:val="17"/>
          <w:szCs w:val="17"/>
        </w:rPr>
        <w:t>,</w:t>
      </w:r>
      <w:r w:rsidR="00EE7E24" w:rsidRPr="00722521">
        <w:rPr>
          <w:sz w:val="17"/>
          <w:szCs w:val="17"/>
        </w:rPr>
        <w:t xml:space="preserve"> the differences in their development justify a more tailored approach. Already during the 2019 ESA Review, the holistic approach taken created some confusion and limits.</w:t>
      </w:r>
    </w:p>
    <w:p w14:paraId="21F3F08F" w14:textId="77777777" w:rsidR="00EE7E24" w:rsidRPr="00722521" w:rsidRDefault="00EE7E24" w:rsidP="00EE7E24">
      <w:pPr>
        <w:mirrorIndents/>
        <w:rPr>
          <w:sz w:val="17"/>
          <w:szCs w:val="17"/>
        </w:rPr>
      </w:pPr>
    </w:p>
    <w:p w14:paraId="266056E6" w14:textId="77777777" w:rsidR="00EE7E24" w:rsidRPr="00722521" w:rsidRDefault="00EE7E24" w:rsidP="00EE7E24">
      <w:pPr>
        <w:mirrorIndents/>
        <w:rPr>
          <w:sz w:val="17"/>
          <w:szCs w:val="17"/>
        </w:rPr>
      </w:pPr>
      <w:r w:rsidRPr="00722521">
        <w:rPr>
          <w:sz w:val="17"/>
          <w:szCs w:val="17"/>
        </w:rPr>
        <w:t>In addition, products and markets across the financial services sector differ significantly and so does the state of regulatory integration. Therefore, a targeted approach is necessary. Nonetheless, these targeted approaches should have the common objective of further integration of the EU single market fostering fair competition and consistent consumer protection across the Union.</w:t>
      </w:r>
    </w:p>
    <w:p w14:paraId="58F26AD4" w14:textId="77777777" w:rsidR="00EE7E24" w:rsidRPr="00722521" w:rsidRDefault="00EE7E24" w:rsidP="00EE7E24">
      <w:pPr>
        <w:mirrorIndents/>
        <w:rPr>
          <w:sz w:val="17"/>
          <w:szCs w:val="17"/>
        </w:rPr>
      </w:pPr>
    </w:p>
    <w:p w14:paraId="66F92679" w14:textId="77777777" w:rsidR="00EE7E24" w:rsidRPr="00722521" w:rsidRDefault="00EE7E24" w:rsidP="00EE7E24">
      <w:pPr>
        <w:mirrorIndents/>
        <w:rPr>
          <w:sz w:val="17"/>
          <w:szCs w:val="17"/>
        </w:rPr>
      </w:pPr>
      <w:r w:rsidRPr="00722521">
        <w:rPr>
          <w:sz w:val="17"/>
          <w:szCs w:val="17"/>
        </w:rPr>
        <w:t>For the insurance industry the ongoing review of the prudential supervisory framework Solvency II is the perfect opportunity to drive regulatory and supervisory convergence further and to remove barriers to the single market. It needs to be ensured that a level-playing field will finally exist between market participants across the Union notwithstanding their business model or their location.</w:t>
      </w:r>
    </w:p>
    <w:p w14:paraId="2B538149" w14:textId="3929D851" w:rsidR="00167789" w:rsidRPr="00722521" w:rsidRDefault="00167789" w:rsidP="00A903E6">
      <w:pPr>
        <w:mirrorIndents/>
        <w:rPr>
          <w:sz w:val="17"/>
          <w:szCs w:val="17"/>
        </w:rPr>
      </w:pPr>
    </w:p>
    <w:bookmarkEnd w:id="1"/>
    <w:p w14:paraId="155C6695" w14:textId="423364D4" w:rsidR="00167789" w:rsidRPr="00722521" w:rsidRDefault="00167789" w:rsidP="00A903E6">
      <w:pPr>
        <w:mirrorIndents/>
        <w:rPr>
          <w:sz w:val="17"/>
          <w:szCs w:val="17"/>
        </w:rPr>
      </w:pPr>
    </w:p>
    <w:sectPr w:rsidR="00167789" w:rsidRPr="00722521" w:rsidSect="007C5EC6">
      <w:headerReference w:type="even" r:id="rId23"/>
      <w:headerReference w:type="default" r:id="rId24"/>
      <w:footerReference w:type="even" r:id="rId25"/>
      <w:footerReference w:type="default" r:id="rId26"/>
      <w:headerReference w:type="first" r:id="rId27"/>
      <w:pgSz w:w="11907" w:h="16839" w:code="9"/>
      <w:pgMar w:top="2336" w:right="902" w:bottom="1077" w:left="1474" w:header="709" w:footer="2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88E00" w14:textId="77777777" w:rsidR="00E311DF" w:rsidRDefault="00E311DF">
      <w:pPr>
        <w:spacing w:line="240" w:lineRule="auto"/>
      </w:pPr>
      <w:r>
        <w:separator/>
      </w:r>
    </w:p>
    <w:p w14:paraId="7CBC7A1A" w14:textId="77777777" w:rsidR="00E311DF" w:rsidRDefault="00E311DF"/>
  </w:endnote>
  <w:endnote w:type="continuationSeparator" w:id="0">
    <w:p w14:paraId="0C71C2C8" w14:textId="77777777" w:rsidR="00E311DF" w:rsidRDefault="00E311DF">
      <w:pPr>
        <w:spacing w:line="240" w:lineRule="auto"/>
      </w:pPr>
      <w:r>
        <w:continuationSeparator/>
      </w:r>
    </w:p>
    <w:p w14:paraId="034A2E74" w14:textId="77777777" w:rsidR="00E311DF" w:rsidRDefault="00E311DF"/>
  </w:endnote>
  <w:endnote w:type="continuationNotice" w:id="1">
    <w:p w14:paraId="17198170" w14:textId="77777777" w:rsidR="00E311DF" w:rsidRDefault="00E311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Frutiger LT Std 55 Roman">
    <w:altName w:val="Calibri"/>
    <w:panose1 w:val="00000000000000000000"/>
    <w:charset w:val="00"/>
    <w:family w:val="swiss"/>
    <w:notTrueType/>
    <w:pitch w:val="variable"/>
    <w:sig w:usb0="800000AF" w:usb1="4000204A" w:usb2="00000000" w:usb3="00000000" w:csb0="00000001" w:csb1="00000000"/>
  </w:font>
  <w:font w:name="Frutiger LT Com 45 Light">
    <w:altName w:val="Corbel"/>
    <w:charset w:val="00"/>
    <w:family w:val="swiss"/>
    <w:pitch w:val="variable"/>
    <w:sig w:usb0="00000001" w:usb1="5000204A" w:usb2="00000000" w:usb3="00000000" w:csb0="0000009B"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FA777" w14:textId="77777777" w:rsidR="00E311DF" w:rsidRDefault="00E311DF" w:rsidP="00B74AA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4086F33" w14:textId="77777777" w:rsidR="00E311DF" w:rsidRDefault="00E311DF" w:rsidP="00B74AA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9558308"/>
      <w:docPartObj>
        <w:docPartGallery w:val="Page Numbers (Bottom of Page)"/>
        <w:docPartUnique/>
      </w:docPartObj>
    </w:sdtPr>
    <w:sdtEndPr>
      <w:rPr>
        <w:noProof/>
      </w:rPr>
    </w:sdtEndPr>
    <w:sdtContent>
      <w:p w14:paraId="2B5C77D0" w14:textId="1AA2E8B9" w:rsidR="00E311DF" w:rsidRDefault="00E311DF">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14:paraId="179B6722" w14:textId="77777777" w:rsidR="00E311DF" w:rsidRPr="0085650F" w:rsidRDefault="00E311DF" w:rsidP="00B74AAF">
    <w:pPr>
      <w:tabs>
        <w:tab w:val="right" w:pos="10260"/>
      </w:tabs>
      <w:autoSpaceDE w:val="0"/>
      <w:autoSpaceDN w:val="0"/>
      <w:adjustRightInd w:val="0"/>
      <w:ind w:right="360"/>
      <w:textAlignment w:val="cente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F21DC" w14:textId="77777777" w:rsidR="00E311DF" w:rsidRDefault="00E311DF">
      <w:pPr>
        <w:spacing w:line="240" w:lineRule="auto"/>
      </w:pPr>
      <w:r>
        <w:separator/>
      </w:r>
    </w:p>
    <w:p w14:paraId="4FA2A64D" w14:textId="77777777" w:rsidR="00E311DF" w:rsidRDefault="00E311DF"/>
  </w:footnote>
  <w:footnote w:type="continuationSeparator" w:id="0">
    <w:p w14:paraId="05447E06" w14:textId="77777777" w:rsidR="00E311DF" w:rsidRDefault="00E311DF">
      <w:pPr>
        <w:spacing w:line="240" w:lineRule="auto"/>
      </w:pPr>
      <w:r>
        <w:continuationSeparator/>
      </w:r>
    </w:p>
    <w:p w14:paraId="2FA36FEB" w14:textId="77777777" w:rsidR="00E311DF" w:rsidRDefault="00E311DF"/>
  </w:footnote>
  <w:footnote w:type="continuationNotice" w:id="1">
    <w:p w14:paraId="7AC1720D" w14:textId="77777777" w:rsidR="00E311DF" w:rsidRDefault="00E311DF">
      <w:pPr>
        <w:spacing w:line="240" w:lineRule="auto"/>
      </w:pPr>
    </w:p>
  </w:footnote>
  <w:footnote w:id="2">
    <w:p w14:paraId="391A4443" w14:textId="77777777" w:rsidR="00E311DF" w:rsidRPr="0056247A" w:rsidRDefault="00E311DF" w:rsidP="0056247A">
      <w:pPr>
        <w:mirrorIndents/>
        <w:rPr>
          <w:sz w:val="16"/>
          <w:szCs w:val="16"/>
        </w:rPr>
      </w:pPr>
      <w:r w:rsidRPr="0056247A">
        <w:rPr>
          <w:rStyle w:val="Funotenzeichen"/>
          <w:sz w:val="16"/>
          <w:szCs w:val="16"/>
        </w:rPr>
        <w:footnoteRef/>
      </w:r>
      <w:r w:rsidRPr="0056247A">
        <w:rPr>
          <w:sz w:val="16"/>
          <w:szCs w:val="16"/>
        </w:rPr>
        <w:t xml:space="preserve"> More specifically, question 1788 deals with a request for clarification on whether or not investment management expenses and overhead expenses need to be stressed when calculating the capital requirement for life expense risk:</w:t>
      </w:r>
    </w:p>
    <w:p w14:paraId="3FB99D80" w14:textId="77777777" w:rsidR="00E311DF" w:rsidRPr="0056247A" w:rsidRDefault="00E311DF" w:rsidP="00704566">
      <w:pPr>
        <w:pStyle w:val="CEABullet-Level1"/>
        <w:numPr>
          <w:ilvl w:val="0"/>
          <w:numId w:val="0"/>
        </w:numPr>
        <w:ind w:left="360"/>
        <w:rPr>
          <w:sz w:val="16"/>
          <w:szCs w:val="16"/>
        </w:rPr>
      </w:pPr>
      <w:r w:rsidRPr="0056247A">
        <w:rPr>
          <w:sz w:val="16"/>
          <w:szCs w:val="16"/>
        </w:rPr>
        <w:t>The initial response clarified that ‘for calculating the capital requirement for life expense risk, investment management expenses should not be stressed while overhead expenses should be stressed’.</w:t>
      </w:r>
    </w:p>
    <w:p w14:paraId="4EDC0533" w14:textId="77777777" w:rsidR="00E311DF" w:rsidRPr="0056247A" w:rsidRDefault="00E311DF" w:rsidP="0056247A">
      <w:pPr>
        <w:pStyle w:val="CEABullet-Level1"/>
        <w:rPr>
          <w:sz w:val="16"/>
          <w:szCs w:val="16"/>
        </w:rPr>
      </w:pPr>
      <w:r w:rsidRPr="0056247A">
        <w:rPr>
          <w:sz w:val="16"/>
          <w:szCs w:val="16"/>
        </w:rPr>
        <w:t xml:space="preserve">The updated response (dating 20 March 2020) states that ‘all expenses taken into account into the valuation of the best estimate should be included when calculating the capital requirement for life expense risk’.   </w:t>
      </w:r>
    </w:p>
    <w:p w14:paraId="09459863" w14:textId="13C562E6" w:rsidR="00E311DF" w:rsidRPr="0056247A" w:rsidRDefault="00E311DF" w:rsidP="0056247A">
      <w:pPr>
        <w:pStyle w:val="Funotentext"/>
        <w:rPr>
          <w:rFonts w:ascii="Verdana" w:hAnsi="Verdana"/>
          <w:sz w:val="17"/>
          <w:szCs w:val="17"/>
          <w:lang w:eastAsia="en-US"/>
        </w:rPr>
      </w:pPr>
      <w:r w:rsidRPr="0056247A">
        <w:rPr>
          <w:rFonts w:ascii="Verdana" w:hAnsi="Verdana"/>
          <w:sz w:val="16"/>
          <w:szCs w:val="16"/>
          <w:lang w:eastAsia="en-US"/>
        </w:rPr>
        <w:t>This change does create a problem for (re)insurers because by referring to all expenses, it indicates that even expenses which cannot vary such as acquisition expenses should be included.</w:t>
      </w:r>
      <w:r w:rsidRPr="0056247A">
        <w:rPr>
          <w:rFonts w:ascii="Verdana" w:hAnsi="Verdana"/>
          <w:sz w:val="17"/>
          <w:szCs w:val="17"/>
          <w:lang w:eastAsia="en-US"/>
        </w:rPr>
        <w:t xml:space="preserve">  </w:t>
      </w:r>
    </w:p>
  </w:footnote>
  <w:footnote w:id="3">
    <w:p w14:paraId="4A70950C" w14:textId="77777777" w:rsidR="00E311DF" w:rsidRPr="008F6E16" w:rsidRDefault="00E311DF" w:rsidP="008A74F8">
      <w:pPr>
        <w:pStyle w:val="Funotentext"/>
      </w:pPr>
      <w:r>
        <w:rPr>
          <w:rStyle w:val="Funotenzeichen"/>
        </w:rPr>
        <w:footnoteRef/>
      </w:r>
      <w:r>
        <w:t xml:space="preserve"> </w:t>
      </w:r>
      <w:hyperlink r:id="rId1" w:history="1">
        <w:r w:rsidRPr="00E4133F">
          <w:rPr>
            <w:rStyle w:val="Hyperlink"/>
          </w:rPr>
          <w:t>https://www.eiopa.europa.eu/content/opinion-supervision-remuneration-principles-insurance-and-reinsurance-sector</w:t>
        </w:r>
      </w:hyperlink>
      <w:r w:rsidRPr="008F6E16">
        <w:t xml:space="preserve">. </w:t>
      </w:r>
    </w:p>
  </w:footnote>
  <w:footnote w:id="4">
    <w:p w14:paraId="5C12BFB4" w14:textId="77777777" w:rsidR="00E311DF" w:rsidRPr="008F6E16" w:rsidRDefault="00E311DF" w:rsidP="008A74F8">
      <w:pPr>
        <w:pStyle w:val="Funotentext"/>
      </w:pPr>
      <w:r>
        <w:rPr>
          <w:rStyle w:val="Funotenzeichen"/>
        </w:rPr>
        <w:footnoteRef/>
      </w:r>
      <w:r w:rsidRPr="008F6E16">
        <w:t xml:space="preserve"> </w:t>
      </w:r>
      <w:hyperlink r:id="rId2" w:history="1">
        <w:r w:rsidRPr="008F6E16">
          <w:rPr>
            <w:rStyle w:val="Hyperlink"/>
          </w:rPr>
          <w:t>https://www.eiopa.europa.eu/content/non-life-cross-border-insurance-business-long-term-nature-and-its-supervision</w:t>
        </w:r>
      </w:hyperlink>
      <w:r w:rsidRPr="008F6E16">
        <w:t xml:space="preserve">. </w:t>
      </w:r>
    </w:p>
  </w:footnote>
  <w:footnote w:id="5">
    <w:p w14:paraId="56514E21" w14:textId="77777777" w:rsidR="00E311DF" w:rsidRPr="008F6E16" w:rsidRDefault="00E311DF" w:rsidP="008A74F8">
      <w:pPr>
        <w:pStyle w:val="Funotentext"/>
      </w:pPr>
      <w:r>
        <w:rPr>
          <w:rStyle w:val="Funotenzeichen"/>
        </w:rPr>
        <w:footnoteRef/>
      </w:r>
      <w:r w:rsidRPr="008F6E16">
        <w:t xml:space="preserve"> </w:t>
      </w:r>
      <w:hyperlink r:id="rId3" w:history="1">
        <w:r w:rsidRPr="008F6E16">
          <w:rPr>
            <w:rStyle w:val="Hyperlink"/>
          </w:rPr>
          <w:t>https://www.eiopa.europa.eu/content/peer-review-eiopa-decision-collaboration-insurance-supervisory-authorities_en</w:t>
        </w:r>
      </w:hyperlink>
      <w:r w:rsidRPr="008F6E16">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A2E41" w14:textId="64958F1D" w:rsidR="00E311DF" w:rsidRDefault="00E311D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157A" w14:textId="58A03D33" w:rsidR="00E311DF" w:rsidRPr="00323E1C" w:rsidRDefault="00E311DF" w:rsidP="00B74AAF">
    <w:pPr>
      <w:pStyle w:val="Noparagraphstyle"/>
      <w:jc w:val="right"/>
      <w:rPr>
        <w:rFonts w:ascii="Verdana" w:hAnsi="Verdana"/>
        <w:sz w:val="18"/>
        <w:szCs w:val="18"/>
      </w:rPr>
    </w:pPr>
  </w:p>
  <w:p w14:paraId="12B55158" w14:textId="77777777" w:rsidR="00E311DF" w:rsidRPr="00A903E6" w:rsidRDefault="00E311DF" w:rsidP="00A903E6">
    <w:pPr>
      <w:mirrorIndents/>
      <w:jc w:val="right"/>
      <w:rPr>
        <w:b/>
        <w:bCs/>
        <w:color w:val="FF000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5E665" w14:textId="6E0169FB" w:rsidR="00E311DF" w:rsidRDefault="00E311DF" w:rsidP="00B74AAF">
    <w:pPr>
      <w:rPr>
        <w:color w:val="002957"/>
        <w:lang w:val="en-US"/>
      </w:rPr>
    </w:pPr>
    <w:r>
      <w:rPr>
        <w:noProof/>
        <w:lang w:val="de-AT" w:eastAsia="de-AT"/>
      </w:rPr>
      <w:drawing>
        <wp:inline distT="0" distB="0" distL="0" distR="0" wp14:anchorId="474BBB6B" wp14:editId="3F61CDD0">
          <wp:extent cx="3055620" cy="63035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VOlogomitZusatz_300dpi.jpg"/>
                  <pic:cNvPicPr/>
                </pic:nvPicPr>
                <pic:blipFill>
                  <a:blip r:embed="rId1">
                    <a:extLst>
                      <a:ext uri="{28A0092B-C50C-407E-A947-70E740481C1C}">
                        <a14:useLocalDpi xmlns:a14="http://schemas.microsoft.com/office/drawing/2010/main" val="0"/>
                      </a:ext>
                    </a:extLst>
                  </a:blip>
                  <a:stretch>
                    <a:fillRect/>
                  </a:stretch>
                </pic:blipFill>
                <pic:spPr>
                  <a:xfrm>
                    <a:off x="0" y="0"/>
                    <a:ext cx="3074601" cy="634268"/>
                  </a:xfrm>
                  <a:prstGeom prst="rect">
                    <a:avLst/>
                  </a:prstGeom>
                </pic:spPr>
              </pic:pic>
            </a:graphicData>
          </a:graphic>
        </wp:inline>
      </w:drawing>
    </w:r>
  </w:p>
  <w:p w14:paraId="69FE94DE" w14:textId="77777777" w:rsidR="00E311DF" w:rsidRDefault="00E311DF" w:rsidP="00B74AAF">
    <w:pPr>
      <w:rPr>
        <w:color w:val="002957"/>
        <w:lang w:val="en-US"/>
      </w:rPr>
    </w:pPr>
  </w:p>
  <w:p w14:paraId="66A1F358" w14:textId="77777777" w:rsidR="00E311DF" w:rsidRPr="00D74967" w:rsidRDefault="00E311DF" w:rsidP="00B74AAF">
    <w:pPr>
      <w:rPr>
        <w:color w:val="002957"/>
        <w:lang w:val="en-US"/>
      </w:rPr>
    </w:pPr>
  </w:p>
  <w:p w14:paraId="15B481B1" w14:textId="2E4BE316" w:rsidR="00E311DF" w:rsidRPr="00CC0C48" w:rsidRDefault="00E311DF" w:rsidP="00347D50">
    <w:pPr>
      <w:ind w:left="567"/>
      <w:rPr>
        <w:b/>
        <w:sz w:val="28"/>
        <w:szCs w:val="28"/>
        <w:lang w:val="en-US"/>
      </w:rPr>
    </w:pPr>
    <w:r w:rsidRPr="00CC0C48">
      <w:rPr>
        <w:sz w:val="28"/>
        <w:szCs w:val="28"/>
      </w:rPr>
      <w:t>VVO response to ESAs on supervisory convergence and the single rulebook</w:t>
    </w:r>
  </w:p>
  <w:p w14:paraId="48E02457" w14:textId="77777777" w:rsidR="00E311DF" w:rsidRPr="00D74967" w:rsidRDefault="00E311DF" w:rsidP="00B74AAF">
    <w:pPr>
      <w:rPr>
        <w:lang w:val="en-US"/>
      </w:rPr>
    </w:pPr>
  </w:p>
  <w:p w14:paraId="3A20423D" w14:textId="77777777" w:rsidR="00E311DF" w:rsidRPr="000D41DA" w:rsidRDefault="00E311DF" w:rsidP="00B74AAF">
    <w:pPr>
      <w:rPr>
        <w:b/>
        <w:sz w:val="22"/>
        <w:szCs w:val="22"/>
      </w:rPr>
    </w:pPr>
  </w:p>
  <w:p w14:paraId="0299F3F5" w14:textId="77777777" w:rsidR="00E311DF" w:rsidRPr="000D41DA" w:rsidRDefault="00E311DF" w:rsidP="00B74A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25pt;height:11.25pt" o:bullet="t">
        <v:imagedata r:id="rId1" o:title="CEA - Bullets Rounded Squares_BulletLevel1_forMS"/>
      </v:shape>
    </w:pict>
  </w:numPicBullet>
  <w:numPicBullet w:numPicBulletId="1">
    <w:pict>
      <v:shape id="_x0000_i1066" type="#_x0000_t75" style="width:7.5pt;height:7.5pt" o:bullet="t">
        <v:imagedata r:id="rId2" o:title="CEA - Bullets Rounded Squares_BulletLevel2_forMS"/>
      </v:shape>
    </w:pict>
  </w:numPicBullet>
  <w:numPicBullet w:numPicBulletId="2">
    <w:pict>
      <v:shape id="_x0000_i1067" type="#_x0000_t75" style="width:9pt;height:9pt" o:bullet="t">
        <v:imagedata r:id="rId3" o:title="CEA - Bullets Rounded Squares_BulletLevel3_forMS"/>
      </v:shape>
    </w:pict>
  </w:numPicBullet>
  <w:abstractNum w:abstractNumId="0" w15:restartNumberingAfterBreak="0">
    <w:nsid w:val="00D51DDB"/>
    <w:multiLevelType w:val="hybridMultilevel"/>
    <w:tmpl w:val="E9C00216"/>
    <w:lvl w:ilvl="0" w:tplc="7C5A0FBE">
      <w:start w:val="1"/>
      <w:numFmt w:val="decimal"/>
      <w:lvlText w:val="%1"/>
      <w:lvlJc w:val="left"/>
      <w:pPr>
        <w:ind w:left="760" w:hanging="226"/>
      </w:pPr>
      <w:rPr>
        <w:rFonts w:ascii="Verdana" w:eastAsia="Arial" w:hAnsi="Verdana" w:cs="Arial"/>
        <w:w w:val="99"/>
        <w:sz w:val="17"/>
        <w:szCs w:val="17"/>
      </w:rPr>
    </w:lvl>
    <w:lvl w:ilvl="1" w:tplc="171003E2">
      <w:numFmt w:val="bullet"/>
      <w:lvlText w:val="•"/>
      <w:lvlJc w:val="left"/>
      <w:pPr>
        <w:ind w:left="1714" w:hanging="226"/>
      </w:pPr>
    </w:lvl>
    <w:lvl w:ilvl="2" w:tplc="2DA0BB8E">
      <w:numFmt w:val="bullet"/>
      <w:lvlText w:val="•"/>
      <w:lvlJc w:val="left"/>
      <w:pPr>
        <w:ind w:left="2669" w:hanging="226"/>
      </w:pPr>
    </w:lvl>
    <w:lvl w:ilvl="3" w:tplc="D030727A">
      <w:numFmt w:val="bullet"/>
      <w:lvlText w:val="•"/>
      <w:lvlJc w:val="left"/>
      <w:pPr>
        <w:ind w:left="3623" w:hanging="226"/>
      </w:pPr>
    </w:lvl>
    <w:lvl w:ilvl="4" w:tplc="2766E834">
      <w:numFmt w:val="bullet"/>
      <w:lvlText w:val="•"/>
      <w:lvlJc w:val="left"/>
      <w:pPr>
        <w:ind w:left="4578" w:hanging="226"/>
      </w:pPr>
    </w:lvl>
    <w:lvl w:ilvl="5" w:tplc="9350D0B6">
      <w:numFmt w:val="bullet"/>
      <w:lvlText w:val="•"/>
      <w:lvlJc w:val="left"/>
      <w:pPr>
        <w:ind w:left="5532" w:hanging="226"/>
      </w:pPr>
    </w:lvl>
    <w:lvl w:ilvl="6" w:tplc="91E6A404">
      <w:numFmt w:val="bullet"/>
      <w:lvlText w:val="•"/>
      <w:lvlJc w:val="left"/>
      <w:pPr>
        <w:ind w:left="6487" w:hanging="226"/>
      </w:pPr>
    </w:lvl>
    <w:lvl w:ilvl="7" w:tplc="C9B6DEB6">
      <w:numFmt w:val="bullet"/>
      <w:lvlText w:val="•"/>
      <w:lvlJc w:val="left"/>
      <w:pPr>
        <w:ind w:left="7441" w:hanging="226"/>
      </w:pPr>
    </w:lvl>
    <w:lvl w:ilvl="8" w:tplc="7076C448">
      <w:numFmt w:val="bullet"/>
      <w:lvlText w:val="•"/>
      <w:lvlJc w:val="left"/>
      <w:pPr>
        <w:ind w:left="8396" w:hanging="226"/>
      </w:pPr>
    </w:lvl>
  </w:abstractNum>
  <w:abstractNum w:abstractNumId="1" w15:restartNumberingAfterBreak="0">
    <w:nsid w:val="03FA472B"/>
    <w:multiLevelType w:val="multilevel"/>
    <w:tmpl w:val="4D2E55C2"/>
    <w:lvl w:ilvl="0">
      <w:start w:val="1"/>
      <w:numFmt w:val="decimal"/>
      <w:lvlText w:val="%1."/>
      <w:lvlJc w:val="left"/>
      <w:pPr>
        <w:ind w:left="2227" w:hanging="384"/>
      </w:pPr>
      <w:rPr>
        <w:rFonts w:ascii="Verdana" w:eastAsia="Arial" w:hAnsi="Verdana" w:cs="Arial" w:hint="default"/>
        <w:b/>
        <w:bCs/>
        <w:color w:val="17365D" w:themeColor="text2" w:themeShade="BF"/>
        <w:w w:val="101"/>
        <w:sz w:val="17"/>
        <w:szCs w:val="17"/>
      </w:rPr>
    </w:lvl>
    <w:lvl w:ilvl="1">
      <w:start w:val="1"/>
      <w:numFmt w:val="decimal"/>
      <w:lvlText w:val="%1.%2"/>
      <w:lvlJc w:val="left"/>
      <w:pPr>
        <w:ind w:left="4704" w:hanging="451"/>
      </w:pPr>
      <w:rPr>
        <w:rFonts w:ascii="Verdana" w:eastAsia="Arial" w:hAnsi="Verdana" w:cs="Arial" w:hint="default"/>
        <w:b/>
        <w:bCs/>
        <w:color w:val="17365D" w:themeColor="text2" w:themeShade="BF"/>
        <w:w w:val="99"/>
        <w:sz w:val="17"/>
        <w:szCs w:val="17"/>
      </w:rPr>
    </w:lvl>
    <w:lvl w:ilvl="2">
      <w:numFmt w:val="bullet"/>
      <w:lvlText w:val="•"/>
      <w:lvlJc w:val="left"/>
      <w:pPr>
        <w:ind w:left="2489" w:hanging="451"/>
      </w:pPr>
    </w:lvl>
    <w:lvl w:ilvl="3">
      <w:numFmt w:val="bullet"/>
      <w:lvlText w:val="•"/>
      <w:lvlJc w:val="left"/>
      <w:pPr>
        <w:ind w:left="2709" w:hanging="451"/>
      </w:pPr>
    </w:lvl>
    <w:lvl w:ilvl="4">
      <w:numFmt w:val="bullet"/>
      <w:lvlText w:val="•"/>
      <w:lvlJc w:val="left"/>
      <w:pPr>
        <w:ind w:left="4041" w:hanging="451"/>
      </w:pPr>
    </w:lvl>
    <w:lvl w:ilvl="5">
      <w:numFmt w:val="bullet"/>
      <w:lvlText w:val="•"/>
      <w:lvlJc w:val="left"/>
      <w:pPr>
        <w:ind w:left="5373" w:hanging="451"/>
      </w:pPr>
    </w:lvl>
    <w:lvl w:ilvl="6">
      <w:numFmt w:val="bullet"/>
      <w:lvlText w:val="•"/>
      <w:lvlJc w:val="left"/>
      <w:pPr>
        <w:ind w:left="6705" w:hanging="451"/>
      </w:pPr>
    </w:lvl>
    <w:lvl w:ilvl="7">
      <w:numFmt w:val="bullet"/>
      <w:lvlText w:val="•"/>
      <w:lvlJc w:val="left"/>
      <w:pPr>
        <w:ind w:left="8037" w:hanging="451"/>
      </w:pPr>
    </w:lvl>
    <w:lvl w:ilvl="8">
      <w:numFmt w:val="bullet"/>
      <w:lvlText w:val="•"/>
      <w:lvlJc w:val="left"/>
      <w:pPr>
        <w:ind w:left="9370" w:hanging="451"/>
      </w:pPr>
    </w:lvl>
  </w:abstractNum>
  <w:abstractNum w:abstractNumId="2" w15:restartNumberingAfterBreak="0">
    <w:nsid w:val="04C52655"/>
    <w:multiLevelType w:val="hybridMultilevel"/>
    <w:tmpl w:val="1DCA3F54"/>
    <w:lvl w:ilvl="0" w:tplc="C1AC71CC">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9C2F86"/>
    <w:multiLevelType w:val="hybridMultilevel"/>
    <w:tmpl w:val="45B48B02"/>
    <w:lvl w:ilvl="0" w:tplc="2C6C8120">
      <w:start w:val="2"/>
      <w:numFmt w:val="bullet"/>
      <w:lvlText w:val=""/>
      <w:lvlJc w:val="left"/>
      <w:pPr>
        <w:ind w:left="720" w:hanging="360"/>
      </w:pPr>
      <w:rPr>
        <w:rFonts w:ascii="Wingdings" w:eastAsia="Calibri" w:hAnsi="Wingdings"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054071E"/>
    <w:multiLevelType w:val="hybridMultilevel"/>
    <w:tmpl w:val="EBE65710"/>
    <w:lvl w:ilvl="0" w:tplc="A0240652">
      <w:start w:val="165"/>
      <w:numFmt w:val="bullet"/>
      <w:pStyle w:val="CEABullet-Level2"/>
      <w:lvlText w:val=""/>
      <w:lvlPicBulletId w:val="1"/>
      <w:lvlJc w:val="left"/>
      <w:pPr>
        <w:ind w:left="1800" w:hanging="360"/>
      </w:pPr>
      <w:rPr>
        <w:rFonts w:ascii="Symbol" w:hAnsi="Symbol" w:hint="default"/>
        <w:color w:val="auto"/>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5" w15:restartNumberingAfterBreak="0">
    <w:nsid w:val="13FB416C"/>
    <w:multiLevelType w:val="hybridMultilevel"/>
    <w:tmpl w:val="123E2ACE"/>
    <w:lvl w:ilvl="0" w:tplc="789C8D2E">
      <w:start w:val="1"/>
      <w:numFmt w:val="decimal"/>
      <w:lvlText w:val="%1"/>
      <w:lvlJc w:val="left"/>
      <w:pPr>
        <w:ind w:left="760" w:hanging="226"/>
      </w:pPr>
      <w:rPr>
        <w:rFonts w:ascii="Verdana" w:eastAsia="Arial" w:hAnsi="Verdana" w:cs="Arial"/>
        <w:w w:val="99"/>
        <w:sz w:val="17"/>
        <w:szCs w:val="17"/>
      </w:rPr>
    </w:lvl>
    <w:lvl w:ilvl="1" w:tplc="564AE780">
      <w:numFmt w:val="bullet"/>
      <w:lvlText w:val="•"/>
      <w:lvlJc w:val="left"/>
      <w:pPr>
        <w:ind w:left="1714" w:hanging="226"/>
      </w:pPr>
    </w:lvl>
    <w:lvl w:ilvl="2" w:tplc="A238D5B2">
      <w:numFmt w:val="bullet"/>
      <w:lvlText w:val="•"/>
      <w:lvlJc w:val="left"/>
      <w:pPr>
        <w:ind w:left="2669" w:hanging="226"/>
      </w:pPr>
    </w:lvl>
    <w:lvl w:ilvl="3" w:tplc="AF225520">
      <w:numFmt w:val="bullet"/>
      <w:lvlText w:val="•"/>
      <w:lvlJc w:val="left"/>
      <w:pPr>
        <w:ind w:left="3623" w:hanging="226"/>
      </w:pPr>
    </w:lvl>
    <w:lvl w:ilvl="4" w:tplc="1EC6D57C">
      <w:numFmt w:val="bullet"/>
      <w:lvlText w:val="•"/>
      <w:lvlJc w:val="left"/>
      <w:pPr>
        <w:ind w:left="4578" w:hanging="226"/>
      </w:pPr>
    </w:lvl>
    <w:lvl w:ilvl="5" w:tplc="73E454CE">
      <w:numFmt w:val="bullet"/>
      <w:lvlText w:val="•"/>
      <w:lvlJc w:val="left"/>
      <w:pPr>
        <w:ind w:left="5532" w:hanging="226"/>
      </w:pPr>
    </w:lvl>
    <w:lvl w:ilvl="6" w:tplc="F22E509E">
      <w:numFmt w:val="bullet"/>
      <w:lvlText w:val="•"/>
      <w:lvlJc w:val="left"/>
      <w:pPr>
        <w:ind w:left="6487" w:hanging="226"/>
      </w:pPr>
    </w:lvl>
    <w:lvl w:ilvl="7" w:tplc="3F4CBC08">
      <w:numFmt w:val="bullet"/>
      <w:lvlText w:val="•"/>
      <w:lvlJc w:val="left"/>
      <w:pPr>
        <w:ind w:left="7441" w:hanging="226"/>
      </w:pPr>
    </w:lvl>
    <w:lvl w:ilvl="8" w:tplc="1B2E0FF8">
      <w:numFmt w:val="bullet"/>
      <w:lvlText w:val="•"/>
      <w:lvlJc w:val="left"/>
      <w:pPr>
        <w:ind w:left="8396" w:hanging="226"/>
      </w:pPr>
    </w:lvl>
  </w:abstractNum>
  <w:abstractNum w:abstractNumId="6" w15:restartNumberingAfterBreak="0">
    <w:nsid w:val="18E8397F"/>
    <w:multiLevelType w:val="hybridMultilevel"/>
    <w:tmpl w:val="F704E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9D1009"/>
    <w:multiLevelType w:val="multilevel"/>
    <w:tmpl w:val="DB4C8DC8"/>
    <w:lvl w:ilvl="0">
      <w:start w:val="2"/>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8" w15:restartNumberingAfterBreak="0">
    <w:nsid w:val="268D2EF2"/>
    <w:multiLevelType w:val="hybridMultilevel"/>
    <w:tmpl w:val="1B5295C8"/>
    <w:lvl w:ilvl="0" w:tplc="AA5E52C2">
      <w:start w:val="1"/>
      <w:numFmt w:val="decimal"/>
      <w:lvlText w:val="%1)"/>
      <w:lvlJc w:val="left"/>
      <w:pPr>
        <w:ind w:left="720" w:hanging="360"/>
      </w:pPr>
      <w:rPr>
        <w:rFonts w:ascii="Verdana" w:eastAsia="Times New Roman" w:hAnsi="Verdana"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DF140FE"/>
    <w:multiLevelType w:val="hybridMultilevel"/>
    <w:tmpl w:val="466AD8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F354304"/>
    <w:multiLevelType w:val="hybridMultilevel"/>
    <w:tmpl w:val="4A3085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636717E"/>
    <w:multiLevelType w:val="multilevel"/>
    <w:tmpl w:val="10EA4A70"/>
    <w:lvl w:ilvl="0">
      <w:start w:val="3"/>
      <w:numFmt w:val="decimal"/>
      <w:lvlText w:val="%1"/>
      <w:lvlJc w:val="left"/>
      <w:pPr>
        <w:ind w:left="360" w:hanging="360"/>
      </w:pPr>
      <w:rPr>
        <w:b/>
      </w:rPr>
    </w:lvl>
    <w:lvl w:ilvl="1">
      <w:start w:val="1"/>
      <w:numFmt w:val="decimal"/>
      <w:lvlText w:val="%1.%2"/>
      <w:lvlJc w:val="left"/>
      <w:pPr>
        <w:ind w:left="1080" w:hanging="360"/>
      </w:pPr>
      <w:rPr>
        <w:b/>
      </w:rPr>
    </w:lvl>
    <w:lvl w:ilvl="2">
      <w:start w:val="1"/>
      <w:numFmt w:val="decimal"/>
      <w:lvlText w:val="%1.%2.%3"/>
      <w:lvlJc w:val="left"/>
      <w:pPr>
        <w:ind w:left="2160" w:hanging="720"/>
      </w:pPr>
      <w:rPr>
        <w:b/>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200" w:hanging="1440"/>
      </w:pPr>
      <w:rPr>
        <w:b/>
      </w:rPr>
    </w:lvl>
  </w:abstractNum>
  <w:abstractNum w:abstractNumId="12" w15:restartNumberingAfterBreak="0">
    <w:nsid w:val="3F3803C2"/>
    <w:multiLevelType w:val="hybridMultilevel"/>
    <w:tmpl w:val="123E2ACE"/>
    <w:lvl w:ilvl="0" w:tplc="789C8D2E">
      <w:start w:val="1"/>
      <w:numFmt w:val="decimal"/>
      <w:lvlText w:val="%1"/>
      <w:lvlJc w:val="left"/>
      <w:pPr>
        <w:ind w:left="760" w:hanging="226"/>
      </w:pPr>
      <w:rPr>
        <w:rFonts w:ascii="Verdana" w:eastAsia="Arial" w:hAnsi="Verdana" w:cs="Arial"/>
        <w:w w:val="99"/>
        <w:sz w:val="17"/>
        <w:szCs w:val="17"/>
      </w:rPr>
    </w:lvl>
    <w:lvl w:ilvl="1" w:tplc="564AE780">
      <w:numFmt w:val="bullet"/>
      <w:lvlText w:val="•"/>
      <w:lvlJc w:val="left"/>
      <w:pPr>
        <w:ind w:left="1714" w:hanging="226"/>
      </w:pPr>
    </w:lvl>
    <w:lvl w:ilvl="2" w:tplc="A238D5B2">
      <w:numFmt w:val="bullet"/>
      <w:lvlText w:val="•"/>
      <w:lvlJc w:val="left"/>
      <w:pPr>
        <w:ind w:left="2669" w:hanging="226"/>
      </w:pPr>
    </w:lvl>
    <w:lvl w:ilvl="3" w:tplc="AF225520">
      <w:numFmt w:val="bullet"/>
      <w:lvlText w:val="•"/>
      <w:lvlJc w:val="left"/>
      <w:pPr>
        <w:ind w:left="3623" w:hanging="226"/>
      </w:pPr>
    </w:lvl>
    <w:lvl w:ilvl="4" w:tplc="1EC6D57C">
      <w:numFmt w:val="bullet"/>
      <w:lvlText w:val="•"/>
      <w:lvlJc w:val="left"/>
      <w:pPr>
        <w:ind w:left="4578" w:hanging="226"/>
      </w:pPr>
    </w:lvl>
    <w:lvl w:ilvl="5" w:tplc="73E454CE">
      <w:numFmt w:val="bullet"/>
      <w:lvlText w:val="•"/>
      <w:lvlJc w:val="left"/>
      <w:pPr>
        <w:ind w:left="5532" w:hanging="226"/>
      </w:pPr>
    </w:lvl>
    <w:lvl w:ilvl="6" w:tplc="F22E509E">
      <w:numFmt w:val="bullet"/>
      <w:lvlText w:val="•"/>
      <w:lvlJc w:val="left"/>
      <w:pPr>
        <w:ind w:left="6487" w:hanging="226"/>
      </w:pPr>
    </w:lvl>
    <w:lvl w:ilvl="7" w:tplc="3F4CBC08">
      <w:numFmt w:val="bullet"/>
      <w:lvlText w:val="•"/>
      <w:lvlJc w:val="left"/>
      <w:pPr>
        <w:ind w:left="7441" w:hanging="226"/>
      </w:pPr>
    </w:lvl>
    <w:lvl w:ilvl="8" w:tplc="1B2E0FF8">
      <w:numFmt w:val="bullet"/>
      <w:lvlText w:val="•"/>
      <w:lvlJc w:val="left"/>
      <w:pPr>
        <w:ind w:left="8396" w:hanging="226"/>
      </w:pPr>
    </w:lvl>
  </w:abstractNum>
  <w:abstractNum w:abstractNumId="13" w15:restartNumberingAfterBreak="0">
    <w:nsid w:val="40293347"/>
    <w:multiLevelType w:val="hybridMultilevel"/>
    <w:tmpl w:val="DB12FF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447E4D85"/>
    <w:multiLevelType w:val="hybridMultilevel"/>
    <w:tmpl w:val="36024468"/>
    <w:lvl w:ilvl="0" w:tplc="37180294">
      <w:start w:val="165"/>
      <w:numFmt w:val="bullet"/>
      <w:pStyle w:val="CEABullet-Level3"/>
      <w:lvlText w:val=""/>
      <w:lvlPicBulletId w:val="2"/>
      <w:lvlJc w:val="left"/>
      <w:pPr>
        <w:ind w:left="2673" w:hanging="360"/>
      </w:pPr>
      <w:rPr>
        <w:rFonts w:ascii="Symbol" w:hAnsi="Symbol" w:hint="default"/>
        <w:color w:val="auto"/>
      </w:rPr>
    </w:lvl>
    <w:lvl w:ilvl="1" w:tplc="080C0003" w:tentative="1">
      <w:start w:val="1"/>
      <w:numFmt w:val="bullet"/>
      <w:lvlText w:val="o"/>
      <w:lvlJc w:val="left"/>
      <w:pPr>
        <w:ind w:left="3393" w:hanging="360"/>
      </w:pPr>
      <w:rPr>
        <w:rFonts w:ascii="Courier New" w:hAnsi="Courier New" w:cs="Courier New" w:hint="default"/>
      </w:rPr>
    </w:lvl>
    <w:lvl w:ilvl="2" w:tplc="080C0005" w:tentative="1">
      <w:start w:val="1"/>
      <w:numFmt w:val="bullet"/>
      <w:lvlText w:val=""/>
      <w:lvlJc w:val="left"/>
      <w:pPr>
        <w:ind w:left="4113" w:hanging="360"/>
      </w:pPr>
      <w:rPr>
        <w:rFonts w:ascii="Wingdings" w:hAnsi="Wingdings" w:hint="default"/>
      </w:rPr>
    </w:lvl>
    <w:lvl w:ilvl="3" w:tplc="080C0001" w:tentative="1">
      <w:start w:val="1"/>
      <w:numFmt w:val="bullet"/>
      <w:lvlText w:val=""/>
      <w:lvlJc w:val="left"/>
      <w:pPr>
        <w:ind w:left="4833" w:hanging="360"/>
      </w:pPr>
      <w:rPr>
        <w:rFonts w:ascii="Symbol" w:hAnsi="Symbol" w:hint="default"/>
      </w:rPr>
    </w:lvl>
    <w:lvl w:ilvl="4" w:tplc="080C0003" w:tentative="1">
      <w:start w:val="1"/>
      <w:numFmt w:val="bullet"/>
      <w:lvlText w:val="o"/>
      <w:lvlJc w:val="left"/>
      <w:pPr>
        <w:ind w:left="5553" w:hanging="360"/>
      </w:pPr>
      <w:rPr>
        <w:rFonts w:ascii="Courier New" w:hAnsi="Courier New" w:cs="Courier New" w:hint="default"/>
      </w:rPr>
    </w:lvl>
    <w:lvl w:ilvl="5" w:tplc="080C0005" w:tentative="1">
      <w:start w:val="1"/>
      <w:numFmt w:val="bullet"/>
      <w:lvlText w:val=""/>
      <w:lvlJc w:val="left"/>
      <w:pPr>
        <w:ind w:left="6273" w:hanging="360"/>
      </w:pPr>
      <w:rPr>
        <w:rFonts w:ascii="Wingdings" w:hAnsi="Wingdings" w:hint="default"/>
      </w:rPr>
    </w:lvl>
    <w:lvl w:ilvl="6" w:tplc="080C0001" w:tentative="1">
      <w:start w:val="1"/>
      <w:numFmt w:val="bullet"/>
      <w:lvlText w:val=""/>
      <w:lvlJc w:val="left"/>
      <w:pPr>
        <w:ind w:left="6993" w:hanging="360"/>
      </w:pPr>
      <w:rPr>
        <w:rFonts w:ascii="Symbol" w:hAnsi="Symbol" w:hint="default"/>
      </w:rPr>
    </w:lvl>
    <w:lvl w:ilvl="7" w:tplc="080C0003" w:tentative="1">
      <w:start w:val="1"/>
      <w:numFmt w:val="bullet"/>
      <w:lvlText w:val="o"/>
      <w:lvlJc w:val="left"/>
      <w:pPr>
        <w:ind w:left="7713" w:hanging="360"/>
      </w:pPr>
      <w:rPr>
        <w:rFonts w:ascii="Courier New" w:hAnsi="Courier New" w:cs="Courier New" w:hint="default"/>
      </w:rPr>
    </w:lvl>
    <w:lvl w:ilvl="8" w:tplc="080C0005" w:tentative="1">
      <w:start w:val="1"/>
      <w:numFmt w:val="bullet"/>
      <w:lvlText w:val=""/>
      <w:lvlJc w:val="left"/>
      <w:pPr>
        <w:ind w:left="8433" w:hanging="360"/>
      </w:pPr>
      <w:rPr>
        <w:rFonts w:ascii="Wingdings" w:hAnsi="Wingdings" w:hint="default"/>
      </w:rPr>
    </w:lvl>
  </w:abstractNum>
  <w:abstractNum w:abstractNumId="15" w15:restartNumberingAfterBreak="0">
    <w:nsid w:val="46BC6420"/>
    <w:multiLevelType w:val="multilevel"/>
    <w:tmpl w:val="6152F0B2"/>
    <w:lvl w:ilvl="0">
      <w:start w:val="2"/>
      <w:numFmt w:val="decimal"/>
      <w:lvlText w:val="%1"/>
      <w:lvlJc w:val="left"/>
      <w:pPr>
        <w:ind w:left="565" w:hanging="451"/>
      </w:pPr>
    </w:lvl>
    <w:lvl w:ilvl="1">
      <w:start w:val="3"/>
      <w:numFmt w:val="decimal"/>
      <w:lvlText w:val="%1.%2"/>
      <w:lvlJc w:val="left"/>
      <w:pPr>
        <w:ind w:left="565" w:hanging="451"/>
      </w:pPr>
      <w:rPr>
        <w:rFonts w:ascii="Verdana" w:eastAsia="Arial" w:hAnsi="Verdana" w:cs="Arial" w:hint="default"/>
        <w:b/>
        <w:bCs/>
        <w:color w:val="1F497D" w:themeColor="text2"/>
        <w:w w:val="99"/>
        <w:sz w:val="17"/>
        <w:szCs w:val="17"/>
      </w:rPr>
    </w:lvl>
    <w:lvl w:ilvl="2">
      <w:numFmt w:val="bullet"/>
      <w:lvlText w:val="•"/>
      <w:lvlJc w:val="left"/>
      <w:pPr>
        <w:ind w:left="2509" w:hanging="451"/>
      </w:pPr>
    </w:lvl>
    <w:lvl w:ilvl="3">
      <w:numFmt w:val="bullet"/>
      <w:lvlText w:val="•"/>
      <w:lvlJc w:val="left"/>
      <w:pPr>
        <w:ind w:left="3483" w:hanging="451"/>
      </w:pPr>
    </w:lvl>
    <w:lvl w:ilvl="4">
      <w:numFmt w:val="bullet"/>
      <w:lvlText w:val="•"/>
      <w:lvlJc w:val="left"/>
      <w:pPr>
        <w:ind w:left="4458" w:hanging="451"/>
      </w:pPr>
    </w:lvl>
    <w:lvl w:ilvl="5">
      <w:numFmt w:val="bullet"/>
      <w:lvlText w:val="•"/>
      <w:lvlJc w:val="left"/>
      <w:pPr>
        <w:ind w:left="5432" w:hanging="451"/>
      </w:pPr>
    </w:lvl>
    <w:lvl w:ilvl="6">
      <w:numFmt w:val="bullet"/>
      <w:lvlText w:val="•"/>
      <w:lvlJc w:val="left"/>
      <w:pPr>
        <w:ind w:left="6407" w:hanging="451"/>
      </w:pPr>
    </w:lvl>
    <w:lvl w:ilvl="7">
      <w:numFmt w:val="bullet"/>
      <w:lvlText w:val="•"/>
      <w:lvlJc w:val="left"/>
      <w:pPr>
        <w:ind w:left="7381" w:hanging="451"/>
      </w:pPr>
    </w:lvl>
    <w:lvl w:ilvl="8">
      <w:numFmt w:val="bullet"/>
      <w:lvlText w:val="•"/>
      <w:lvlJc w:val="left"/>
      <w:pPr>
        <w:ind w:left="8356" w:hanging="451"/>
      </w:pPr>
    </w:lvl>
  </w:abstractNum>
  <w:abstractNum w:abstractNumId="16" w15:restartNumberingAfterBreak="0">
    <w:nsid w:val="50411D9F"/>
    <w:multiLevelType w:val="hybridMultilevel"/>
    <w:tmpl w:val="0AE0B0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5137042D"/>
    <w:multiLevelType w:val="hybridMultilevel"/>
    <w:tmpl w:val="E9C00216"/>
    <w:lvl w:ilvl="0" w:tplc="7C5A0FBE">
      <w:start w:val="1"/>
      <w:numFmt w:val="decimal"/>
      <w:lvlText w:val="%1"/>
      <w:lvlJc w:val="left"/>
      <w:pPr>
        <w:ind w:left="760" w:hanging="226"/>
      </w:pPr>
      <w:rPr>
        <w:rFonts w:ascii="Verdana" w:eastAsia="Arial" w:hAnsi="Verdana" w:cs="Arial"/>
        <w:w w:val="99"/>
        <w:sz w:val="17"/>
        <w:szCs w:val="17"/>
      </w:rPr>
    </w:lvl>
    <w:lvl w:ilvl="1" w:tplc="171003E2">
      <w:numFmt w:val="bullet"/>
      <w:lvlText w:val="•"/>
      <w:lvlJc w:val="left"/>
      <w:pPr>
        <w:ind w:left="1714" w:hanging="226"/>
      </w:pPr>
    </w:lvl>
    <w:lvl w:ilvl="2" w:tplc="2DA0BB8E">
      <w:numFmt w:val="bullet"/>
      <w:lvlText w:val="•"/>
      <w:lvlJc w:val="left"/>
      <w:pPr>
        <w:ind w:left="2669" w:hanging="226"/>
      </w:pPr>
    </w:lvl>
    <w:lvl w:ilvl="3" w:tplc="D030727A">
      <w:numFmt w:val="bullet"/>
      <w:lvlText w:val="•"/>
      <w:lvlJc w:val="left"/>
      <w:pPr>
        <w:ind w:left="3623" w:hanging="226"/>
      </w:pPr>
    </w:lvl>
    <w:lvl w:ilvl="4" w:tplc="2766E834">
      <w:numFmt w:val="bullet"/>
      <w:lvlText w:val="•"/>
      <w:lvlJc w:val="left"/>
      <w:pPr>
        <w:ind w:left="4578" w:hanging="226"/>
      </w:pPr>
    </w:lvl>
    <w:lvl w:ilvl="5" w:tplc="9350D0B6">
      <w:numFmt w:val="bullet"/>
      <w:lvlText w:val="•"/>
      <w:lvlJc w:val="left"/>
      <w:pPr>
        <w:ind w:left="5532" w:hanging="226"/>
      </w:pPr>
    </w:lvl>
    <w:lvl w:ilvl="6" w:tplc="91E6A404">
      <w:numFmt w:val="bullet"/>
      <w:lvlText w:val="•"/>
      <w:lvlJc w:val="left"/>
      <w:pPr>
        <w:ind w:left="6487" w:hanging="226"/>
      </w:pPr>
    </w:lvl>
    <w:lvl w:ilvl="7" w:tplc="C9B6DEB6">
      <w:numFmt w:val="bullet"/>
      <w:lvlText w:val="•"/>
      <w:lvlJc w:val="left"/>
      <w:pPr>
        <w:ind w:left="7441" w:hanging="226"/>
      </w:pPr>
    </w:lvl>
    <w:lvl w:ilvl="8" w:tplc="7076C448">
      <w:numFmt w:val="bullet"/>
      <w:lvlText w:val="•"/>
      <w:lvlJc w:val="left"/>
      <w:pPr>
        <w:ind w:left="8396" w:hanging="226"/>
      </w:pPr>
    </w:lvl>
  </w:abstractNum>
  <w:abstractNum w:abstractNumId="18" w15:restartNumberingAfterBreak="0">
    <w:nsid w:val="5A8B4CFD"/>
    <w:multiLevelType w:val="multilevel"/>
    <w:tmpl w:val="6342364C"/>
    <w:lvl w:ilvl="0">
      <w:start w:val="1"/>
      <w:numFmt w:val="decimal"/>
      <w:lvlText w:val="%1"/>
      <w:lvlJc w:val="left"/>
      <w:pPr>
        <w:ind w:left="565" w:hanging="451"/>
      </w:pPr>
    </w:lvl>
    <w:lvl w:ilvl="1">
      <w:start w:val="9"/>
      <w:numFmt w:val="decimal"/>
      <w:lvlText w:val="%1.%2"/>
      <w:lvlJc w:val="left"/>
      <w:pPr>
        <w:ind w:left="565" w:hanging="451"/>
      </w:pPr>
      <w:rPr>
        <w:rFonts w:ascii="Verdana" w:eastAsia="Arial" w:hAnsi="Verdana" w:cs="Arial" w:hint="default"/>
        <w:b/>
        <w:bCs/>
        <w:color w:val="1F497D" w:themeColor="text2"/>
        <w:w w:val="99"/>
        <w:sz w:val="17"/>
        <w:szCs w:val="17"/>
      </w:rPr>
    </w:lvl>
    <w:lvl w:ilvl="2">
      <w:numFmt w:val="bullet"/>
      <w:lvlText w:val="•"/>
      <w:lvlJc w:val="left"/>
      <w:pPr>
        <w:ind w:left="2509" w:hanging="451"/>
      </w:pPr>
    </w:lvl>
    <w:lvl w:ilvl="3">
      <w:numFmt w:val="bullet"/>
      <w:lvlText w:val="•"/>
      <w:lvlJc w:val="left"/>
      <w:pPr>
        <w:ind w:left="3483" w:hanging="451"/>
      </w:pPr>
    </w:lvl>
    <w:lvl w:ilvl="4">
      <w:numFmt w:val="bullet"/>
      <w:lvlText w:val="•"/>
      <w:lvlJc w:val="left"/>
      <w:pPr>
        <w:ind w:left="4458" w:hanging="451"/>
      </w:pPr>
    </w:lvl>
    <w:lvl w:ilvl="5">
      <w:numFmt w:val="bullet"/>
      <w:lvlText w:val="•"/>
      <w:lvlJc w:val="left"/>
      <w:pPr>
        <w:ind w:left="5432" w:hanging="451"/>
      </w:pPr>
    </w:lvl>
    <w:lvl w:ilvl="6">
      <w:numFmt w:val="bullet"/>
      <w:lvlText w:val="•"/>
      <w:lvlJc w:val="left"/>
      <w:pPr>
        <w:ind w:left="6407" w:hanging="451"/>
      </w:pPr>
    </w:lvl>
    <w:lvl w:ilvl="7">
      <w:numFmt w:val="bullet"/>
      <w:lvlText w:val="•"/>
      <w:lvlJc w:val="left"/>
      <w:pPr>
        <w:ind w:left="7381" w:hanging="451"/>
      </w:pPr>
    </w:lvl>
    <w:lvl w:ilvl="8">
      <w:numFmt w:val="bullet"/>
      <w:lvlText w:val="•"/>
      <w:lvlJc w:val="left"/>
      <w:pPr>
        <w:ind w:left="8356" w:hanging="451"/>
      </w:pPr>
    </w:lvl>
  </w:abstractNum>
  <w:abstractNum w:abstractNumId="19" w15:restartNumberingAfterBreak="0">
    <w:nsid w:val="699E2B88"/>
    <w:multiLevelType w:val="hybridMultilevel"/>
    <w:tmpl w:val="636CBA02"/>
    <w:lvl w:ilvl="0" w:tplc="2CF65F2A">
      <w:start w:val="165"/>
      <w:numFmt w:val="bullet"/>
      <w:pStyle w:val="CEABullet-Level1"/>
      <w:lvlText w:val=""/>
      <w:lvlPicBulletId w:val="0"/>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F310714"/>
    <w:multiLevelType w:val="hybridMultilevel"/>
    <w:tmpl w:val="9192F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2A271B7"/>
    <w:multiLevelType w:val="hybridMultilevel"/>
    <w:tmpl w:val="D294314C"/>
    <w:lvl w:ilvl="0" w:tplc="9EC0CBE0">
      <w:numFmt w:val="bullet"/>
      <w:lvlText w:val=""/>
      <w:lvlJc w:val="left"/>
      <w:pPr>
        <w:ind w:left="720" w:hanging="360"/>
      </w:pPr>
      <w:rPr>
        <w:rFonts w:ascii="Wingdings" w:eastAsia="Times New Roman" w:hAnsi="Wingding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72DA6A85"/>
    <w:multiLevelType w:val="hybridMultilevel"/>
    <w:tmpl w:val="8A94B4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5F75FD4"/>
    <w:multiLevelType w:val="hybridMultilevel"/>
    <w:tmpl w:val="34C27090"/>
    <w:lvl w:ilvl="0" w:tplc="0409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6BF5F6D"/>
    <w:multiLevelType w:val="hybridMultilevel"/>
    <w:tmpl w:val="4A229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946BB6"/>
    <w:multiLevelType w:val="hybridMultilevel"/>
    <w:tmpl w:val="C35E67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14"/>
  </w:num>
  <w:num w:numId="4">
    <w:abstractNumId w:val="19"/>
  </w:num>
  <w:num w:numId="5">
    <w:abstractNumId w:val="1"/>
  </w:num>
  <w:num w:numId="6">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12"/>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17"/>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18"/>
  </w:num>
  <w:num w:numId="12">
    <w:abstractNumId w:val="18"/>
    <w:lvlOverride w:ilvl="0">
      <w:startOverride w:val="1"/>
    </w:lvlOverride>
    <w:lvlOverride w:ilvl="1">
      <w:startOverride w:val="9"/>
    </w:lvlOverride>
    <w:lvlOverride w:ilvl="2"/>
    <w:lvlOverride w:ilvl="3"/>
    <w:lvlOverride w:ilvl="4"/>
    <w:lvlOverride w:ilvl="5"/>
    <w:lvlOverride w:ilvl="6"/>
    <w:lvlOverride w:ilvl="7"/>
    <w:lvlOverride w:ilvl="8"/>
  </w:num>
  <w:num w:numId="13">
    <w:abstractNumId w:val="15"/>
  </w:num>
  <w:num w:numId="14">
    <w:abstractNumId w:val="15"/>
    <w:lvlOverride w:ilvl="0">
      <w:startOverride w:val="2"/>
    </w:lvlOverride>
    <w:lvlOverride w:ilvl="1">
      <w:startOverride w:val="3"/>
    </w:lvlOverride>
    <w:lvlOverride w:ilvl="2"/>
    <w:lvlOverride w:ilvl="3"/>
    <w:lvlOverride w:ilvl="4"/>
    <w:lvlOverride w:ilvl="5"/>
    <w:lvlOverride w:ilvl="6"/>
    <w:lvlOverride w:ilvl="7"/>
    <w:lvlOverride w:ilvl="8"/>
  </w:num>
  <w:num w:numId="15">
    <w:abstractNumId w:val="16"/>
  </w:num>
  <w:num w:numId="16">
    <w:abstractNumId w:val="13"/>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6"/>
  </w:num>
  <w:num w:numId="25">
    <w:abstractNumId w:val="13"/>
  </w:num>
  <w:num w:numId="26">
    <w:abstractNumId w:val="8"/>
  </w:num>
  <w:num w:numId="27">
    <w:abstractNumId w:val="10"/>
  </w:num>
  <w:num w:numId="28">
    <w:abstractNumId w:val="25"/>
  </w:num>
  <w:num w:numId="29">
    <w:abstractNumId w:val="24"/>
  </w:num>
  <w:num w:numId="30">
    <w:abstractNumId w:val="23"/>
  </w:num>
  <w:num w:numId="31">
    <w:abstractNumId w:val="19"/>
  </w:num>
  <w:num w:numId="32">
    <w:abstractNumId w:val="5"/>
  </w:num>
  <w:num w:numId="33">
    <w:abstractNumId w:val="19"/>
  </w:num>
  <w:num w:numId="34">
    <w:abstractNumId w:val="1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9"/>
  </w:num>
  <w:num w:numId="38">
    <w:abstractNumId w:val="0"/>
  </w:num>
  <w:num w:numId="39">
    <w:abstractNumId w:val="2"/>
  </w:num>
  <w:num w:numId="40">
    <w:abstractNumId w:val="6"/>
  </w:num>
  <w:num w:numId="41">
    <w:abstractNumId w:val="20"/>
  </w:num>
  <w:num w:numId="4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4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882"/>
    <w:rsid w:val="00005EF8"/>
    <w:rsid w:val="00006785"/>
    <w:rsid w:val="00011DA4"/>
    <w:rsid w:val="000132FC"/>
    <w:rsid w:val="00013633"/>
    <w:rsid w:val="0001705B"/>
    <w:rsid w:val="00017E2D"/>
    <w:rsid w:val="00020124"/>
    <w:rsid w:val="00022655"/>
    <w:rsid w:val="000238DC"/>
    <w:rsid w:val="0002519C"/>
    <w:rsid w:val="00034406"/>
    <w:rsid w:val="00043CC1"/>
    <w:rsid w:val="00051D29"/>
    <w:rsid w:val="00053078"/>
    <w:rsid w:val="00056E24"/>
    <w:rsid w:val="00060427"/>
    <w:rsid w:val="00066881"/>
    <w:rsid w:val="0007384F"/>
    <w:rsid w:val="00074DE0"/>
    <w:rsid w:val="0008034A"/>
    <w:rsid w:val="000806D6"/>
    <w:rsid w:val="00084F34"/>
    <w:rsid w:val="00095A06"/>
    <w:rsid w:val="000C4776"/>
    <w:rsid w:val="000D3A9E"/>
    <w:rsid w:val="000D58F0"/>
    <w:rsid w:val="000E511D"/>
    <w:rsid w:val="000E70CA"/>
    <w:rsid w:val="000F74DC"/>
    <w:rsid w:val="00105548"/>
    <w:rsid w:val="00111FE8"/>
    <w:rsid w:val="001202AF"/>
    <w:rsid w:val="0012528C"/>
    <w:rsid w:val="00132F6E"/>
    <w:rsid w:val="00134D23"/>
    <w:rsid w:val="00135CB3"/>
    <w:rsid w:val="00141C18"/>
    <w:rsid w:val="00152882"/>
    <w:rsid w:val="0015787D"/>
    <w:rsid w:val="00167789"/>
    <w:rsid w:val="0017261F"/>
    <w:rsid w:val="0018598A"/>
    <w:rsid w:val="001902AA"/>
    <w:rsid w:val="001A1012"/>
    <w:rsid w:val="001B20D8"/>
    <w:rsid w:val="001C2ADD"/>
    <w:rsid w:val="001C5D7C"/>
    <w:rsid w:val="001C5FB7"/>
    <w:rsid w:val="001C681C"/>
    <w:rsid w:val="001D4685"/>
    <w:rsid w:val="001D73BD"/>
    <w:rsid w:val="001E0789"/>
    <w:rsid w:val="001E5FA7"/>
    <w:rsid w:val="001F77E6"/>
    <w:rsid w:val="0020257F"/>
    <w:rsid w:val="0020270B"/>
    <w:rsid w:val="00205B86"/>
    <w:rsid w:val="00215F53"/>
    <w:rsid w:val="002216DB"/>
    <w:rsid w:val="00233783"/>
    <w:rsid w:val="002358AE"/>
    <w:rsid w:val="002435AE"/>
    <w:rsid w:val="002471DF"/>
    <w:rsid w:val="0025626E"/>
    <w:rsid w:val="00257513"/>
    <w:rsid w:val="00257653"/>
    <w:rsid w:val="00261545"/>
    <w:rsid w:val="002615EA"/>
    <w:rsid w:val="0027053B"/>
    <w:rsid w:val="00270D51"/>
    <w:rsid w:val="00275CA0"/>
    <w:rsid w:val="00280766"/>
    <w:rsid w:val="002925AE"/>
    <w:rsid w:val="002B18F2"/>
    <w:rsid w:val="002B2AE6"/>
    <w:rsid w:val="002C03D3"/>
    <w:rsid w:val="002C1DFC"/>
    <w:rsid w:val="002C4666"/>
    <w:rsid w:val="002C5B4D"/>
    <w:rsid w:val="002C6F83"/>
    <w:rsid w:val="002D2689"/>
    <w:rsid w:val="002D70D4"/>
    <w:rsid w:val="0030098C"/>
    <w:rsid w:val="00306E9D"/>
    <w:rsid w:val="00307D93"/>
    <w:rsid w:val="00312BC6"/>
    <w:rsid w:val="00313090"/>
    <w:rsid w:val="00315D35"/>
    <w:rsid w:val="00325407"/>
    <w:rsid w:val="003344F1"/>
    <w:rsid w:val="003356D6"/>
    <w:rsid w:val="00342F54"/>
    <w:rsid w:val="00343A7A"/>
    <w:rsid w:val="003453E3"/>
    <w:rsid w:val="00346792"/>
    <w:rsid w:val="00346982"/>
    <w:rsid w:val="00347D50"/>
    <w:rsid w:val="00352E76"/>
    <w:rsid w:val="00353F67"/>
    <w:rsid w:val="00364E2D"/>
    <w:rsid w:val="00365940"/>
    <w:rsid w:val="00365DD0"/>
    <w:rsid w:val="0037090F"/>
    <w:rsid w:val="003815E0"/>
    <w:rsid w:val="003900AF"/>
    <w:rsid w:val="00394EC6"/>
    <w:rsid w:val="003A1540"/>
    <w:rsid w:val="003B04E3"/>
    <w:rsid w:val="003B15B3"/>
    <w:rsid w:val="003B3B38"/>
    <w:rsid w:val="003B6160"/>
    <w:rsid w:val="003B6D4F"/>
    <w:rsid w:val="003C01F4"/>
    <w:rsid w:val="003C04B2"/>
    <w:rsid w:val="003C65D5"/>
    <w:rsid w:val="003D111A"/>
    <w:rsid w:val="00400400"/>
    <w:rsid w:val="00401F10"/>
    <w:rsid w:val="004041BE"/>
    <w:rsid w:val="00407B3E"/>
    <w:rsid w:val="00407F68"/>
    <w:rsid w:val="00413B80"/>
    <w:rsid w:val="00423A95"/>
    <w:rsid w:val="0042450F"/>
    <w:rsid w:val="00427419"/>
    <w:rsid w:val="00433B03"/>
    <w:rsid w:val="00436CD5"/>
    <w:rsid w:val="00440FEE"/>
    <w:rsid w:val="00444504"/>
    <w:rsid w:val="00457753"/>
    <w:rsid w:val="0046006A"/>
    <w:rsid w:val="00470263"/>
    <w:rsid w:val="00474BF6"/>
    <w:rsid w:val="00487B88"/>
    <w:rsid w:val="0049606C"/>
    <w:rsid w:val="004A0506"/>
    <w:rsid w:val="004A3539"/>
    <w:rsid w:val="004B4D8E"/>
    <w:rsid w:val="004C1621"/>
    <w:rsid w:val="004C7289"/>
    <w:rsid w:val="004D6D42"/>
    <w:rsid w:val="004E1E7A"/>
    <w:rsid w:val="004E696E"/>
    <w:rsid w:val="004E7D11"/>
    <w:rsid w:val="004F1640"/>
    <w:rsid w:val="004F19C4"/>
    <w:rsid w:val="00504CBC"/>
    <w:rsid w:val="00505ACC"/>
    <w:rsid w:val="0050708C"/>
    <w:rsid w:val="00514829"/>
    <w:rsid w:val="00521BF9"/>
    <w:rsid w:val="00523AFA"/>
    <w:rsid w:val="00526186"/>
    <w:rsid w:val="0052653B"/>
    <w:rsid w:val="005301AF"/>
    <w:rsid w:val="0054117A"/>
    <w:rsid w:val="00544BD5"/>
    <w:rsid w:val="005508AD"/>
    <w:rsid w:val="00556F88"/>
    <w:rsid w:val="00557C45"/>
    <w:rsid w:val="00560F5F"/>
    <w:rsid w:val="0056247A"/>
    <w:rsid w:val="00580733"/>
    <w:rsid w:val="00581246"/>
    <w:rsid w:val="005851A7"/>
    <w:rsid w:val="00586CCD"/>
    <w:rsid w:val="00586FD8"/>
    <w:rsid w:val="0059020D"/>
    <w:rsid w:val="005974FD"/>
    <w:rsid w:val="005A2E52"/>
    <w:rsid w:val="005A35BC"/>
    <w:rsid w:val="005A7198"/>
    <w:rsid w:val="005A7613"/>
    <w:rsid w:val="005B1F4B"/>
    <w:rsid w:val="005C7947"/>
    <w:rsid w:val="005D3D90"/>
    <w:rsid w:val="005D619A"/>
    <w:rsid w:val="005D6F8E"/>
    <w:rsid w:val="005E6F82"/>
    <w:rsid w:val="005E728A"/>
    <w:rsid w:val="005F7ECC"/>
    <w:rsid w:val="006161BD"/>
    <w:rsid w:val="00617965"/>
    <w:rsid w:val="0062032B"/>
    <w:rsid w:val="00632C5E"/>
    <w:rsid w:val="00637792"/>
    <w:rsid w:val="006514C4"/>
    <w:rsid w:val="00660DF0"/>
    <w:rsid w:val="0066167F"/>
    <w:rsid w:val="0066259C"/>
    <w:rsid w:val="00665A6D"/>
    <w:rsid w:val="0067611A"/>
    <w:rsid w:val="00677910"/>
    <w:rsid w:val="00685564"/>
    <w:rsid w:val="00691316"/>
    <w:rsid w:val="006923FF"/>
    <w:rsid w:val="00692DBA"/>
    <w:rsid w:val="00694CA7"/>
    <w:rsid w:val="006A4DA7"/>
    <w:rsid w:val="006C00B3"/>
    <w:rsid w:val="006C01E7"/>
    <w:rsid w:val="006D0EBE"/>
    <w:rsid w:val="006D25DA"/>
    <w:rsid w:val="006D5577"/>
    <w:rsid w:val="006F2ABD"/>
    <w:rsid w:val="00704566"/>
    <w:rsid w:val="0071051C"/>
    <w:rsid w:val="00710E6F"/>
    <w:rsid w:val="0071503E"/>
    <w:rsid w:val="00716A28"/>
    <w:rsid w:val="00722521"/>
    <w:rsid w:val="00725F87"/>
    <w:rsid w:val="007266FB"/>
    <w:rsid w:val="0073757E"/>
    <w:rsid w:val="00740472"/>
    <w:rsid w:val="007458D1"/>
    <w:rsid w:val="00745D7D"/>
    <w:rsid w:val="00746D83"/>
    <w:rsid w:val="00752590"/>
    <w:rsid w:val="0075698A"/>
    <w:rsid w:val="00756A5B"/>
    <w:rsid w:val="007632B2"/>
    <w:rsid w:val="00770934"/>
    <w:rsid w:val="007738FD"/>
    <w:rsid w:val="0078131A"/>
    <w:rsid w:val="00782B52"/>
    <w:rsid w:val="007848DC"/>
    <w:rsid w:val="007869A4"/>
    <w:rsid w:val="00794014"/>
    <w:rsid w:val="007950F6"/>
    <w:rsid w:val="007A6E9D"/>
    <w:rsid w:val="007C5EC6"/>
    <w:rsid w:val="007D213F"/>
    <w:rsid w:val="007F61E8"/>
    <w:rsid w:val="007F6AEA"/>
    <w:rsid w:val="00803683"/>
    <w:rsid w:val="0081224E"/>
    <w:rsid w:val="00812E07"/>
    <w:rsid w:val="0081750B"/>
    <w:rsid w:val="00821EBF"/>
    <w:rsid w:val="00825DAE"/>
    <w:rsid w:val="008339F1"/>
    <w:rsid w:val="008451AD"/>
    <w:rsid w:val="008463AA"/>
    <w:rsid w:val="008512B6"/>
    <w:rsid w:val="0086572F"/>
    <w:rsid w:val="008754FE"/>
    <w:rsid w:val="0088461F"/>
    <w:rsid w:val="00884CB9"/>
    <w:rsid w:val="00885B1A"/>
    <w:rsid w:val="008868EB"/>
    <w:rsid w:val="0089156F"/>
    <w:rsid w:val="00892B55"/>
    <w:rsid w:val="00893938"/>
    <w:rsid w:val="008A2E1B"/>
    <w:rsid w:val="008A4AF1"/>
    <w:rsid w:val="008A6CD1"/>
    <w:rsid w:val="008A74F8"/>
    <w:rsid w:val="008D69CB"/>
    <w:rsid w:val="008E10E3"/>
    <w:rsid w:val="008E4353"/>
    <w:rsid w:val="008F6E16"/>
    <w:rsid w:val="00910868"/>
    <w:rsid w:val="00912298"/>
    <w:rsid w:val="0093046A"/>
    <w:rsid w:val="00931787"/>
    <w:rsid w:val="00957B8F"/>
    <w:rsid w:val="009728B6"/>
    <w:rsid w:val="00974483"/>
    <w:rsid w:val="00976656"/>
    <w:rsid w:val="00981B0E"/>
    <w:rsid w:val="009915D4"/>
    <w:rsid w:val="00993A7C"/>
    <w:rsid w:val="00994B41"/>
    <w:rsid w:val="009C0325"/>
    <w:rsid w:val="009C267A"/>
    <w:rsid w:val="009C355B"/>
    <w:rsid w:val="009C3855"/>
    <w:rsid w:val="009C7A25"/>
    <w:rsid w:val="009D4DC7"/>
    <w:rsid w:val="009D75E7"/>
    <w:rsid w:val="009E7E3D"/>
    <w:rsid w:val="009F0801"/>
    <w:rsid w:val="009F1DE3"/>
    <w:rsid w:val="009F36CD"/>
    <w:rsid w:val="009F69D6"/>
    <w:rsid w:val="00A02BD8"/>
    <w:rsid w:val="00A102A5"/>
    <w:rsid w:val="00A155F5"/>
    <w:rsid w:val="00A15870"/>
    <w:rsid w:val="00A16D06"/>
    <w:rsid w:val="00A16D13"/>
    <w:rsid w:val="00A17B77"/>
    <w:rsid w:val="00A30475"/>
    <w:rsid w:val="00A444DA"/>
    <w:rsid w:val="00A4463C"/>
    <w:rsid w:val="00A45A62"/>
    <w:rsid w:val="00A65895"/>
    <w:rsid w:val="00A764BC"/>
    <w:rsid w:val="00A81A19"/>
    <w:rsid w:val="00A8368E"/>
    <w:rsid w:val="00A860DB"/>
    <w:rsid w:val="00A903E6"/>
    <w:rsid w:val="00A96107"/>
    <w:rsid w:val="00A97709"/>
    <w:rsid w:val="00AA009E"/>
    <w:rsid w:val="00AA1810"/>
    <w:rsid w:val="00AA4E82"/>
    <w:rsid w:val="00AB0B6E"/>
    <w:rsid w:val="00AB3387"/>
    <w:rsid w:val="00AC37E3"/>
    <w:rsid w:val="00AC51B0"/>
    <w:rsid w:val="00AD1D3E"/>
    <w:rsid w:val="00AD5DEF"/>
    <w:rsid w:val="00AD69B2"/>
    <w:rsid w:val="00AD7828"/>
    <w:rsid w:val="00AE1BFD"/>
    <w:rsid w:val="00AF6629"/>
    <w:rsid w:val="00AF7132"/>
    <w:rsid w:val="00B07945"/>
    <w:rsid w:val="00B10226"/>
    <w:rsid w:val="00B16184"/>
    <w:rsid w:val="00B35455"/>
    <w:rsid w:val="00B71735"/>
    <w:rsid w:val="00B74AAF"/>
    <w:rsid w:val="00B77012"/>
    <w:rsid w:val="00B80C70"/>
    <w:rsid w:val="00B81FB9"/>
    <w:rsid w:val="00BA160A"/>
    <w:rsid w:val="00BA1700"/>
    <w:rsid w:val="00BA2EE0"/>
    <w:rsid w:val="00BA372F"/>
    <w:rsid w:val="00BA4775"/>
    <w:rsid w:val="00BB4284"/>
    <w:rsid w:val="00BB481A"/>
    <w:rsid w:val="00BB74C5"/>
    <w:rsid w:val="00BC49AA"/>
    <w:rsid w:val="00BC4E09"/>
    <w:rsid w:val="00BC65A1"/>
    <w:rsid w:val="00BD3110"/>
    <w:rsid w:val="00BD3EDD"/>
    <w:rsid w:val="00BE2EE9"/>
    <w:rsid w:val="00BE6FA5"/>
    <w:rsid w:val="00BE7D61"/>
    <w:rsid w:val="00BF11D2"/>
    <w:rsid w:val="00BF63FE"/>
    <w:rsid w:val="00C05321"/>
    <w:rsid w:val="00C27992"/>
    <w:rsid w:val="00C302FA"/>
    <w:rsid w:val="00C317CD"/>
    <w:rsid w:val="00C32BED"/>
    <w:rsid w:val="00C33194"/>
    <w:rsid w:val="00C3572E"/>
    <w:rsid w:val="00C40A3D"/>
    <w:rsid w:val="00C423E5"/>
    <w:rsid w:val="00C45FC8"/>
    <w:rsid w:val="00C61808"/>
    <w:rsid w:val="00C71274"/>
    <w:rsid w:val="00C71299"/>
    <w:rsid w:val="00C71A37"/>
    <w:rsid w:val="00C728C8"/>
    <w:rsid w:val="00C80631"/>
    <w:rsid w:val="00C80B7F"/>
    <w:rsid w:val="00C826E2"/>
    <w:rsid w:val="00C91492"/>
    <w:rsid w:val="00C91E46"/>
    <w:rsid w:val="00C97577"/>
    <w:rsid w:val="00C97AE7"/>
    <w:rsid w:val="00CA50A4"/>
    <w:rsid w:val="00CB3434"/>
    <w:rsid w:val="00CC0C48"/>
    <w:rsid w:val="00CD42AB"/>
    <w:rsid w:val="00CD5B4E"/>
    <w:rsid w:val="00CE13E8"/>
    <w:rsid w:val="00CE7277"/>
    <w:rsid w:val="00CE73D1"/>
    <w:rsid w:val="00CF2007"/>
    <w:rsid w:val="00CF7517"/>
    <w:rsid w:val="00D00AFA"/>
    <w:rsid w:val="00D01130"/>
    <w:rsid w:val="00D114E8"/>
    <w:rsid w:val="00D1606D"/>
    <w:rsid w:val="00D25CA6"/>
    <w:rsid w:val="00D45691"/>
    <w:rsid w:val="00D54B93"/>
    <w:rsid w:val="00D612E9"/>
    <w:rsid w:val="00D615BB"/>
    <w:rsid w:val="00D62810"/>
    <w:rsid w:val="00D678B6"/>
    <w:rsid w:val="00D74967"/>
    <w:rsid w:val="00D841A8"/>
    <w:rsid w:val="00DA5ED8"/>
    <w:rsid w:val="00DA76D2"/>
    <w:rsid w:val="00DA78DF"/>
    <w:rsid w:val="00DE4ECE"/>
    <w:rsid w:val="00DF4415"/>
    <w:rsid w:val="00E04D15"/>
    <w:rsid w:val="00E0617A"/>
    <w:rsid w:val="00E311DF"/>
    <w:rsid w:val="00E40290"/>
    <w:rsid w:val="00E514D2"/>
    <w:rsid w:val="00E56530"/>
    <w:rsid w:val="00E60DEB"/>
    <w:rsid w:val="00E6366D"/>
    <w:rsid w:val="00E65108"/>
    <w:rsid w:val="00E65474"/>
    <w:rsid w:val="00E70B60"/>
    <w:rsid w:val="00E87A4D"/>
    <w:rsid w:val="00E9093E"/>
    <w:rsid w:val="00E93678"/>
    <w:rsid w:val="00E9722F"/>
    <w:rsid w:val="00EA147B"/>
    <w:rsid w:val="00EA5927"/>
    <w:rsid w:val="00EB050F"/>
    <w:rsid w:val="00EB0E4B"/>
    <w:rsid w:val="00EB60F9"/>
    <w:rsid w:val="00EC337A"/>
    <w:rsid w:val="00ED1443"/>
    <w:rsid w:val="00ED22AE"/>
    <w:rsid w:val="00ED490F"/>
    <w:rsid w:val="00ED5476"/>
    <w:rsid w:val="00ED61BB"/>
    <w:rsid w:val="00EE3574"/>
    <w:rsid w:val="00EE57C5"/>
    <w:rsid w:val="00EE7E24"/>
    <w:rsid w:val="00EF375B"/>
    <w:rsid w:val="00EF467B"/>
    <w:rsid w:val="00EF76BE"/>
    <w:rsid w:val="00F16DA3"/>
    <w:rsid w:val="00F37EB0"/>
    <w:rsid w:val="00F42F90"/>
    <w:rsid w:val="00F53971"/>
    <w:rsid w:val="00F56FD3"/>
    <w:rsid w:val="00F73202"/>
    <w:rsid w:val="00F7429D"/>
    <w:rsid w:val="00F778BB"/>
    <w:rsid w:val="00F838F0"/>
    <w:rsid w:val="00F8580A"/>
    <w:rsid w:val="00F8705B"/>
    <w:rsid w:val="00F933F5"/>
    <w:rsid w:val="00F96C48"/>
    <w:rsid w:val="00FA0CD0"/>
    <w:rsid w:val="00FA10E3"/>
    <w:rsid w:val="00FA4090"/>
    <w:rsid w:val="00FA761B"/>
    <w:rsid w:val="00FC2031"/>
    <w:rsid w:val="00FC23DC"/>
    <w:rsid w:val="00FD1248"/>
    <w:rsid w:val="00FD397A"/>
    <w:rsid w:val="00FD3F83"/>
    <w:rsid w:val="00FD51C0"/>
    <w:rsid w:val="00FF0043"/>
    <w:rsid w:val="00FF1691"/>
    <w:rsid w:val="00FF3FE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6EF7CE9"/>
  <w15:docId w15:val="{CB13D2F6-0065-41E3-9DED-A990241B7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4E2D"/>
    <w:pPr>
      <w:spacing w:after="0" w:line="288" w:lineRule="auto"/>
      <w:jc w:val="both"/>
    </w:pPr>
    <w:rPr>
      <w:rFonts w:ascii="Verdana" w:eastAsia="Times New Roman" w:hAnsi="Verdana" w:cs="Times New Roman"/>
      <w:sz w:val="18"/>
      <w:szCs w:val="24"/>
      <w:lang w:val="en-GB"/>
    </w:rPr>
  </w:style>
  <w:style w:type="paragraph" w:styleId="berschrift1">
    <w:name w:val="heading 1"/>
    <w:basedOn w:val="Standard"/>
    <w:link w:val="berschrift1Zchn"/>
    <w:uiPriority w:val="9"/>
    <w:qFormat/>
    <w:rsid w:val="00BA160A"/>
    <w:pPr>
      <w:widowControl w:val="0"/>
      <w:autoSpaceDE w:val="0"/>
      <w:autoSpaceDN w:val="0"/>
      <w:ind w:left="498"/>
      <w:outlineLvl w:val="0"/>
    </w:pPr>
    <w:rPr>
      <w:rFonts w:ascii="Arial" w:eastAsia="Arial" w:hAnsi="Arial" w:cs="Arial"/>
      <w:b/>
      <w:bCs/>
      <w:sz w:val="34"/>
      <w:szCs w:val="3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152882"/>
    <w:pPr>
      <w:tabs>
        <w:tab w:val="center" w:pos="4320"/>
        <w:tab w:val="right" w:pos="8640"/>
      </w:tabs>
    </w:pPr>
  </w:style>
  <w:style w:type="character" w:customStyle="1" w:styleId="KopfzeileZchn">
    <w:name w:val="Kopfzeile Zchn"/>
    <w:basedOn w:val="Absatz-Standardschriftart"/>
    <w:link w:val="Kopfzeile"/>
    <w:semiHidden/>
    <w:rsid w:val="00152882"/>
    <w:rPr>
      <w:rFonts w:ascii="Verdana" w:eastAsia="Times New Roman" w:hAnsi="Verdana" w:cs="Times New Roman"/>
      <w:sz w:val="18"/>
      <w:szCs w:val="24"/>
      <w:lang w:val="en-GB"/>
    </w:rPr>
  </w:style>
  <w:style w:type="paragraph" w:styleId="Fuzeile">
    <w:name w:val="footer"/>
    <w:basedOn w:val="Standard"/>
    <w:link w:val="FuzeileZchn"/>
    <w:uiPriority w:val="99"/>
    <w:rsid w:val="00152882"/>
    <w:pPr>
      <w:tabs>
        <w:tab w:val="center" w:pos="4320"/>
        <w:tab w:val="right" w:pos="8640"/>
      </w:tabs>
    </w:pPr>
  </w:style>
  <w:style w:type="character" w:customStyle="1" w:styleId="FuzeileZchn">
    <w:name w:val="Fußzeile Zchn"/>
    <w:basedOn w:val="Absatz-Standardschriftart"/>
    <w:link w:val="Fuzeile"/>
    <w:uiPriority w:val="99"/>
    <w:rsid w:val="00152882"/>
    <w:rPr>
      <w:rFonts w:ascii="Verdana" w:eastAsia="Times New Roman" w:hAnsi="Verdana" w:cs="Times New Roman"/>
      <w:sz w:val="18"/>
      <w:szCs w:val="24"/>
      <w:lang w:val="en-GB"/>
    </w:rPr>
  </w:style>
  <w:style w:type="paragraph" w:customStyle="1" w:styleId="Noparagraphstyle">
    <w:name w:val="[No paragraph style]"/>
    <w:semiHidden/>
    <w:rsid w:val="00152882"/>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GB"/>
    </w:rPr>
  </w:style>
  <w:style w:type="character" w:styleId="Seitenzahl">
    <w:name w:val="page number"/>
    <w:basedOn w:val="Absatz-Standardschriftart"/>
    <w:semiHidden/>
    <w:rsid w:val="00152882"/>
  </w:style>
  <w:style w:type="paragraph" w:customStyle="1" w:styleId="Heading1CEA">
    <w:name w:val="Heading 1 (CEA)"/>
    <w:basedOn w:val="Standard"/>
    <w:link w:val="Heading1CEAChar"/>
    <w:semiHidden/>
    <w:rsid w:val="00152882"/>
    <w:pPr>
      <w:autoSpaceDE w:val="0"/>
      <w:autoSpaceDN w:val="0"/>
      <w:adjustRightInd w:val="0"/>
    </w:pPr>
    <w:rPr>
      <w:rFonts w:ascii="Arial" w:hAnsi="Arial"/>
      <w:b/>
      <w:color w:val="034EA2"/>
      <w:sz w:val="32"/>
      <w:szCs w:val="32"/>
    </w:rPr>
  </w:style>
  <w:style w:type="character" w:customStyle="1" w:styleId="Heading1CEAChar">
    <w:name w:val="Heading 1 (CEA) Char"/>
    <w:basedOn w:val="Absatz-Standardschriftart"/>
    <w:link w:val="Heading1CEA"/>
    <w:semiHidden/>
    <w:rsid w:val="00152882"/>
    <w:rPr>
      <w:rFonts w:ascii="Arial" w:eastAsia="Times New Roman" w:hAnsi="Arial" w:cs="Times New Roman"/>
      <w:b/>
      <w:color w:val="034EA2"/>
      <w:sz w:val="32"/>
      <w:szCs w:val="32"/>
      <w:lang w:val="en-GB"/>
    </w:rPr>
  </w:style>
  <w:style w:type="paragraph" w:customStyle="1" w:styleId="CEAPositionPaperTitle">
    <w:name w:val="CEA Position Paper Title"/>
    <w:basedOn w:val="Standard"/>
    <w:semiHidden/>
    <w:qFormat/>
    <w:rsid w:val="00152882"/>
    <w:pPr>
      <w:ind w:left="-27"/>
    </w:pPr>
    <w:rPr>
      <w:b/>
      <w:color w:val="034EA2"/>
      <w:sz w:val="32"/>
      <w:szCs w:val="32"/>
    </w:rPr>
  </w:style>
  <w:style w:type="paragraph" w:customStyle="1" w:styleId="CEADraft">
    <w:name w:val="CEA Draft"/>
    <w:basedOn w:val="Standard"/>
    <w:semiHidden/>
    <w:qFormat/>
    <w:rsid w:val="00152882"/>
    <w:pPr>
      <w:jc w:val="right"/>
    </w:pPr>
    <w:rPr>
      <w:rFonts w:cs="Arial"/>
      <w:b/>
      <w:i/>
      <w:color w:val="034EA2"/>
      <w:sz w:val="32"/>
      <w:szCs w:val="40"/>
    </w:rPr>
  </w:style>
  <w:style w:type="paragraph" w:customStyle="1" w:styleId="CEAFooterauthorinfo">
    <w:name w:val="CEA Footer (author info)"/>
    <w:basedOn w:val="Standard"/>
    <w:semiHidden/>
    <w:qFormat/>
    <w:rsid w:val="00152882"/>
    <w:pPr>
      <w:autoSpaceDE w:val="0"/>
      <w:autoSpaceDN w:val="0"/>
      <w:adjustRightInd w:val="0"/>
      <w:textAlignment w:val="center"/>
    </w:pPr>
    <w:rPr>
      <w:rFonts w:cs="Arial"/>
      <w:b/>
      <w:color w:val="034EA2"/>
      <w:sz w:val="16"/>
      <w:szCs w:val="16"/>
    </w:rPr>
  </w:style>
  <w:style w:type="paragraph" w:customStyle="1" w:styleId="CEALabel">
    <w:name w:val="CEA Label"/>
    <w:basedOn w:val="Standard"/>
    <w:semiHidden/>
    <w:qFormat/>
    <w:rsid w:val="00152882"/>
    <w:rPr>
      <w:rFonts w:cs="Arial"/>
      <w:b/>
      <w:color w:val="034EA2"/>
      <w:szCs w:val="18"/>
    </w:rPr>
  </w:style>
  <w:style w:type="character" w:styleId="Platzhaltertext">
    <w:name w:val="Placeholder Text"/>
    <w:basedOn w:val="Absatz-Standardschriftart"/>
    <w:uiPriority w:val="99"/>
    <w:semiHidden/>
    <w:rsid w:val="0008034A"/>
    <w:rPr>
      <w:color w:val="808080"/>
    </w:rPr>
  </w:style>
  <w:style w:type="paragraph" w:styleId="Sprechblasentext">
    <w:name w:val="Balloon Text"/>
    <w:basedOn w:val="Standard"/>
    <w:link w:val="SprechblasentextZchn"/>
    <w:uiPriority w:val="99"/>
    <w:semiHidden/>
    <w:unhideWhenUsed/>
    <w:rsid w:val="0008034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034A"/>
    <w:rPr>
      <w:rFonts w:ascii="Tahoma" w:eastAsia="Times New Roman" w:hAnsi="Tahoma" w:cs="Tahoma"/>
      <w:sz w:val="16"/>
      <w:szCs w:val="16"/>
      <w:lang w:val="en-GB"/>
    </w:rPr>
  </w:style>
  <w:style w:type="paragraph" w:customStyle="1" w:styleId="CEABullet-Level1">
    <w:name w:val="CEA Bullet - Level 1"/>
    <w:basedOn w:val="Standard"/>
    <w:link w:val="CEABullet-Level1Char"/>
    <w:qFormat/>
    <w:rsid w:val="00825DAE"/>
    <w:pPr>
      <w:numPr>
        <w:numId w:val="1"/>
      </w:numPr>
      <w:autoSpaceDE w:val="0"/>
      <w:autoSpaceDN w:val="0"/>
      <w:adjustRightInd w:val="0"/>
    </w:pPr>
    <w:rPr>
      <w:rFonts w:cs="Frutiger LT Std 45 Light"/>
      <w:color w:val="000000"/>
      <w:sz w:val="17"/>
      <w:szCs w:val="20"/>
    </w:rPr>
  </w:style>
  <w:style w:type="paragraph" w:customStyle="1" w:styleId="CEABullet-Level2">
    <w:name w:val="CEA Bullet - Level 2"/>
    <w:basedOn w:val="CEABullet-Level1"/>
    <w:next w:val="Standard"/>
    <w:qFormat/>
    <w:rsid w:val="00825DAE"/>
    <w:pPr>
      <w:numPr>
        <w:numId w:val="2"/>
      </w:numPr>
    </w:pPr>
  </w:style>
  <w:style w:type="paragraph" w:customStyle="1" w:styleId="CEABullet-Level3">
    <w:name w:val="CEA Bullet - Level 3"/>
    <w:basedOn w:val="Standard"/>
    <w:qFormat/>
    <w:rsid w:val="00825DAE"/>
    <w:pPr>
      <w:numPr>
        <w:numId w:val="3"/>
      </w:numPr>
      <w:autoSpaceDE w:val="0"/>
      <w:autoSpaceDN w:val="0"/>
      <w:adjustRightInd w:val="0"/>
      <w:ind w:left="720"/>
    </w:pPr>
    <w:rPr>
      <w:rFonts w:cs="Frutiger LT Std 45 Light"/>
      <w:color w:val="000000"/>
      <w:sz w:val="17"/>
      <w:szCs w:val="20"/>
    </w:rPr>
  </w:style>
  <w:style w:type="paragraph" w:customStyle="1" w:styleId="CEADirectorGeneral">
    <w:name w:val="CEA Director General"/>
    <w:basedOn w:val="Standard"/>
    <w:semiHidden/>
    <w:qFormat/>
    <w:rsid w:val="00825DAE"/>
    <w:pPr>
      <w:tabs>
        <w:tab w:val="right" w:pos="360"/>
        <w:tab w:val="left" w:pos="540"/>
      </w:tabs>
      <w:autoSpaceDE w:val="0"/>
      <w:autoSpaceDN w:val="0"/>
      <w:adjustRightInd w:val="0"/>
      <w:textAlignment w:val="center"/>
    </w:pPr>
    <w:rPr>
      <w:sz w:val="22"/>
      <w:szCs w:val="22"/>
    </w:rPr>
  </w:style>
  <w:style w:type="paragraph" w:customStyle="1" w:styleId="CEADocumentType">
    <w:name w:val="CEA Document Type"/>
    <w:basedOn w:val="Standard"/>
    <w:semiHidden/>
    <w:qFormat/>
    <w:rsid w:val="00825DAE"/>
    <w:pPr>
      <w:jc w:val="right"/>
    </w:pPr>
    <w:rPr>
      <w:rFonts w:cs="Frutiger LT Std 55 Roman"/>
      <w:b/>
      <w:color w:val="0032FF"/>
      <w:sz w:val="40"/>
      <w:szCs w:val="40"/>
    </w:rPr>
  </w:style>
  <w:style w:type="paragraph" w:customStyle="1" w:styleId="CEAFootnote">
    <w:name w:val="CEA Footnote"/>
    <w:basedOn w:val="Standard"/>
    <w:semiHidden/>
    <w:qFormat/>
    <w:rsid w:val="00825DAE"/>
    <w:pPr>
      <w:spacing w:line="240" w:lineRule="auto"/>
    </w:pPr>
    <w:rPr>
      <w:sz w:val="16"/>
    </w:rPr>
  </w:style>
  <w:style w:type="character" w:customStyle="1" w:styleId="CEAGraphTitle">
    <w:name w:val="CEA Graph Title"/>
    <w:uiPriority w:val="1"/>
    <w:qFormat/>
    <w:rsid w:val="00825DAE"/>
    <w:rPr>
      <w:rFonts w:ascii="Verdana" w:hAnsi="Verdana"/>
      <w:smallCaps w:val="0"/>
      <w:sz w:val="19"/>
      <w:lang w:val="en-GB"/>
    </w:rPr>
  </w:style>
  <w:style w:type="character" w:customStyle="1" w:styleId="CEAGraphX">
    <w:name w:val="CEA Graph X"/>
    <w:uiPriority w:val="1"/>
    <w:qFormat/>
    <w:rsid w:val="00825DAE"/>
    <w:rPr>
      <w:rFonts w:ascii="Verdana" w:hAnsi="Verdana"/>
      <w:smallCaps/>
      <w:sz w:val="19"/>
      <w:lang w:val="en-GB"/>
    </w:rPr>
  </w:style>
  <w:style w:type="paragraph" w:customStyle="1" w:styleId="CEAPressReleaseSubtitle">
    <w:name w:val="CEA Press Release Subtitle"/>
    <w:basedOn w:val="Standard"/>
    <w:semiHidden/>
    <w:qFormat/>
    <w:rsid w:val="00825DAE"/>
    <w:rPr>
      <w:sz w:val="22"/>
      <w:szCs w:val="22"/>
    </w:rPr>
  </w:style>
  <w:style w:type="paragraph" w:customStyle="1" w:styleId="CEAPressReleaseTitle">
    <w:name w:val="CEA Press Release Title"/>
    <w:basedOn w:val="Standard"/>
    <w:semiHidden/>
    <w:qFormat/>
    <w:rsid w:val="00825DAE"/>
    <w:pPr>
      <w:autoSpaceDE w:val="0"/>
      <w:autoSpaceDN w:val="0"/>
      <w:adjustRightInd w:val="0"/>
      <w:spacing w:line="240" w:lineRule="auto"/>
    </w:pPr>
    <w:rPr>
      <w:rFonts w:ascii="Frutiger LT Com 45 Light" w:hAnsi="Frutiger LT Com 45 Light"/>
      <w:b/>
      <w:color w:val="034EA2"/>
      <w:sz w:val="36"/>
      <w:szCs w:val="36"/>
    </w:rPr>
  </w:style>
  <w:style w:type="paragraph" w:customStyle="1" w:styleId="CEASubjectLine">
    <w:name w:val="CEA Subject Line"/>
    <w:basedOn w:val="Standard"/>
    <w:semiHidden/>
    <w:qFormat/>
    <w:rsid w:val="00825DAE"/>
    <w:rPr>
      <w:rFonts w:cs="Frutiger LT Std 55 Roman"/>
      <w:b/>
      <w:sz w:val="17"/>
      <w:szCs w:val="20"/>
    </w:rPr>
  </w:style>
  <w:style w:type="character" w:customStyle="1" w:styleId="berschrift1Zchn">
    <w:name w:val="Überschrift 1 Zchn"/>
    <w:basedOn w:val="Absatz-Standardschriftart"/>
    <w:link w:val="berschrift1"/>
    <w:uiPriority w:val="9"/>
    <w:rsid w:val="00BA160A"/>
    <w:rPr>
      <w:rFonts w:ascii="Arial" w:eastAsia="Arial" w:hAnsi="Arial" w:cs="Arial"/>
      <w:b/>
      <w:bCs/>
      <w:sz w:val="34"/>
      <w:szCs w:val="34"/>
      <w:lang w:val="en-US"/>
    </w:rPr>
  </w:style>
  <w:style w:type="paragraph" w:customStyle="1" w:styleId="msonormal0">
    <w:name w:val="msonormal"/>
    <w:basedOn w:val="Standard"/>
    <w:rsid w:val="00BA160A"/>
    <w:pPr>
      <w:spacing w:before="100" w:beforeAutospacing="1" w:after="100" w:afterAutospacing="1" w:line="240" w:lineRule="auto"/>
      <w:jc w:val="left"/>
    </w:pPr>
    <w:rPr>
      <w:rFonts w:ascii="Times New Roman" w:hAnsi="Times New Roman"/>
      <w:sz w:val="24"/>
      <w:lang w:val="en-US"/>
    </w:rPr>
  </w:style>
  <w:style w:type="paragraph" w:styleId="Textkrper">
    <w:name w:val="Body Text"/>
    <w:basedOn w:val="Standard"/>
    <w:link w:val="TextkrperZchn"/>
    <w:uiPriority w:val="1"/>
    <w:unhideWhenUsed/>
    <w:qFormat/>
    <w:rsid w:val="00BA160A"/>
    <w:pPr>
      <w:widowControl w:val="0"/>
      <w:autoSpaceDE w:val="0"/>
      <w:autoSpaceDN w:val="0"/>
      <w:ind w:left="232"/>
    </w:pPr>
    <w:rPr>
      <w:rFonts w:ascii="Arial" w:eastAsia="Arial" w:hAnsi="Arial" w:cs="Arial"/>
      <w:b/>
      <w:bCs/>
      <w:sz w:val="27"/>
      <w:szCs w:val="27"/>
      <w:lang w:val="en-US"/>
    </w:rPr>
  </w:style>
  <w:style w:type="character" w:customStyle="1" w:styleId="TextkrperZchn">
    <w:name w:val="Textkörper Zchn"/>
    <w:basedOn w:val="Absatz-Standardschriftart"/>
    <w:link w:val="Textkrper"/>
    <w:uiPriority w:val="1"/>
    <w:rsid w:val="00BA160A"/>
    <w:rPr>
      <w:rFonts w:ascii="Arial" w:eastAsia="Arial" w:hAnsi="Arial" w:cs="Arial"/>
      <w:b/>
      <w:bCs/>
      <w:sz w:val="27"/>
      <w:szCs w:val="27"/>
      <w:lang w:val="en-US"/>
    </w:rPr>
  </w:style>
  <w:style w:type="paragraph" w:styleId="Listenabsatz">
    <w:name w:val="List Paragraph"/>
    <w:basedOn w:val="Standard"/>
    <w:uiPriority w:val="34"/>
    <w:qFormat/>
    <w:rsid w:val="00BA160A"/>
    <w:pPr>
      <w:widowControl w:val="0"/>
      <w:autoSpaceDE w:val="0"/>
      <w:autoSpaceDN w:val="0"/>
      <w:ind w:left="565" w:hanging="450"/>
    </w:pPr>
    <w:rPr>
      <w:rFonts w:ascii="Arial" w:eastAsia="Arial" w:hAnsi="Arial" w:cs="Arial"/>
      <w:sz w:val="17"/>
      <w:szCs w:val="22"/>
      <w:lang w:val="en-US"/>
    </w:rPr>
  </w:style>
  <w:style w:type="paragraph" w:customStyle="1" w:styleId="TableParagraph">
    <w:name w:val="Table Paragraph"/>
    <w:basedOn w:val="Standard"/>
    <w:uiPriority w:val="1"/>
    <w:qFormat/>
    <w:rsid w:val="00BA160A"/>
    <w:pPr>
      <w:widowControl w:val="0"/>
      <w:autoSpaceDE w:val="0"/>
      <w:autoSpaceDN w:val="0"/>
      <w:ind w:left="232"/>
    </w:pPr>
    <w:rPr>
      <w:rFonts w:eastAsia="Microsoft Sans Serif" w:cs="Microsoft Sans Serif"/>
      <w:sz w:val="17"/>
      <w:szCs w:val="22"/>
      <w:lang w:val="en-US"/>
    </w:rPr>
  </w:style>
  <w:style w:type="character" w:customStyle="1" w:styleId="CEABullet-Level1Char">
    <w:name w:val="CEA Bullet - Level 1 Char"/>
    <w:link w:val="CEABullet-Level1"/>
    <w:locked/>
    <w:rsid w:val="00BA160A"/>
    <w:rPr>
      <w:rFonts w:ascii="Verdana" w:eastAsia="Times New Roman" w:hAnsi="Verdana" w:cs="Frutiger LT Std 45 Light"/>
      <w:color w:val="000000"/>
      <w:sz w:val="17"/>
      <w:szCs w:val="20"/>
      <w:lang w:val="en-GB"/>
    </w:rPr>
  </w:style>
  <w:style w:type="character" w:styleId="Hyperlink">
    <w:name w:val="Hyperlink"/>
    <w:basedOn w:val="Absatz-Standardschriftart"/>
    <w:uiPriority w:val="99"/>
    <w:unhideWhenUsed/>
    <w:rsid w:val="00BA160A"/>
    <w:rPr>
      <w:color w:val="0000FF"/>
      <w:u w:val="single"/>
    </w:rPr>
  </w:style>
  <w:style w:type="character" w:styleId="BesuchterLink">
    <w:name w:val="FollowedHyperlink"/>
    <w:basedOn w:val="Absatz-Standardschriftart"/>
    <w:uiPriority w:val="99"/>
    <w:semiHidden/>
    <w:unhideWhenUsed/>
    <w:rsid w:val="00BA160A"/>
    <w:rPr>
      <w:color w:val="800080"/>
      <w:u w:val="single"/>
    </w:rPr>
  </w:style>
  <w:style w:type="character" w:customStyle="1" w:styleId="NichtaufgelsteErwhnung1">
    <w:name w:val="Nicht aufgelöste Erwähnung1"/>
    <w:basedOn w:val="Absatz-Standardschriftart"/>
    <w:uiPriority w:val="99"/>
    <w:semiHidden/>
    <w:unhideWhenUsed/>
    <w:rsid w:val="00347D50"/>
    <w:rPr>
      <w:color w:val="605E5C"/>
      <w:shd w:val="clear" w:color="auto" w:fill="E1DFDD"/>
    </w:rPr>
  </w:style>
  <w:style w:type="character" w:styleId="Kommentarzeichen">
    <w:name w:val="annotation reference"/>
    <w:basedOn w:val="Absatz-Standardschriftart"/>
    <w:uiPriority w:val="99"/>
    <w:semiHidden/>
    <w:unhideWhenUsed/>
    <w:rsid w:val="00347D50"/>
    <w:rPr>
      <w:sz w:val="16"/>
      <w:szCs w:val="16"/>
    </w:rPr>
  </w:style>
  <w:style w:type="paragraph" w:styleId="Kommentartext">
    <w:name w:val="annotation text"/>
    <w:basedOn w:val="Standard"/>
    <w:link w:val="KommentartextZchn"/>
    <w:uiPriority w:val="99"/>
    <w:unhideWhenUsed/>
    <w:rsid w:val="00347D50"/>
    <w:pPr>
      <w:spacing w:line="240" w:lineRule="auto"/>
    </w:pPr>
    <w:rPr>
      <w:sz w:val="20"/>
      <w:szCs w:val="20"/>
    </w:rPr>
  </w:style>
  <w:style w:type="character" w:customStyle="1" w:styleId="KommentartextZchn">
    <w:name w:val="Kommentartext Zchn"/>
    <w:basedOn w:val="Absatz-Standardschriftart"/>
    <w:link w:val="Kommentartext"/>
    <w:uiPriority w:val="99"/>
    <w:rsid w:val="00347D50"/>
    <w:rPr>
      <w:rFonts w:ascii="Verdana" w:eastAsia="Times New Roman" w:hAnsi="Verdana" w:cs="Times New Roman"/>
      <w:sz w:val="20"/>
      <w:szCs w:val="20"/>
      <w:lang w:val="en-GB"/>
    </w:rPr>
  </w:style>
  <w:style w:type="paragraph" w:styleId="Kommentarthema">
    <w:name w:val="annotation subject"/>
    <w:basedOn w:val="Kommentartext"/>
    <w:next w:val="Kommentartext"/>
    <w:link w:val="KommentarthemaZchn"/>
    <w:uiPriority w:val="99"/>
    <w:semiHidden/>
    <w:unhideWhenUsed/>
    <w:rsid w:val="00347D50"/>
    <w:rPr>
      <w:b/>
      <w:bCs/>
    </w:rPr>
  </w:style>
  <w:style w:type="character" w:customStyle="1" w:styleId="KommentarthemaZchn">
    <w:name w:val="Kommentarthema Zchn"/>
    <w:basedOn w:val="KommentartextZchn"/>
    <w:link w:val="Kommentarthema"/>
    <w:uiPriority w:val="99"/>
    <w:semiHidden/>
    <w:rsid w:val="00347D50"/>
    <w:rPr>
      <w:rFonts w:ascii="Verdana" w:eastAsia="Times New Roman" w:hAnsi="Verdana" w:cs="Times New Roman"/>
      <w:b/>
      <w:bCs/>
      <w:sz w:val="20"/>
      <w:szCs w:val="20"/>
      <w:lang w:val="en-GB"/>
    </w:rPr>
  </w:style>
  <w:style w:type="paragraph" w:styleId="Funotentext">
    <w:name w:val="footnote text"/>
    <w:basedOn w:val="Standard"/>
    <w:link w:val="FunotentextZchn"/>
    <w:uiPriority w:val="99"/>
    <w:semiHidden/>
    <w:unhideWhenUsed/>
    <w:rsid w:val="00BF63FE"/>
    <w:pPr>
      <w:spacing w:line="240" w:lineRule="auto"/>
      <w:jc w:val="left"/>
    </w:pPr>
    <w:rPr>
      <w:rFonts w:ascii="Times New Roman" w:hAnsi="Times New Roman"/>
      <w:sz w:val="20"/>
      <w:szCs w:val="20"/>
      <w:lang w:eastAsia="de-DE"/>
    </w:rPr>
  </w:style>
  <w:style w:type="character" w:customStyle="1" w:styleId="FunotentextZchn">
    <w:name w:val="Fußnotentext Zchn"/>
    <w:basedOn w:val="Absatz-Standardschriftart"/>
    <w:link w:val="Funotentext"/>
    <w:uiPriority w:val="99"/>
    <w:semiHidden/>
    <w:rsid w:val="00BF63FE"/>
    <w:rPr>
      <w:rFonts w:ascii="Times New Roman" w:eastAsia="Times New Roman" w:hAnsi="Times New Roman" w:cs="Times New Roman"/>
      <w:sz w:val="20"/>
      <w:szCs w:val="20"/>
      <w:lang w:val="en-GB" w:eastAsia="de-DE"/>
    </w:rPr>
  </w:style>
  <w:style w:type="character" w:styleId="Funotenzeichen">
    <w:name w:val="footnote reference"/>
    <w:basedOn w:val="Absatz-Standardschriftart"/>
    <w:uiPriority w:val="99"/>
    <w:semiHidden/>
    <w:unhideWhenUsed/>
    <w:rsid w:val="00BF63FE"/>
    <w:rPr>
      <w:vertAlign w:val="superscript"/>
    </w:rPr>
  </w:style>
  <w:style w:type="paragraph" w:styleId="berarbeitung">
    <w:name w:val="Revision"/>
    <w:hidden/>
    <w:uiPriority w:val="99"/>
    <w:semiHidden/>
    <w:rsid w:val="00FA0CD0"/>
    <w:pPr>
      <w:spacing w:after="0" w:line="240" w:lineRule="auto"/>
    </w:pPr>
    <w:rPr>
      <w:rFonts w:ascii="Verdana" w:eastAsia="Times New Roman" w:hAnsi="Verdana" w:cs="Times New Roman"/>
      <w:sz w:val="1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55302">
      <w:bodyDiv w:val="1"/>
      <w:marLeft w:val="0"/>
      <w:marRight w:val="0"/>
      <w:marTop w:val="0"/>
      <w:marBottom w:val="0"/>
      <w:divBdr>
        <w:top w:val="none" w:sz="0" w:space="0" w:color="auto"/>
        <w:left w:val="none" w:sz="0" w:space="0" w:color="auto"/>
        <w:bottom w:val="none" w:sz="0" w:space="0" w:color="auto"/>
        <w:right w:val="none" w:sz="0" w:space="0" w:color="auto"/>
      </w:divBdr>
    </w:div>
    <w:div w:id="315189078">
      <w:bodyDiv w:val="1"/>
      <w:marLeft w:val="0"/>
      <w:marRight w:val="0"/>
      <w:marTop w:val="0"/>
      <w:marBottom w:val="0"/>
      <w:divBdr>
        <w:top w:val="none" w:sz="0" w:space="0" w:color="auto"/>
        <w:left w:val="none" w:sz="0" w:space="0" w:color="auto"/>
        <w:bottom w:val="none" w:sz="0" w:space="0" w:color="auto"/>
        <w:right w:val="none" w:sz="0" w:space="0" w:color="auto"/>
      </w:divBdr>
    </w:div>
    <w:div w:id="375005838">
      <w:bodyDiv w:val="1"/>
      <w:marLeft w:val="0"/>
      <w:marRight w:val="0"/>
      <w:marTop w:val="0"/>
      <w:marBottom w:val="0"/>
      <w:divBdr>
        <w:top w:val="none" w:sz="0" w:space="0" w:color="auto"/>
        <w:left w:val="none" w:sz="0" w:space="0" w:color="auto"/>
        <w:bottom w:val="none" w:sz="0" w:space="0" w:color="auto"/>
        <w:right w:val="none" w:sz="0" w:space="0" w:color="auto"/>
      </w:divBdr>
    </w:div>
    <w:div w:id="395931455">
      <w:bodyDiv w:val="1"/>
      <w:marLeft w:val="0"/>
      <w:marRight w:val="0"/>
      <w:marTop w:val="0"/>
      <w:marBottom w:val="0"/>
      <w:divBdr>
        <w:top w:val="none" w:sz="0" w:space="0" w:color="auto"/>
        <w:left w:val="none" w:sz="0" w:space="0" w:color="auto"/>
        <w:bottom w:val="none" w:sz="0" w:space="0" w:color="auto"/>
        <w:right w:val="none" w:sz="0" w:space="0" w:color="auto"/>
      </w:divBdr>
    </w:div>
    <w:div w:id="439102716">
      <w:bodyDiv w:val="1"/>
      <w:marLeft w:val="0"/>
      <w:marRight w:val="0"/>
      <w:marTop w:val="0"/>
      <w:marBottom w:val="0"/>
      <w:divBdr>
        <w:top w:val="none" w:sz="0" w:space="0" w:color="auto"/>
        <w:left w:val="none" w:sz="0" w:space="0" w:color="auto"/>
        <w:bottom w:val="none" w:sz="0" w:space="0" w:color="auto"/>
        <w:right w:val="none" w:sz="0" w:space="0" w:color="auto"/>
      </w:divBdr>
    </w:div>
    <w:div w:id="529220179">
      <w:bodyDiv w:val="1"/>
      <w:marLeft w:val="0"/>
      <w:marRight w:val="0"/>
      <w:marTop w:val="0"/>
      <w:marBottom w:val="0"/>
      <w:divBdr>
        <w:top w:val="none" w:sz="0" w:space="0" w:color="auto"/>
        <w:left w:val="none" w:sz="0" w:space="0" w:color="auto"/>
        <w:bottom w:val="none" w:sz="0" w:space="0" w:color="auto"/>
        <w:right w:val="none" w:sz="0" w:space="0" w:color="auto"/>
      </w:divBdr>
      <w:divsChild>
        <w:div w:id="935793222">
          <w:marLeft w:val="0"/>
          <w:marRight w:val="0"/>
          <w:marTop w:val="0"/>
          <w:marBottom w:val="0"/>
          <w:divBdr>
            <w:top w:val="none" w:sz="0" w:space="0" w:color="auto"/>
            <w:left w:val="none" w:sz="0" w:space="0" w:color="auto"/>
            <w:bottom w:val="none" w:sz="0" w:space="0" w:color="auto"/>
            <w:right w:val="none" w:sz="0" w:space="0" w:color="auto"/>
          </w:divBdr>
        </w:div>
      </w:divsChild>
    </w:div>
    <w:div w:id="602685674">
      <w:bodyDiv w:val="1"/>
      <w:marLeft w:val="0"/>
      <w:marRight w:val="0"/>
      <w:marTop w:val="0"/>
      <w:marBottom w:val="0"/>
      <w:divBdr>
        <w:top w:val="none" w:sz="0" w:space="0" w:color="auto"/>
        <w:left w:val="none" w:sz="0" w:space="0" w:color="auto"/>
        <w:bottom w:val="none" w:sz="0" w:space="0" w:color="auto"/>
        <w:right w:val="none" w:sz="0" w:space="0" w:color="auto"/>
      </w:divBdr>
    </w:div>
    <w:div w:id="986982498">
      <w:bodyDiv w:val="1"/>
      <w:marLeft w:val="0"/>
      <w:marRight w:val="0"/>
      <w:marTop w:val="0"/>
      <w:marBottom w:val="0"/>
      <w:divBdr>
        <w:top w:val="none" w:sz="0" w:space="0" w:color="auto"/>
        <w:left w:val="none" w:sz="0" w:space="0" w:color="auto"/>
        <w:bottom w:val="none" w:sz="0" w:space="0" w:color="auto"/>
        <w:right w:val="none" w:sz="0" w:space="0" w:color="auto"/>
      </w:divBdr>
    </w:div>
    <w:div w:id="1037007452">
      <w:bodyDiv w:val="1"/>
      <w:marLeft w:val="0"/>
      <w:marRight w:val="0"/>
      <w:marTop w:val="0"/>
      <w:marBottom w:val="0"/>
      <w:divBdr>
        <w:top w:val="none" w:sz="0" w:space="0" w:color="auto"/>
        <w:left w:val="none" w:sz="0" w:space="0" w:color="auto"/>
        <w:bottom w:val="none" w:sz="0" w:space="0" w:color="auto"/>
        <w:right w:val="none" w:sz="0" w:space="0" w:color="auto"/>
      </w:divBdr>
    </w:div>
    <w:div w:id="1088229272">
      <w:bodyDiv w:val="1"/>
      <w:marLeft w:val="0"/>
      <w:marRight w:val="0"/>
      <w:marTop w:val="0"/>
      <w:marBottom w:val="0"/>
      <w:divBdr>
        <w:top w:val="none" w:sz="0" w:space="0" w:color="auto"/>
        <w:left w:val="none" w:sz="0" w:space="0" w:color="auto"/>
        <w:bottom w:val="none" w:sz="0" w:space="0" w:color="auto"/>
        <w:right w:val="none" w:sz="0" w:space="0" w:color="auto"/>
      </w:divBdr>
    </w:div>
    <w:div w:id="1197544761">
      <w:bodyDiv w:val="1"/>
      <w:marLeft w:val="0"/>
      <w:marRight w:val="0"/>
      <w:marTop w:val="0"/>
      <w:marBottom w:val="0"/>
      <w:divBdr>
        <w:top w:val="none" w:sz="0" w:space="0" w:color="auto"/>
        <w:left w:val="none" w:sz="0" w:space="0" w:color="auto"/>
        <w:bottom w:val="none" w:sz="0" w:space="0" w:color="auto"/>
        <w:right w:val="none" w:sz="0" w:space="0" w:color="auto"/>
      </w:divBdr>
    </w:div>
    <w:div w:id="192702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02R1606" TargetMode="External"/><Relationship Id="rId18" Type="http://schemas.openxmlformats.org/officeDocument/2006/relationships/hyperlink" Target="https://eur-lex.europa.eu/legal-content/EN/TXT/?uri=CELEX%3A32004L0109"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ur-lex.europa.eu/legal-content/EN/TXT/?uri=CELEX%3A32014R0537" TargetMode="External"/><Relationship Id="rId7" Type="http://schemas.openxmlformats.org/officeDocument/2006/relationships/settings" Target="settings.xml"/><Relationship Id="rId12" Type="http://schemas.openxmlformats.org/officeDocument/2006/relationships/hyperlink" Target="https://www.insuranceeurope.eu/sites/default/files/attachments/Joint%20letter%20on%20integration%20of%20sustainability%20factors%20and%20risks%20into%20MiFID%20II%20IDD%20and%20Solvency%20II.pdf" TargetMode="External"/><Relationship Id="rId17" Type="http://schemas.openxmlformats.org/officeDocument/2006/relationships/hyperlink" Target="https://eur-lex.europa.eu/legal-content/EN/TXT/?uri=CELEX%3A32004L0109"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ur-lex.europa.eu/legal-content/EN/TXT/?uri=CELEX%3A32004L0109" TargetMode="External"/><Relationship Id="rId20" Type="http://schemas.openxmlformats.org/officeDocument/2006/relationships/hyperlink" Target="https://eur-lex.europa.eu/legal-content/EN/TXT/?uri=CELEX%3A32002R160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opa.europa.eu/content/peer-review-eiopa-decision-collaboration-insurance-supervisory-authorities_en"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eur-lex.europa.eu/legal-content/EN/TXT/?uri=CELEX%3A32013L0034"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lex.europa.eu/legal-content/EN/TXT/?uri=CELEX%3A32002R160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13L0034" TargetMode="External"/><Relationship Id="rId22" Type="http://schemas.openxmlformats.org/officeDocument/2006/relationships/hyperlink" Target="https://eur-lex.europa.eu/legal-content/EN/TXT/?uri=CELEX%3A32014R0537" TargetMode="External"/><Relationship Id="rId27"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eiopa.europa.eu/content/peer-review-eiopa-decision-collaboration-insurance-supervisory-authorities_en" TargetMode="External"/><Relationship Id="rId2" Type="http://schemas.openxmlformats.org/officeDocument/2006/relationships/hyperlink" Target="https://www.eiopa.europa.eu/content/non-life-cross-border-insurance-business-long-term-nature-and-its-supervision" TargetMode="External"/><Relationship Id="rId1" Type="http://schemas.openxmlformats.org/officeDocument/2006/relationships/hyperlink" Target="https://www.eiopa.europa.eu/content/opinion-supervision-remuneration-principles-insurance-and-reinsurance-secto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C249E940B92B4589F3CC898AEFCC96" ma:contentTypeVersion="" ma:contentTypeDescription="Create a new document." ma:contentTypeScope="" ma:versionID="78ef1634eb7755895234b55c7af4b901">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1C97F-270A-4D0D-A6B6-4DCDF97D6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827B13-D241-4323-B7A9-75B7AD1AA6EE}">
  <ds:schemaRefs>
    <ds:schemaRef ds:uri="http://schemas.microsoft.com/sharepoint/v3/contenttype/forms"/>
  </ds:schemaRefs>
</ds:datastoreItem>
</file>

<file path=customXml/itemProps3.xml><?xml version="1.0" encoding="utf-8"?>
<ds:datastoreItem xmlns:ds="http://schemas.openxmlformats.org/officeDocument/2006/customXml" ds:itemID="{B35485A1-11AA-442D-8577-727460E39C5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2D7C7A3-D07C-40C7-AFF8-C9DF609A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23043</Words>
  <Characters>145178</Characters>
  <Application>Microsoft Office Word</Application>
  <DocSecurity>0</DocSecurity>
  <Lines>1209</Lines>
  <Paragraphs>335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V3 draft response to ESAs on supervisory convergence and the single rulebook - clean</vt:lpstr>
      <vt:lpstr>V3 draft response to ESAs on supervisory convergence and the single rulebook - TC</vt:lpstr>
    </vt:vector>
  </TitlesOfParts>
  <Company>Insurance Europe</Company>
  <LinksUpToDate>false</LinksUpToDate>
  <CharactersWithSpaces>167886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 draft response to ESAs on supervisory convergence and the single rulebook - clean</dc:title>
  <dc:creator>Insurance Europe</dc:creator>
  <cp:lastModifiedBy>Horvath Philipp, BSC, LL.M., LL.B., WKÖ BSBV</cp:lastModifiedBy>
  <cp:revision>9</cp:revision>
  <dcterms:created xsi:type="dcterms:W3CDTF">2021-05-20T10:01:00Z</dcterms:created>
  <dcterms:modified xsi:type="dcterms:W3CDTF">2021-05-20T11:28:00Z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0x01010079C249E940B92B4589F3CC898AEFCC96</vt:lpwstr>
  </property>
  <property fmtid="{D5CDD505-2E9C-101B-9397-08002B2CF9AE}" pid="3" name="Can be edited">
    <vt:bool>true</vt:bool>
  </property>
  <property fmtid="{D5CDD505-2E9C-101B-9397-08002B2CF9AE}" pid="4" name="Type of document">
    <vt:lpwstr>Position Paper</vt:lpwstr>
  </property>
  <property fmtid="{D5CDD505-2E9C-101B-9397-08002B2CF9AE}" pid="5" name="isAnnex">
    <vt:lpwstr>True</vt:lpwstr>
  </property>
  <property fmtid="{D5CDD505-2E9C-101B-9397-08002B2CF9AE}" pid="6" name="Validated">
    <vt:bool>true</vt:bool>
  </property>
  <property fmtid="{D5CDD505-2E9C-101B-9397-08002B2CF9AE}" pid="7" name="Deadline">
    <vt:filetime>2021-05-19T21:55:00Z</vt:filetime>
  </property>
  <property fmtid="{D5CDD505-2E9C-101B-9397-08002B2CF9AE}" pid="8" name="Display validated documents library button">
    <vt:bool>true</vt:bool>
  </property>
  <property fmtid="{D5CDD505-2E9C-101B-9397-08002B2CF9AE}" pid="9" name="AllowComments">
    <vt:bool>true</vt:bool>
  </property>
  <property fmtid="{D5CDD505-2E9C-101B-9397-08002B2CF9AE}" pid="10" name="Uploads">
    <vt:bool>true</vt:bool>
  </property>
</Properties>
</file>